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06D7" w14:textId="4490F43A" w:rsidR="000168FF" w:rsidRPr="00AA1F4A" w:rsidRDefault="006D47B8" w:rsidP="00C14D8E">
      <w:pPr>
        <w:pStyle w:val="tytuinformacji"/>
        <w:spacing w:after="600"/>
        <w:rPr>
          <w:spacing w:val="-6"/>
          <w:shd w:val="clear" w:color="auto" w:fill="FFFFFF"/>
        </w:rPr>
      </w:pPr>
      <w:r w:rsidRPr="006D47B8">
        <w:rPr>
          <w:spacing w:val="-6"/>
          <w:shd w:val="clear" w:color="auto" w:fill="FFFFFF"/>
        </w:rPr>
        <w:t>Podmioty gospodarki narodowej na obszarach przygranicznych na terenie Polski w 2025 r.</w:t>
      </w:r>
    </w:p>
    <w:p w14:paraId="7B920C38" w14:textId="6C7EB00E" w:rsidR="005916D7" w:rsidRPr="00A858A6" w:rsidRDefault="00867B55" w:rsidP="00A7731D">
      <w:pPr>
        <w:pStyle w:val="LID"/>
      </w:pPr>
      <w:r w:rsidRPr="00587CEE">
        <w:rPr>
          <w:color w:val="001D77"/>
        </w:rPr>
        <mc:AlternateContent>
          <mc:Choice Requires="wps">
            <w:drawing>
              <wp:anchor distT="45720" distB="45720" distL="114300" distR="114300" simplePos="0" relativeHeight="251763712" behindDoc="0" locked="0" layoutInCell="1" allowOverlap="1" wp14:anchorId="2813CC7B" wp14:editId="05F67D7A">
                <wp:simplePos x="0" y="0"/>
                <wp:positionH relativeFrom="margin">
                  <wp:posOffset>0</wp:posOffset>
                </wp:positionH>
                <wp:positionV relativeFrom="paragraph">
                  <wp:posOffset>12369</wp:posOffset>
                </wp:positionV>
                <wp:extent cx="2204085" cy="1319530"/>
                <wp:effectExtent l="0" t="0" r="5715" b="0"/>
                <wp:wrapSquare wrapText="bothSides"/>
                <wp:docPr id="6" name="Pole tekstowe 2" descr="Ikona strzałki skierowana grotem w górę, co oznacza zwiększenie się wartości o 1,9% Wzrost liczby podmiotów gospodarki narodowej w strefie przygranicznej w stosunku do 2024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19530"/>
                        </a:xfrm>
                        <a:prstGeom prst="roundRect">
                          <a:avLst/>
                        </a:prstGeom>
                        <a:solidFill>
                          <a:srgbClr val="001D77"/>
                        </a:solidFill>
                        <a:ln w="9525">
                          <a:noFill/>
                          <a:miter lim="800000"/>
                          <a:headEnd/>
                          <a:tailEnd/>
                        </a:ln>
                      </wps:spPr>
                      <wps:txbx>
                        <w:txbxContent>
                          <w:p w14:paraId="4305F80E" w14:textId="14F72B95" w:rsidR="00AD66BD" w:rsidRPr="009B55E4" w:rsidRDefault="009B55E4" w:rsidP="00AD66BD">
                            <w:pPr>
                              <w:autoSpaceDE w:val="0"/>
                              <w:autoSpaceDN w:val="0"/>
                              <w:adjustRightInd w:val="0"/>
                              <w:spacing w:before="0" w:after="0" w:line="240" w:lineRule="auto"/>
                              <w:rPr>
                                <w:rFonts w:ascii="Fira Sans SemiBold" w:hAnsi="Fira Sans SemiBold"/>
                                <w:color w:val="FFFFFF" w:themeColor="background1"/>
                                <w:sz w:val="60"/>
                                <w:szCs w:val="60"/>
                              </w:rPr>
                            </w:pPr>
                            <w:r w:rsidRPr="004B4292">
                              <w:rPr>
                                <w:rStyle w:val="IkonawskanikaZnak"/>
                                <w:sz w:val="76"/>
                                <w:szCs w:val="76"/>
                              </w:rPr>
                              <w:sym w:font="Wingdings" w:char="F0F1"/>
                            </w:r>
                            <w:r w:rsidRPr="009B55E4">
                              <w:rPr>
                                <w:rStyle w:val="WartowskanikaZnak"/>
                              </w:rPr>
                              <w:t xml:space="preserve"> </w:t>
                            </w:r>
                            <w:r w:rsidR="00D771B0">
                              <w:rPr>
                                <w:rStyle w:val="WartowskanikaZnak"/>
                                <w:sz w:val="72"/>
                                <w:szCs w:val="72"/>
                              </w:rPr>
                              <w:t>1</w:t>
                            </w:r>
                            <w:r w:rsidR="00653EA7">
                              <w:rPr>
                                <w:rStyle w:val="WartowskanikaZnak"/>
                                <w:sz w:val="72"/>
                                <w:szCs w:val="72"/>
                              </w:rPr>
                              <w:t>,</w:t>
                            </w:r>
                            <w:r w:rsidR="00D771B0">
                              <w:rPr>
                                <w:rStyle w:val="WartowskanikaZnak"/>
                                <w:sz w:val="72"/>
                                <w:szCs w:val="72"/>
                              </w:rPr>
                              <w:t>9</w:t>
                            </w:r>
                            <w:r w:rsidRPr="009B55E4">
                              <w:rPr>
                                <w:rStyle w:val="WartowskanikaZnak"/>
                                <w:sz w:val="72"/>
                                <w:szCs w:val="72"/>
                              </w:rPr>
                              <w:t>%</w:t>
                            </w:r>
                          </w:p>
                          <w:p w14:paraId="3854AC22" w14:textId="33CACB09" w:rsidR="00AD66BD" w:rsidRPr="00AD66BD" w:rsidRDefault="00C52F49" w:rsidP="00C14D8E">
                            <w:pPr>
                              <w:pStyle w:val="Opiswskanika"/>
                              <w:spacing w:before="120"/>
                              <w:rPr>
                                <w:sz w:val="18"/>
                                <w:szCs w:val="20"/>
                              </w:rPr>
                            </w:pPr>
                            <w:r w:rsidRPr="00AD66BD">
                              <w:t>Wzrost liczby podmiotów gospodarki narodowej w strefie przygranicznej w stosunku do 20</w:t>
                            </w:r>
                            <w:r>
                              <w:t>2</w:t>
                            </w:r>
                            <w:r w:rsidR="00D771B0">
                              <w:t>4</w:t>
                            </w:r>
                            <w:r w:rsidRPr="00AD66BD">
                              <w:t xml:space="preserve"> r</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13CC7B" id="Pole tekstowe 2" o:spid="_x0000_s1026" alt="Ikona strzałki skierowana grotem w górę, co oznacza zwiększenie się wartości o 1,9% Wzrost liczby podmiotów gospodarki narodowej w strefie przygranicznej w stosunku do 2024 roku" style="position:absolute;left:0;text-align:left;margin-left:0;margin-top:.95pt;width:173.55pt;height:103.9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u6FQIAAPwDAAAOAAAAZHJzL2Uyb0RvYy54bWysU9tu2zAMfR+wfxD0vvjSZEmMOEWXrMOA&#10;7oJ1+wBZlmNhsqhJSuzs60fJbhp0b8P8IJAmdUgeHm1uh06Rk7BOgi5pNkspEZpDLfWhpD++379Z&#10;UeI80zVToEVJz8LR2+3rV5veFCKHFlQtLEEQ7YrelLT13hRJ4ngrOuZmYITGYAO2Yx5de0hqy3pE&#10;71SSp+nbpAdbGwtcOId/92OQbiN+0wjuvzSNE56okmJvPp42nlU4k+2GFQfLTCv51Ab7hy46JjUW&#10;vUDtmWfkaOVfUJ3kFhw0fsahS6BpJBdxBpwmS19M89gyI+IsSI4zF5rc/4Pln0+P5qslfngHAy4w&#10;DuHMA/CfjmjYtUwfxJ210LeC1Vg4C5QlvXHFdDVQ7QoXQKr+E9S4ZHb0EIGGxnaBFZyTIDou4Hwh&#10;XQyecPyZ5+k8XS0o4RjLbrL14iauJWHF03Vjnf8goCPBKKmFo66/4WpjDXZ6cD70xIqnvFDSgZL1&#10;vVQqOvZQ7ZQlJxZkkGb75TKO8SJNadKXdL3IFxFZQ7gfFdJJjzJVsivpKg3fKJzAyXtdxxTPpBpt&#10;7ETpiaTAy8iQH6oBEwNZFdRnpMvCKEd8Pmi0YH9T0qMUS+p+HZkVlKiPGilfZ/N50G505otljo69&#10;jlTXEaY5QpXUUzKaOx/1HnjQcIeraWTk67mTqVeUWKRxeg5Bw9d+zHp+tNs/AAAA//8DAFBLAwQU&#10;AAYACAAAACEAKI5GUN0AAAAGAQAADwAAAGRycy9kb3ducmV2LnhtbEyPwU7DMBBE70j8g7VIXCJq&#10;t0WUhjgVRUoP9EQKdzfexhGxHdluE/6e7QmOOzOaeVtsJtuzC4bYeSdhPhPA0DVed66V8HmoHp6B&#10;xaScVr13KOEHI2zK25tC5dqP7gMvdWoZlbiYKwkmpSHnPDYGrYozP6Aj7+SDVYnO0HId1EjltucL&#10;IZ64VZ2jBaMGfDPYfNdnK2EbTvtaLKdotof3fVZV2dduzKS8v5teX4AlnNJfGK74hA4lMR392enI&#10;egn0SCJ1DYzM5eNqDuwoYSHWK+Blwf/jl78AAAD//wMAUEsBAi0AFAAGAAgAAAAhALaDOJL+AAAA&#10;4QEAABMAAAAAAAAAAAAAAAAAAAAAAFtDb250ZW50X1R5cGVzXS54bWxQSwECLQAUAAYACAAAACEA&#10;OP0h/9YAAACUAQAACwAAAAAAAAAAAAAAAAAvAQAAX3JlbHMvLnJlbHNQSwECLQAUAAYACAAAACEA&#10;YZBbuhUCAAD8AwAADgAAAAAAAAAAAAAAAAAuAgAAZHJzL2Uyb0RvYy54bWxQSwECLQAUAAYACAAA&#10;ACEAKI5GUN0AAAAGAQAADwAAAAAAAAAAAAAAAABvBAAAZHJzL2Rvd25yZXYueG1sUEsFBgAAAAAE&#10;AAQA8wAAAHkFAAAAAA==&#10;" fillcolor="#001d77" stroked="f">
                <v:stroke joinstyle="miter"/>
                <v:textbox>
                  <w:txbxContent>
                    <w:p w14:paraId="4305F80E" w14:textId="14F72B95" w:rsidR="00AD66BD" w:rsidRPr="009B55E4" w:rsidRDefault="009B55E4" w:rsidP="00AD66BD">
                      <w:pPr>
                        <w:autoSpaceDE w:val="0"/>
                        <w:autoSpaceDN w:val="0"/>
                        <w:adjustRightInd w:val="0"/>
                        <w:spacing w:before="0" w:after="0" w:line="240" w:lineRule="auto"/>
                        <w:rPr>
                          <w:rFonts w:ascii="Fira Sans SemiBold" w:hAnsi="Fira Sans SemiBold"/>
                          <w:color w:val="FFFFFF" w:themeColor="background1"/>
                          <w:sz w:val="60"/>
                          <w:szCs w:val="60"/>
                        </w:rPr>
                      </w:pPr>
                      <w:r w:rsidRPr="004B4292">
                        <w:rPr>
                          <w:rStyle w:val="IkonawskanikaZnak"/>
                          <w:sz w:val="76"/>
                          <w:szCs w:val="76"/>
                        </w:rPr>
                        <w:sym w:font="Wingdings" w:char="F0F1"/>
                      </w:r>
                      <w:r w:rsidRPr="009B55E4">
                        <w:rPr>
                          <w:rStyle w:val="WartowskanikaZnak"/>
                        </w:rPr>
                        <w:t xml:space="preserve"> </w:t>
                      </w:r>
                      <w:r w:rsidR="00D771B0">
                        <w:rPr>
                          <w:rStyle w:val="WartowskanikaZnak"/>
                          <w:sz w:val="72"/>
                          <w:szCs w:val="72"/>
                        </w:rPr>
                        <w:t>1</w:t>
                      </w:r>
                      <w:r w:rsidR="00653EA7">
                        <w:rPr>
                          <w:rStyle w:val="WartowskanikaZnak"/>
                          <w:sz w:val="72"/>
                          <w:szCs w:val="72"/>
                        </w:rPr>
                        <w:t>,</w:t>
                      </w:r>
                      <w:r w:rsidR="00D771B0">
                        <w:rPr>
                          <w:rStyle w:val="WartowskanikaZnak"/>
                          <w:sz w:val="72"/>
                          <w:szCs w:val="72"/>
                        </w:rPr>
                        <w:t>9</w:t>
                      </w:r>
                      <w:r w:rsidRPr="009B55E4">
                        <w:rPr>
                          <w:rStyle w:val="WartowskanikaZnak"/>
                          <w:sz w:val="72"/>
                          <w:szCs w:val="72"/>
                        </w:rPr>
                        <w:t>%</w:t>
                      </w:r>
                    </w:p>
                    <w:p w14:paraId="3854AC22" w14:textId="33CACB09" w:rsidR="00AD66BD" w:rsidRPr="00AD66BD" w:rsidRDefault="00C52F49" w:rsidP="00C14D8E">
                      <w:pPr>
                        <w:pStyle w:val="Opiswskanika"/>
                        <w:spacing w:before="120"/>
                        <w:rPr>
                          <w:sz w:val="18"/>
                          <w:szCs w:val="20"/>
                        </w:rPr>
                      </w:pPr>
                      <w:r w:rsidRPr="00AD66BD">
                        <w:t>Wzrost liczby podmiotów gospodarki narodowej w strefie przygranicznej w stosunku do 20</w:t>
                      </w:r>
                      <w:r>
                        <w:t>2</w:t>
                      </w:r>
                      <w:r w:rsidR="00D771B0">
                        <w:t>4</w:t>
                      </w:r>
                      <w:r w:rsidRPr="00AD66BD">
                        <w:t xml:space="preserve"> r</w:t>
                      </w:r>
                      <w:r>
                        <w:t>.</w:t>
                      </w:r>
                    </w:p>
                  </w:txbxContent>
                </v:textbox>
                <w10:wrap type="square" anchorx="margin"/>
              </v:roundrect>
            </w:pict>
          </mc:Fallback>
        </mc:AlternateContent>
      </w:r>
      <w:r w:rsidR="00540409" w:rsidRPr="00F76775">
        <w:t>Według stanu na koniec grudnia 202</w:t>
      </w:r>
      <w:r w:rsidR="00D771B0">
        <w:t>5</w:t>
      </w:r>
      <w:r w:rsidR="00540409" w:rsidRPr="00F76775">
        <w:t xml:space="preserve"> r</w:t>
      </w:r>
      <w:r w:rsidR="00070851">
        <w:t>.</w:t>
      </w:r>
      <w:r w:rsidR="00540409" w:rsidRPr="00F76775">
        <w:t xml:space="preserve"> w</w:t>
      </w:r>
      <w:r w:rsidR="00540409">
        <w:t> </w:t>
      </w:r>
      <w:r w:rsidR="00540409" w:rsidRPr="00F76775">
        <w:t>rejestrze REGON wpisanych było 8</w:t>
      </w:r>
      <w:r w:rsidR="00D771B0">
        <w:t>79</w:t>
      </w:r>
      <w:r w:rsidR="005D213D">
        <w:t>,</w:t>
      </w:r>
      <w:r w:rsidR="00D771B0">
        <w:t>6</w:t>
      </w:r>
      <w:r w:rsidR="00540409" w:rsidRPr="00F76775">
        <w:t xml:space="preserve"> tys. podmiotów gospodarki narodowej zlokalizo</w:t>
      </w:r>
      <w:r w:rsidR="00540409">
        <w:t>-</w:t>
      </w:r>
      <w:r w:rsidR="00540409" w:rsidRPr="00F76775">
        <w:t>wanych na obszarach przygranicznych na terenie Polski</w:t>
      </w:r>
      <w:r w:rsidR="00540409">
        <w:t>.</w:t>
      </w:r>
      <w:r w:rsidR="00540409" w:rsidRPr="00F76775">
        <w:t xml:space="preserve"> </w:t>
      </w:r>
      <w:r w:rsidR="00540409">
        <w:t>S</w:t>
      </w:r>
      <w:r w:rsidR="00540409" w:rsidRPr="00F76775">
        <w:t xml:space="preserve">tanowiło </w:t>
      </w:r>
      <w:r w:rsidR="00540409">
        <w:t xml:space="preserve">to </w:t>
      </w:r>
      <w:r w:rsidR="00540409" w:rsidRPr="00F76775">
        <w:t>16,</w:t>
      </w:r>
      <w:r w:rsidR="00D771B0">
        <w:t>2</w:t>
      </w:r>
      <w:r w:rsidR="00540409" w:rsidRPr="00F76775">
        <w:t>% ogólnej liczby podmio</w:t>
      </w:r>
      <w:r w:rsidR="00540409">
        <w:t>-</w:t>
      </w:r>
      <w:r w:rsidR="00540409" w:rsidRPr="00F76775">
        <w:t>tów w kraju. W</w:t>
      </w:r>
      <w:r w:rsidR="00540409">
        <w:t xml:space="preserve"> </w:t>
      </w:r>
      <w:r w:rsidR="00540409" w:rsidRPr="00F76775">
        <w:t>porównaniu z 202</w:t>
      </w:r>
      <w:r w:rsidR="00D771B0">
        <w:t>4</w:t>
      </w:r>
      <w:r w:rsidR="00540409" w:rsidRPr="00F76775">
        <w:t xml:space="preserve"> </w:t>
      </w:r>
      <w:r w:rsidR="00B65793">
        <w:t xml:space="preserve">r. </w:t>
      </w:r>
      <w:r w:rsidR="00540409" w:rsidRPr="00F76775">
        <w:t>liczba podmiotów w analizowanej strefie zwiększyła się o</w:t>
      </w:r>
      <w:r w:rsidR="00540409">
        <w:t xml:space="preserve"> </w:t>
      </w:r>
      <w:r w:rsidR="000D1EC1">
        <w:t>1</w:t>
      </w:r>
      <w:r w:rsidR="00D771B0">
        <w:t>6</w:t>
      </w:r>
      <w:r w:rsidR="00BC4511">
        <w:t>,</w:t>
      </w:r>
      <w:r w:rsidR="00D771B0">
        <w:t>4</w:t>
      </w:r>
      <w:r w:rsidR="00540409" w:rsidRPr="00F76775">
        <w:t xml:space="preserve"> tys., tj. o </w:t>
      </w:r>
      <w:r w:rsidR="00D771B0">
        <w:t>1</w:t>
      </w:r>
      <w:r w:rsidR="000D1EC1">
        <w:t>,</w:t>
      </w:r>
      <w:r w:rsidR="00D771B0">
        <w:t>9</w:t>
      </w:r>
      <w:r w:rsidR="00540409" w:rsidRPr="00F76775">
        <w:t>% (w</w:t>
      </w:r>
      <w:r w:rsidR="00540409">
        <w:t xml:space="preserve"> </w:t>
      </w:r>
      <w:r w:rsidR="00540409" w:rsidRPr="00F76775">
        <w:t>kraju o</w:t>
      </w:r>
      <w:r w:rsidR="00540409">
        <w:t> </w:t>
      </w:r>
      <w:r w:rsidR="00D771B0">
        <w:t>2</w:t>
      </w:r>
      <w:r w:rsidR="00540409" w:rsidRPr="00F76775">
        <w:t>,</w:t>
      </w:r>
      <w:r w:rsidR="00D771B0">
        <w:t>6</w:t>
      </w:r>
      <w:r w:rsidR="00540409" w:rsidRPr="00F76775">
        <w:t>%)</w:t>
      </w:r>
      <w:r w:rsidR="00540409">
        <w:t>.</w:t>
      </w:r>
    </w:p>
    <w:p w14:paraId="4153AB1B" w14:textId="4F959471" w:rsidR="00A9377F" w:rsidRDefault="00A9377F" w:rsidP="00A9377F">
      <w:pPr>
        <w:pStyle w:val="Nagwek1"/>
        <w:spacing w:before="0"/>
        <w:rPr>
          <w:rFonts w:ascii="Fira Sans" w:hAnsi="Fira Sans"/>
          <w:b/>
          <w:color w:val="auto"/>
          <w:sz w:val="18"/>
          <w:szCs w:val="18"/>
        </w:rPr>
      </w:pPr>
    </w:p>
    <w:p w14:paraId="7B920C3D" w14:textId="5334F6B5" w:rsidR="00116087" w:rsidRPr="007409D7" w:rsidRDefault="003F2F30" w:rsidP="00A7731D">
      <w:pPr>
        <w:pStyle w:val="LID"/>
        <w:rPr>
          <w:shd w:val="clear" w:color="auto" w:fill="FFFFFF"/>
        </w:rPr>
      </w:pPr>
      <w:r w:rsidRPr="007409D7">
        <w:t>Wykres 1.</w:t>
      </w:r>
      <w:r w:rsidRPr="007409D7">
        <w:rPr>
          <w:shd w:val="clear" w:color="auto" w:fill="FFFFFF"/>
        </w:rPr>
        <w:t xml:space="preserve"> Podmioty gospodarki narodowej</w:t>
      </w:r>
    </w:p>
    <w:p w14:paraId="13526CD9" w14:textId="78A77CC8" w:rsidR="00CF7477" w:rsidRPr="007615CD" w:rsidRDefault="00A85CA6" w:rsidP="007615CD">
      <w:pPr>
        <w:spacing w:line="240" w:lineRule="auto"/>
        <w:jc w:val="center"/>
        <w:rPr>
          <w:lang w:eastAsia="pl-PL"/>
        </w:rPr>
      </w:pPr>
      <w:r>
        <w:rPr>
          <w:noProof/>
          <w:lang w:eastAsia="pl-PL"/>
        </w:rPr>
        <w:drawing>
          <wp:inline distT="0" distB="0" distL="0" distR="0" wp14:anchorId="4C6AF9B2" wp14:editId="56904FB8">
            <wp:extent cx="4546839" cy="2484000"/>
            <wp:effectExtent l="0" t="0" r="6350" b="0"/>
            <wp:docPr id="18" name="Obraz 18" descr="Wykres 1. Podmioty gospodarki narodowej. Liczba podmiotów ogółem dla Polski oraz dla podmiotów znajdujących się w strefie przygranicznej.&#10;Dane do wykresu dostępne są w załączonym pliku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Wykres 1. Podmioty gospodarki narodowej. Liczba podmiotów ogółem dla Polski oraz dla podmiotów znajdujących się w strefie przygranicznej.&#10;Dane do wykresu dostępne są w załączonym pliku Exc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6839" cy="2484000"/>
                    </a:xfrm>
                    <a:prstGeom prst="rect">
                      <a:avLst/>
                    </a:prstGeom>
                  </pic:spPr>
                </pic:pic>
              </a:graphicData>
            </a:graphic>
          </wp:inline>
        </w:drawing>
      </w:r>
    </w:p>
    <w:p w14:paraId="53F80A71" w14:textId="66C14695" w:rsidR="00AB3D48" w:rsidRPr="00E2620A" w:rsidRDefault="00243DD5" w:rsidP="00BD38D1">
      <w:pPr>
        <w:pStyle w:val="Nagwek1"/>
      </w:pPr>
      <w:r w:rsidRPr="00E2620A">
        <w:rPr>
          <w:noProof/>
          <w:spacing w:val="-2"/>
          <w:szCs w:val="19"/>
        </w:rPr>
        <mc:AlternateContent>
          <mc:Choice Requires="wps">
            <w:drawing>
              <wp:anchor distT="45720" distB="45720" distL="114300" distR="114300" simplePos="0" relativeHeight="251674624" behindDoc="1" locked="0" layoutInCell="1" allowOverlap="1" wp14:anchorId="7B920CDB" wp14:editId="6CDB4674">
                <wp:simplePos x="0" y="0"/>
                <wp:positionH relativeFrom="column">
                  <wp:posOffset>5237480</wp:posOffset>
                </wp:positionH>
                <wp:positionV relativeFrom="paragraph">
                  <wp:posOffset>477215</wp:posOffset>
                </wp:positionV>
                <wp:extent cx="1802765" cy="784225"/>
                <wp:effectExtent l="0" t="0" r="0" b="0"/>
                <wp:wrapTight wrapText="bothSides">
                  <wp:wrapPolygon edited="0">
                    <wp:start x="685" y="0"/>
                    <wp:lineTo x="685" y="20988"/>
                    <wp:lineTo x="20771" y="20988"/>
                    <wp:lineTo x="20771" y="0"/>
                    <wp:lineTo x="685" y="0"/>
                  </wp:wrapPolygon>
                </wp:wrapTight>
                <wp:docPr id="2" name="Pole tekstowe 2" descr="95,5% podmiotów gospodarki narodowej strefy przygranicznej należało do sektora prywatnego (w kraju –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784225"/>
                        </a:xfrm>
                        <a:prstGeom prst="rect">
                          <a:avLst/>
                        </a:prstGeom>
                        <a:noFill/>
                        <a:ln w="9525">
                          <a:noFill/>
                          <a:miter lim="800000"/>
                          <a:headEnd/>
                          <a:tailEnd/>
                        </a:ln>
                      </wps:spPr>
                      <wps:txbx>
                        <w:txbxContent>
                          <w:p w14:paraId="7B920D04" w14:textId="5F88B162" w:rsidR="00D616D2" w:rsidRPr="00D61279" w:rsidRDefault="00501187" w:rsidP="00B074E0">
                            <w:pPr>
                              <w:pStyle w:val="tekstzboku"/>
                              <w:spacing w:before="0"/>
                            </w:pPr>
                            <w:r w:rsidRPr="002C5B86">
                              <w:t>95</w:t>
                            </w:r>
                            <w:r w:rsidRPr="00D61279">
                              <w:t>,</w:t>
                            </w:r>
                            <w:r w:rsidR="00BF7A67">
                              <w:t>5</w:t>
                            </w:r>
                            <w:r w:rsidRPr="00D61279">
                              <w:t xml:space="preserve">% podmiotów gospodarki narodowej strefy przygranicznej </w:t>
                            </w:r>
                            <w:r w:rsidR="0020591D" w:rsidRPr="00D61279">
                              <w:t>należało do</w:t>
                            </w:r>
                            <w:r w:rsidR="006D65A8" w:rsidRPr="00D61279">
                              <w:t xml:space="preserve"> </w:t>
                            </w:r>
                            <w:r w:rsidRPr="00D61279">
                              <w:t>sektor</w:t>
                            </w:r>
                            <w:r w:rsidR="0020591D" w:rsidRPr="00D61279">
                              <w:t>a</w:t>
                            </w:r>
                            <w:r w:rsidRPr="00D61279">
                              <w:t xml:space="preserve"> prywatn</w:t>
                            </w:r>
                            <w:r w:rsidR="0020591D" w:rsidRPr="00D61279">
                              <w:t>ego</w:t>
                            </w:r>
                            <w:r w:rsidR="003E2993" w:rsidRPr="00D61279">
                              <w:t xml:space="preserve"> </w:t>
                            </w:r>
                            <w:r w:rsidR="005E67AB" w:rsidRPr="00D61279">
                              <w:t>(</w:t>
                            </w:r>
                            <w:r w:rsidR="003E2993" w:rsidRPr="00D61279">
                              <w:t xml:space="preserve">w kraju – </w:t>
                            </w:r>
                            <w:r w:rsidR="00165671" w:rsidRPr="00D61279">
                              <w:t>95,</w:t>
                            </w:r>
                            <w:r w:rsidR="00BF7A67">
                              <w:t>2</w:t>
                            </w:r>
                            <w:r w:rsidR="003E2993" w:rsidRPr="00D61279">
                              <w:t>%</w:t>
                            </w:r>
                            <w:r w:rsidR="005E67AB" w:rsidRPr="00D6127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DB" id="_x0000_t202" coordsize="21600,21600" o:spt="202" path="m,l,21600r21600,l21600,xe">
                <v:stroke joinstyle="miter"/>
                <v:path gradientshapeok="t" o:connecttype="rect"/>
              </v:shapetype>
              <v:shape id="_x0000_s1027" type="#_x0000_t202" alt="95,5% podmiotów gospodarki narodowej strefy przygranicznej należało do sektora prywatnego (w kraju – 95,2%)" style="position:absolute;margin-left:412.4pt;margin-top:37.6pt;width:141.95pt;height:61.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LM+AEAANQDAAAOAAAAZHJzL2Uyb0RvYy54bWysU11v2yAUfZ+0/4B4X+xYSZNacaquXadJ&#10;3YfU7QcQwDEacBmQ2Nmv3wW7adS9TfMD4vrCufece9jcDEaTo/RBgW3ofFZSIi0Hoey+oT++P7xb&#10;UxIis4JpsLKhJxnozfbtm03vallBB1pITxDEhrp3De1idHVRBN5Jw8IMnLSYbMEbFjH0+0J41iO6&#10;0UVVlldFD144D1yGgH/vxyTdZvy2lTx+bdsgI9ENxd5iXn1ed2ktthtW7z1zneJTG+wfujBMWSx6&#10;hrpnkZGDV39BGcU9BGjjjIMpoG0Vl5kDspmXr9g8dczJzAXFCe4sU/h/sPzL8cl98yQO72HAAWYS&#10;wT0C/xmIhbuO2b289R76TjKBhedJsqJ3oZ6uJqlDHRLIrv8MAofMDhEy0NB6k1RBngTRcQCns+hy&#10;iISnkuuyWl0tKeGYW60XVbXMJVj9fNv5ED9KMCRtGupxqBmdHR9DTN2w+vlIKmbhQWmdB6st6Rt6&#10;vUTIVxmjIvpOK9PQdZm+0QmJ5Acr8uXIlB73WEDbiXUiOlKOw24gSkySJBF2IE4og4fRZvgscNOB&#10;/01JjxZraPh1YF5Soj9ZlPJ6vlgkT+ZgsVxVGPjLzO4ywyxHqIZGSsbtXcw+HondouStymq8dDK1&#10;jNbJIk02T968jPOpl8e4/QMAAP//AwBQSwMEFAAGAAgAAAAhAAH5K4vfAAAACwEAAA8AAABkcnMv&#10;ZG93bnJldi54bWxMj8FuwjAQRO+V+g/WVuqt2ERQQhoHIapei6AtEjcTL0nUeB3FhqR/3+XU3mY1&#10;o5m3+Wp0rbhiHxpPGqYTBQKp9LahSsPnx9tTCiJEQ9a0nlDDDwZYFfd3ucmsH2iH132sBJdQyIyG&#10;OsYukzKUNToTJr5DYu/se2cin30lbW8GLnetTJR6ls40xAu16XBTY/m9vzgNX+/n42GmttWrm3eD&#10;H5Ukt5RaPz6M6xcQEcf4F4YbPqNDwUwnfyEbRKshTWaMHjUs5gmIW2Cq0gWIE6slC1nk8v8PxS8A&#10;AAD//wMAUEsBAi0AFAAGAAgAAAAhALaDOJL+AAAA4QEAABMAAAAAAAAAAAAAAAAAAAAAAFtDb250&#10;ZW50X1R5cGVzXS54bWxQSwECLQAUAAYACAAAACEAOP0h/9YAAACUAQAACwAAAAAAAAAAAAAAAAAv&#10;AQAAX3JlbHMvLnJlbHNQSwECLQAUAAYACAAAACEAs6vCzPgBAADUAwAADgAAAAAAAAAAAAAAAAAu&#10;AgAAZHJzL2Uyb0RvYy54bWxQSwECLQAUAAYACAAAACEAAfkri98AAAALAQAADwAAAAAAAAAAAAAA&#10;AABSBAAAZHJzL2Rvd25yZXYueG1sUEsFBgAAAAAEAAQA8wAAAF4FAAAAAA==&#10;" filled="f" stroked="f">
                <v:textbox>
                  <w:txbxContent>
                    <w:p w14:paraId="7B920D04" w14:textId="5F88B162" w:rsidR="00D616D2" w:rsidRPr="00D61279" w:rsidRDefault="00501187" w:rsidP="00B074E0">
                      <w:pPr>
                        <w:pStyle w:val="tekstzboku"/>
                        <w:spacing w:before="0"/>
                      </w:pPr>
                      <w:r w:rsidRPr="002C5B86">
                        <w:t>95</w:t>
                      </w:r>
                      <w:r w:rsidRPr="00D61279">
                        <w:t>,</w:t>
                      </w:r>
                      <w:r w:rsidR="00BF7A67">
                        <w:t>5</w:t>
                      </w:r>
                      <w:r w:rsidRPr="00D61279">
                        <w:t xml:space="preserve">% podmiotów gospodarki narodowej strefy przygranicznej </w:t>
                      </w:r>
                      <w:r w:rsidR="0020591D" w:rsidRPr="00D61279">
                        <w:t>należało do</w:t>
                      </w:r>
                      <w:r w:rsidR="006D65A8" w:rsidRPr="00D61279">
                        <w:t xml:space="preserve"> </w:t>
                      </w:r>
                      <w:r w:rsidRPr="00D61279">
                        <w:t>sektor</w:t>
                      </w:r>
                      <w:r w:rsidR="0020591D" w:rsidRPr="00D61279">
                        <w:t>a</w:t>
                      </w:r>
                      <w:r w:rsidRPr="00D61279">
                        <w:t xml:space="preserve"> prywatn</w:t>
                      </w:r>
                      <w:r w:rsidR="0020591D" w:rsidRPr="00D61279">
                        <w:t>ego</w:t>
                      </w:r>
                      <w:r w:rsidR="003E2993" w:rsidRPr="00D61279">
                        <w:t xml:space="preserve"> </w:t>
                      </w:r>
                      <w:r w:rsidR="005E67AB" w:rsidRPr="00D61279">
                        <w:t>(</w:t>
                      </w:r>
                      <w:r w:rsidR="003E2993" w:rsidRPr="00D61279">
                        <w:t xml:space="preserve">w kraju – </w:t>
                      </w:r>
                      <w:r w:rsidR="00165671" w:rsidRPr="00D61279">
                        <w:t>95,</w:t>
                      </w:r>
                      <w:r w:rsidR="00BF7A67">
                        <w:t>2</w:t>
                      </w:r>
                      <w:r w:rsidR="003E2993" w:rsidRPr="00D61279">
                        <w:t>%</w:t>
                      </w:r>
                      <w:r w:rsidR="005E67AB" w:rsidRPr="00D61279">
                        <w:t>)</w:t>
                      </w:r>
                    </w:p>
                  </w:txbxContent>
                </v:textbox>
                <w10:wrap type="tight"/>
              </v:shape>
            </w:pict>
          </mc:Fallback>
        </mc:AlternateContent>
      </w:r>
      <w:r w:rsidR="00AB3D48" w:rsidRPr="00E2620A">
        <w:t>Struktura podmiotów gospodarki narodowej</w:t>
      </w:r>
      <w:r w:rsidR="00154911" w:rsidRPr="00E2620A">
        <w:t xml:space="preserve"> według sektorów własności i wybranych form prawnych</w:t>
      </w:r>
    </w:p>
    <w:p w14:paraId="0E42B8D8" w14:textId="0369CD60" w:rsidR="00540409" w:rsidRPr="00933A0A" w:rsidRDefault="00540409" w:rsidP="006D4A47">
      <w:pPr>
        <w:spacing w:line="288" w:lineRule="auto"/>
        <w:rPr>
          <w:shd w:val="clear" w:color="auto" w:fill="FFFFFF"/>
        </w:rPr>
      </w:pPr>
      <w:r w:rsidRPr="00F53D19">
        <w:rPr>
          <w:shd w:val="clear" w:color="auto" w:fill="FFFFFF"/>
        </w:rPr>
        <w:t>Zdecydowana większość podmiotów strefy przygranicznej na koniec 202</w:t>
      </w:r>
      <w:r w:rsidR="007119E2" w:rsidRPr="00F53D19">
        <w:rPr>
          <w:shd w:val="clear" w:color="auto" w:fill="FFFFFF"/>
        </w:rPr>
        <w:t>5</w:t>
      </w:r>
      <w:r w:rsidRPr="00F53D19">
        <w:rPr>
          <w:shd w:val="clear" w:color="auto" w:fill="FFFFFF"/>
        </w:rPr>
        <w:t xml:space="preserve"> r</w:t>
      </w:r>
      <w:r w:rsidR="003A7660" w:rsidRPr="00F53D19">
        <w:rPr>
          <w:shd w:val="clear" w:color="auto" w:fill="FFFFFF"/>
        </w:rPr>
        <w:t>.</w:t>
      </w:r>
      <w:r w:rsidRPr="00F53D19">
        <w:rPr>
          <w:shd w:val="clear" w:color="auto" w:fill="FFFFFF"/>
        </w:rPr>
        <w:t xml:space="preserve"> należała do </w:t>
      </w:r>
      <w:r w:rsidRPr="00933A0A">
        <w:rPr>
          <w:shd w:val="clear" w:color="auto" w:fill="FFFFFF"/>
        </w:rPr>
        <w:t>sektora prywatnego (95,</w:t>
      </w:r>
      <w:r w:rsidR="007119E2" w:rsidRPr="00933A0A">
        <w:rPr>
          <w:shd w:val="clear" w:color="auto" w:fill="FFFFFF"/>
        </w:rPr>
        <w:t>5</w:t>
      </w:r>
      <w:r w:rsidRPr="00933A0A">
        <w:rPr>
          <w:shd w:val="clear" w:color="auto" w:fill="FFFFFF"/>
        </w:rPr>
        <w:t>% wobec 95,</w:t>
      </w:r>
      <w:r w:rsidR="007119E2" w:rsidRPr="00933A0A">
        <w:rPr>
          <w:shd w:val="clear" w:color="auto" w:fill="FFFFFF"/>
        </w:rPr>
        <w:t>2</w:t>
      </w:r>
      <w:r w:rsidRPr="00933A0A">
        <w:rPr>
          <w:shd w:val="clear" w:color="auto" w:fill="FFFFFF"/>
        </w:rPr>
        <w:t>% w kraju). W porównaniu z 202</w:t>
      </w:r>
      <w:r w:rsidR="009E2F0C" w:rsidRPr="00933A0A">
        <w:rPr>
          <w:shd w:val="clear" w:color="auto" w:fill="FFFFFF"/>
        </w:rPr>
        <w:t>4</w:t>
      </w:r>
      <w:r w:rsidR="00070851" w:rsidRPr="00933A0A">
        <w:rPr>
          <w:shd w:val="clear" w:color="auto" w:fill="FFFFFF"/>
        </w:rPr>
        <w:t xml:space="preserve"> r.</w:t>
      </w:r>
      <w:r w:rsidRPr="00933A0A">
        <w:rPr>
          <w:shd w:val="clear" w:color="auto" w:fill="FFFFFF"/>
        </w:rPr>
        <w:t xml:space="preserve"> liczba podmiotów gospodarki narodowej w tym sektorze zwiększyła się o </w:t>
      </w:r>
      <w:r w:rsidR="00190892" w:rsidRPr="00933A0A">
        <w:rPr>
          <w:shd w:val="clear" w:color="auto" w:fill="FFFFFF"/>
        </w:rPr>
        <w:t>1</w:t>
      </w:r>
      <w:r w:rsidR="009E2F0C" w:rsidRPr="00933A0A">
        <w:rPr>
          <w:shd w:val="clear" w:color="auto" w:fill="FFFFFF"/>
        </w:rPr>
        <w:t>5</w:t>
      </w:r>
      <w:r w:rsidR="00190892" w:rsidRPr="00933A0A">
        <w:rPr>
          <w:shd w:val="clear" w:color="auto" w:fill="FFFFFF"/>
        </w:rPr>
        <w:t>,</w:t>
      </w:r>
      <w:r w:rsidR="009E2F0C" w:rsidRPr="00933A0A">
        <w:rPr>
          <w:shd w:val="clear" w:color="auto" w:fill="FFFFFF"/>
        </w:rPr>
        <w:t>0</w:t>
      </w:r>
      <w:r w:rsidRPr="00933A0A">
        <w:rPr>
          <w:shd w:val="clear" w:color="auto" w:fill="FFFFFF"/>
        </w:rPr>
        <w:t xml:space="preserve"> tys.</w:t>
      </w:r>
      <w:r w:rsidR="00C967B7" w:rsidRPr="00933A0A">
        <w:rPr>
          <w:shd w:val="clear" w:color="auto" w:fill="FFFFFF"/>
        </w:rPr>
        <w:t>,</w:t>
      </w:r>
      <w:r w:rsidRPr="00933A0A">
        <w:rPr>
          <w:shd w:val="clear" w:color="auto" w:fill="FFFFFF"/>
        </w:rPr>
        <w:t xml:space="preserve"> </w:t>
      </w:r>
      <w:r w:rsidR="001D3346" w:rsidRPr="00933A0A">
        <w:rPr>
          <w:shd w:val="clear" w:color="auto" w:fill="FFFFFF"/>
        </w:rPr>
        <w:t xml:space="preserve">tj. </w:t>
      </w:r>
      <w:r w:rsidRPr="00933A0A">
        <w:rPr>
          <w:shd w:val="clear" w:color="auto" w:fill="FFFFFF"/>
        </w:rPr>
        <w:t xml:space="preserve">do </w:t>
      </w:r>
      <w:r w:rsidR="00190892" w:rsidRPr="00933A0A">
        <w:rPr>
          <w:shd w:val="clear" w:color="auto" w:fill="FFFFFF"/>
        </w:rPr>
        <w:t>8</w:t>
      </w:r>
      <w:r w:rsidR="009E2F0C" w:rsidRPr="00933A0A">
        <w:rPr>
          <w:shd w:val="clear" w:color="auto" w:fill="FFFFFF"/>
        </w:rPr>
        <w:t>40</w:t>
      </w:r>
      <w:r w:rsidRPr="00933A0A">
        <w:rPr>
          <w:shd w:val="clear" w:color="auto" w:fill="FFFFFF"/>
        </w:rPr>
        <w:t xml:space="preserve">,3 tys., </w:t>
      </w:r>
      <w:r w:rsidR="002A35BF" w:rsidRPr="00933A0A">
        <w:rPr>
          <w:shd w:val="clear" w:color="auto" w:fill="FFFFFF"/>
        </w:rPr>
        <w:t>czyli</w:t>
      </w:r>
      <w:r w:rsidRPr="00933A0A">
        <w:rPr>
          <w:shd w:val="clear" w:color="auto" w:fill="FFFFFF"/>
        </w:rPr>
        <w:t xml:space="preserve"> o</w:t>
      </w:r>
      <w:r w:rsidR="002A35BF" w:rsidRPr="00933A0A">
        <w:rPr>
          <w:shd w:val="clear" w:color="auto" w:fill="FFFFFF"/>
        </w:rPr>
        <w:t> </w:t>
      </w:r>
      <w:r w:rsidR="009E2F0C" w:rsidRPr="00933A0A">
        <w:rPr>
          <w:shd w:val="clear" w:color="auto" w:fill="FFFFFF"/>
        </w:rPr>
        <w:t>1</w:t>
      </w:r>
      <w:r w:rsidR="00190892" w:rsidRPr="00933A0A">
        <w:rPr>
          <w:shd w:val="clear" w:color="auto" w:fill="FFFFFF"/>
        </w:rPr>
        <w:t>,</w:t>
      </w:r>
      <w:r w:rsidR="009E2F0C" w:rsidRPr="00933A0A">
        <w:rPr>
          <w:shd w:val="clear" w:color="auto" w:fill="FFFFFF"/>
        </w:rPr>
        <w:t>8</w:t>
      </w:r>
      <w:r w:rsidRPr="00933A0A">
        <w:rPr>
          <w:shd w:val="clear" w:color="auto" w:fill="FFFFFF"/>
        </w:rPr>
        <w:t>%</w:t>
      </w:r>
      <w:r w:rsidR="000A40F5">
        <w:rPr>
          <w:shd w:val="clear" w:color="auto" w:fill="FFFFFF"/>
        </w:rPr>
        <w:t xml:space="preserve"> </w:t>
      </w:r>
      <w:r w:rsidRPr="00933A0A">
        <w:rPr>
          <w:shd w:val="clear" w:color="auto" w:fill="FFFFFF"/>
        </w:rPr>
        <w:t>(w</w:t>
      </w:r>
      <w:r w:rsidR="000A40F5">
        <w:rPr>
          <w:shd w:val="clear" w:color="auto" w:fill="FFFFFF"/>
        </w:rPr>
        <w:t> </w:t>
      </w:r>
      <w:r w:rsidRPr="00933A0A">
        <w:rPr>
          <w:shd w:val="clear" w:color="auto" w:fill="FFFFFF"/>
        </w:rPr>
        <w:t xml:space="preserve">kraju wzrosła o </w:t>
      </w:r>
      <w:r w:rsidR="009E2F0C" w:rsidRPr="00933A0A">
        <w:rPr>
          <w:shd w:val="clear" w:color="auto" w:fill="FFFFFF"/>
        </w:rPr>
        <w:t>2</w:t>
      </w:r>
      <w:r w:rsidRPr="00933A0A">
        <w:rPr>
          <w:shd w:val="clear" w:color="auto" w:fill="FFFFFF"/>
        </w:rPr>
        <w:t>,</w:t>
      </w:r>
      <w:r w:rsidR="009E2F0C" w:rsidRPr="00933A0A">
        <w:rPr>
          <w:shd w:val="clear" w:color="auto" w:fill="FFFFFF"/>
        </w:rPr>
        <w:t>5</w:t>
      </w:r>
      <w:r w:rsidRPr="00933A0A">
        <w:rPr>
          <w:shd w:val="clear" w:color="auto" w:fill="FFFFFF"/>
        </w:rPr>
        <w:t>%). Natomiast do sektora publicznego należało 26,</w:t>
      </w:r>
      <w:r w:rsidR="00E9400F" w:rsidRPr="00933A0A">
        <w:rPr>
          <w:shd w:val="clear" w:color="auto" w:fill="FFFFFF"/>
        </w:rPr>
        <w:t>0</w:t>
      </w:r>
      <w:r w:rsidRPr="00933A0A">
        <w:rPr>
          <w:shd w:val="clear" w:color="auto" w:fill="FFFFFF"/>
        </w:rPr>
        <w:t xml:space="preserve"> tys. podmiotów,</w:t>
      </w:r>
      <w:r w:rsidR="000A40F5">
        <w:rPr>
          <w:shd w:val="clear" w:color="auto" w:fill="FFFFFF"/>
        </w:rPr>
        <w:t xml:space="preserve"> </w:t>
      </w:r>
      <w:r w:rsidRPr="00933A0A">
        <w:rPr>
          <w:shd w:val="clear" w:color="auto" w:fill="FFFFFF"/>
        </w:rPr>
        <w:t>tj.</w:t>
      </w:r>
      <w:r w:rsidR="000A40F5">
        <w:rPr>
          <w:shd w:val="clear" w:color="auto" w:fill="FFFFFF"/>
        </w:rPr>
        <w:t> </w:t>
      </w:r>
      <w:r w:rsidRPr="00933A0A">
        <w:rPr>
          <w:shd w:val="clear" w:color="auto" w:fill="FFFFFF"/>
        </w:rPr>
        <w:t xml:space="preserve">o </w:t>
      </w:r>
      <w:r w:rsidR="00190892" w:rsidRPr="00933A0A">
        <w:rPr>
          <w:shd w:val="clear" w:color="auto" w:fill="FFFFFF"/>
        </w:rPr>
        <w:t>1</w:t>
      </w:r>
      <w:r w:rsidR="00E9400F" w:rsidRPr="00933A0A">
        <w:rPr>
          <w:shd w:val="clear" w:color="auto" w:fill="FFFFFF"/>
        </w:rPr>
        <w:t>9</w:t>
      </w:r>
      <w:r w:rsidR="00190892" w:rsidRPr="00933A0A">
        <w:rPr>
          <w:shd w:val="clear" w:color="auto" w:fill="FFFFFF"/>
        </w:rPr>
        <w:t>2</w:t>
      </w:r>
      <w:r w:rsidRPr="00933A0A">
        <w:rPr>
          <w:shd w:val="clear" w:color="auto" w:fill="FFFFFF"/>
        </w:rPr>
        <w:t xml:space="preserve"> mniej niż w roku poprzednim (w kraju 11</w:t>
      </w:r>
      <w:r w:rsidR="00E9400F" w:rsidRPr="00933A0A">
        <w:rPr>
          <w:shd w:val="clear" w:color="auto" w:fill="FFFFFF"/>
        </w:rPr>
        <w:t>2</w:t>
      </w:r>
      <w:r w:rsidRPr="00933A0A">
        <w:rPr>
          <w:shd w:val="clear" w:color="auto" w:fill="FFFFFF"/>
        </w:rPr>
        <w:t>,</w:t>
      </w:r>
      <w:r w:rsidR="00E9400F" w:rsidRPr="00933A0A">
        <w:rPr>
          <w:shd w:val="clear" w:color="auto" w:fill="FFFFFF"/>
        </w:rPr>
        <w:t>1</w:t>
      </w:r>
      <w:r w:rsidRPr="00933A0A">
        <w:rPr>
          <w:shd w:val="clear" w:color="auto" w:fill="FFFFFF"/>
        </w:rPr>
        <w:t xml:space="preserve"> tys. podmiotów – </w:t>
      </w:r>
      <w:r w:rsidR="00190892" w:rsidRPr="00933A0A">
        <w:rPr>
          <w:shd w:val="clear" w:color="auto" w:fill="FFFFFF"/>
        </w:rPr>
        <w:t>mni</w:t>
      </w:r>
      <w:r w:rsidR="0018769E" w:rsidRPr="00933A0A">
        <w:rPr>
          <w:shd w:val="clear" w:color="auto" w:fill="FFFFFF"/>
        </w:rPr>
        <w:t>ej</w:t>
      </w:r>
      <w:r w:rsidRPr="00933A0A">
        <w:rPr>
          <w:shd w:val="clear" w:color="auto" w:fill="FFFFFF"/>
        </w:rPr>
        <w:t xml:space="preserve"> o </w:t>
      </w:r>
      <w:r w:rsidR="00E9400F" w:rsidRPr="00933A0A">
        <w:rPr>
          <w:shd w:val="clear" w:color="auto" w:fill="FFFFFF"/>
        </w:rPr>
        <w:t>71</w:t>
      </w:r>
      <w:r w:rsidRPr="00933A0A">
        <w:rPr>
          <w:shd w:val="clear" w:color="auto" w:fill="FFFFFF"/>
        </w:rPr>
        <w:t xml:space="preserve"> w porównaniu z</w:t>
      </w:r>
      <w:r w:rsidR="00A61CDD" w:rsidRPr="00933A0A">
        <w:rPr>
          <w:shd w:val="clear" w:color="auto" w:fill="FFFFFF"/>
        </w:rPr>
        <w:t> </w:t>
      </w:r>
      <w:r w:rsidRPr="00933A0A">
        <w:rPr>
          <w:shd w:val="clear" w:color="auto" w:fill="FFFFFF"/>
        </w:rPr>
        <w:t>202</w:t>
      </w:r>
      <w:r w:rsidR="00E9400F" w:rsidRPr="00933A0A">
        <w:rPr>
          <w:shd w:val="clear" w:color="auto" w:fill="FFFFFF"/>
        </w:rPr>
        <w:t>4</w:t>
      </w:r>
      <w:r w:rsidRPr="00933A0A">
        <w:rPr>
          <w:shd w:val="clear" w:color="auto" w:fill="FFFFFF"/>
        </w:rPr>
        <w:t xml:space="preserve"> r.).</w:t>
      </w:r>
    </w:p>
    <w:p w14:paraId="30B9EA19" w14:textId="6964E08E" w:rsidR="00540409" w:rsidRPr="00F53D19" w:rsidRDefault="00540409" w:rsidP="006D4A47">
      <w:pPr>
        <w:spacing w:line="288" w:lineRule="auto"/>
        <w:rPr>
          <w:lang w:eastAsia="pl-PL"/>
        </w:rPr>
      </w:pPr>
      <w:r w:rsidRPr="00F53D19">
        <w:rPr>
          <w:shd w:val="clear" w:color="auto" w:fill="FFFFFF"/>
        </w:rPr>
        <w:t>W ogólnej liczbie podmiotów zlokalizowanych w strefie przygranicznej w 202</w:t>
      </w:r>
      <w:r w:rsidR="00076497" w:rsidRPr="00F53D19">
        <w:rPr>
          <w:shd w:val="clear" w:color="auto" w:fill="FFFFFF"/>
        </w:rPr>
        <w:t>5</w:t>
      </w:r>
      <w:r w:rsidRPr="00F53D19">
        <w:rPr>
          <w:shd w:val="clear" w:color="auto" w:fill="FFFFFF"/>
        </w:rPr>
        <w:t xml:space="preserve"> r</w:t>
      </w:r>
      <w:r w:rsidR="00B5177D" w:rsidRPr="00F53D19">
        <w:rPr>
          <w:shd w:val="clear" w:color="auto" w:fill="FFFFFF"/>
        </w:rPr>
        <w:t>.</w:t>
      </w:r>
      <w:r w:rsidRPr="00F53D19">
        <w:rPr>
          <w:shd w:val="clear" w:color="auto" w:fill="FFFFFF"/>
        </w:rPr>
        <w:t xml:space="preserve"> największy udział stanowiły osoby fizyczne prowadzące działalność gospodarczą – 7</w:t>
      </w:r>
      <w:r w:rsidR="00076497" w:rsidRPr="00F53D19">
        <w:rPr>
          <w:shd w:val="clear" w:color="auto" w:fill="FFFFFF"/>
        </w:rPr>
        <w:t>2</w:t>
      </w:r>
      <w:r w:rsidRPr="00F53D19">
        <w:rPr>
          <w:shd w:val="clear" w:color="auto" w:fill="FFFFFF"/>
        </w:rPr>
        <w:t>,</w:t>
      </w:r>
      <w:r w:rsidR="00076497" w:rsidRPr="00F53D19">
        <w:rPr>
          <w:shd w:val="clear" w:color="auto" w:fill="FFFFFF"/>
        </w:rPr>
        <w:t>7</w:t>
      </w:r>
      <w:r w:rsidRPr="00F53D19">
        <w:rPr>
          <w:shd w:val="clear" w:color="auto" w:fill="FFFFFF"/>
        </w:rPr>
        <w:t>% (w kraju 7</w:t>
      </w:r>
      <w:r w:rsidR="00076497" w:rsidRPr="00F53D19">
        <w:rPr>
          <w:shd w:val="clear" w:color="auto" w:fill="FFFFFF"/>
        </w:rPr>
        <w:t>0</w:t>
      </w:r>
      <w:r w:rsidRPr="00F53D19">
        <w:rPr>
          <w:shd w:val="clear" w:color="auto" w:fill="FFFFFF"/>
        </w:rPr>
        <w:t>,</w:t>
      </w:r>
      <w:r w:rsidR="00076497" w:rsidRPr="00F53D19">
        <w:rPr>
          <w:shd w:val="clear" w:color="auto" w:fill="FFFFFF"/>
        </w:rPr>
        <w:t>8</w:t>
      </w:r>
      <w:r w:rsidRPr="00F53D19">
        <w:rPr>
          <w:shd w:val="clear" w:color="auto" w:fill="FFFFFF"/>
        </w:rPr>
        <w:t>%). W porównaniu z 202</w:t>
      </w:r>
      <w:r w:rsidR="00527203" w:rsidRPr="00F53D19">
        <w:rPr>
          <w:shd w:val="clear" w:color="auto" w:fill="FFFFFF"/>
        </w:rPr>
        <w:t>4</w:t>
      </w:r>
      <w:r w:rsidRPr="00F53D19">
        <w:rPr>
          <w:shd w:val="clear" w:color="auto" w:fill="FFFFFF"/>
        </w:rPr>
        <w:t xml:space="preserve"> r. w rejestrze REGON wpisanych było o 1</w:t>
      </w:r>
      <w:r w:rsidR="00527203" w:rsidRPr="00F53D19">
        <w:rPr>
          <w:shd w:val="clear" w:color="auto" w:fill="FFFFFF"/>
        </w:rPr>
        <w:t>1</w:t>
      </w:r>
      <w:r w:rsidR="00FD0226" w:rsidRPr="00F53D19">
        <w:rPr>
          <w:shd w:val="clear" w:color="auto" w:fill="FFFFFF"/>
        </w:rPr>
        <w:t>,</w:t>
      </w:r>
      <w:r w:rsidR="00527203" w:rsidRPr="00F53D19">
        <w:rPr>
          <w:shd w:val="clear" w:color="auto" w:fill="FFFFFF"/>
        </w:rPr>
        <w:t>3</w:t>
      </w:r>
      <w:r w:rsidRPr="00F53D19">
        <w:rPr>
          <w:shd w:val="clear" w:color="auto" w:fill="FFFFFF"/>
        </w:rPr>
        <w:t xml:space="preserve"> tys. więcej (o </w:t>
      </w:r>
      <w:r w:rsidR="00527203" w:rsidRPr="00F53D19">
        <w:rPr>
          <w:shd w:val="clear" w:color="auto" w:fill="FFFFFF"/>
        </w:rPr>
        <w:t>1</w:t>
      </w:r>
      <w:r w:rsidR="00FD0226" w:rsidRPr="00F53D19">
        <w:rPr>
          <w:shd w:val="clear" w:color="auto" w:fill="FFFFFF"/>
        </w:rPr>
        <w:t>,</w:t>
      </w:r>
      <w:r w:rsidR="00527203" w:rsidRPr="00F53D19">
        <w:rPr>
          <w:shd w:val="clear" w:color="auto" w:fill="FFFFFF"/>
        </w:rPr>
        <w:t>8</w:t>
      </w:r>
      <w:r w:rsidRPr="00F53D19">
        <w:rPr>
          <w:shd w:val="clear" w:color="auto" w:fill="FFFFFF"/>
        </w:rPr>
        <w:t xml:space="preserve">%) osób fizycznych prowadzących działalność gospodarczą (w kraju – o </w:t>
      </w:r>
      <w:r w:rsidR="00FD0226" w:rsidRPr="00F53D19">
        <w:rPr>
          <w:shd w:val="clear" w:color="auto" w:fill="FFFFFF"/>
        </w:rPr>
        <w:t>2,</w:t>
      </w:r>
      <w:r w:rsidR="00527203" w:rsidRPr="00F53D19">
        <w:rPr>
          <w:shd w:val="clear" w:color="auto" w:fill="FFFFFF"/>
        </w:rPr>
        <w:t>5</w:t>
      </w:r>
      <w:r w:rsidRPr="00F53D19">
        <w:rPr>
          <w:shd w:val="clear" w:color="auto" w:fill="FFFFFF"/>
        </w:rPr>
        <w:t>% więcej).</w:t>
      </w:r>
    </w:p>
    <w:p w14:paraId="08BF88C5" w14:textId="53215973" w:rsidR="0030567F" w:rsidRPr="00F53D19" w:rsidRDefault="00540409" w:rsidP="006D4A47">
      <w:pPr>
        <w:spacing w:line="288" w:lineRule="auto"/>
        <w:rPr>
          <w:rFonts w:eastAsia="Myriad Pro" w:cs="Arial"/>
          <w:szCs w:val="19"/>
          <w:lang w:eastAsia="pl-PL" w:bidi="pl-PL"/>
        </w:rPr>
      </w:pPr>
      <w:r w:rsidRPr="00F53D19">
        <w:rPr>
          <w:rFonts w:eastAsia="Myriad Pro" w:cs="Arial"/>
          <w:szCs w:val="19"/>
          <w:lang w:eastAsia="pl-PL" w:bidi="pl-PL"/>
        </w:rPr>
        <w:t xml:space="preserve">Spółki handlowe, działające </w:t>
      </w:r>
      <w:r w:rsidR="00696101" w:rsidRPr="00F53D19">
        <w:rPr>
          <w:rFonts w:eastAsia="Myriad Pro" w:cs="Arial"/>
          <w:szCs w:val="19"/>
          <w:lang w:eastAsia="pl-PL" w:bidi="pl-PL"/>
        </w:rPr>
        <w:t>w 202</w:t>
      </w:r>
      <w:r w:rsidR="009D1ACB" w:rsidRPr="00F53D19">
        <w:rPr>
          <w:rFonts w:eastAsia="Myriad Pro" w:cs="Arial"/>
          <w:szCs w:val="19"/>
          <w:lang w:eastAsia="pl-PL" w:bidi="pl-PL"/>
        </w:rPr>
        <w:t>5</w:t>
      </w:r>
      <w:r w:rsidR="00696101" w:rsidRPr="00F53D19">
        <w:rPr>
          <w:rFonts w:eastAsia="Myriad Pro" w:cs="Arial"/>
          <w:szCs w:val="19"/>
          <w:lang w:eastAsia="pl-PL" w:bidi="pl-PL"/>
        </w:rPr>
        <w:t xml:space="preserve"> r. </w:t>
      </w:r>
      <w:r w:rsidRPr="00F53D19">
        <w:rPr>
          <w:rFonts w:eastAsia="Myriad Pro" w:cs="Arial"/>
          <w:szCs w:val="19"/>
          <w:lang w:eastAsia="pl-PL" w:bidi="pl-PL"/>
        </w:rPr>
        <w:t xml:space="preserve">na terenie strefy, stanowiły </w:t>
      </w:r>
      <w:r w:rsidR="00696101" w:rsidRPr="00F53D19">
        <w:rPr>
          <w:rFonts w:eastAsia="Myriad Pro" w:cs="Arial"/>
          <w:szCs w:val="19"/>
          <w:lang w:eastAsia="pl-PL" w:bidi="pl-PL"/>
        </w:rPr>
        <w:t>8,</w:t>
      </w:r>
      <w:r w:rsidR="009D1ACB" w:rsidRPr="00F53D19">
        <w:rPr>
          <w:rFonts w:eastAsia="Myriad Pro" w:cs="Arial"/>
          <w:szCs w:val="19"/>
          <w:lang w:eastAsia="pl-PL" w:bidi="pl-PL"/>
        </w:rPr>
        <w:t>5</w:t>
      </w:r>
      <w:r w:rsidRPr="00F53D19">
        <w:rPr>
          <w:rFonts w:eastAsia="Myriad Pro" w:cs="Arial"/>
          <w:szCs w:val="19"/>
          <w:lang w:eastAsia="pl-PL" w:bidi="pl-PL"/>
        </w:rPr>
        <w:t>% w strukturze podmiotów wpisanych w rejestrze REGON (w kraju 1</w:t>
      </w:r>
      <w:r w:rsidR="009D1ACB" w:rsidRPr="00F53D19">
        <w:rPr>
          <w:rFonts w:eastAsia="Myriad Pro" w:cs="Arial"/>
          <w:szCs w:val="19"/>
          <w:lang w:eastAsia="pl-PL" w:bidi="pl-PL"/>
        </w:rPr>
        <w:t>3</w:t>
      </w:r>
      <w:r w:rsidRPr="00F53D19">
        <w:rPr>
          <w:rFonts w:eastAsia="Myriad Pro" w:cs="Arial"/>
          <w:szCs w:val="19"/>
          <w:lang w:eastAsia="pl-PL" w:bidi="pl-PL"/>
        </w:rPr>
        <w:t>,</w:t>
      </w:r>
      <w:r w:rsidR="009D1ACB" w:rsidRPr="00F53D19">
        <w:rPr>
          <w:rFonts w:eastAsia="Myriad Pro" w:cs="Arial"/>
          <w:szCs w:val="19"/>
          <w:lang w:eastAsia="pl-PL" w:bidi="pl-PL"/>
        </w:rPr>
        <w:t>5</w:t>
      </w:r>
      <w:r w:rsidRPr="00F53D19">
        <w:rPr>
          <w:rFonts w:eastAsia="Myriad Pro" w:cs="Arial"/>
          <w:szCs w:val="19"/>
          <w:lang w:eastAsia="pl-PL" w:bidi="pl-PL"/>
        </w:rPr>
        <w:t xml:space="preserve">%). W poprzednim roku udziały te kształtowały się odpowiednio na poziomie </w:t>
      </w:r>
      <w:r w:rsidR="009D1ACB" w:rsidRPr="00F53D19">
        <w:rPr>
          <w:rFonts w:eastAsia="Myriad Pro" w:cs="Arial"/>
          <w:szCs w:val="19"/>
          <w:lang w:eastAsia="pl-PL" w:bidi="pl-PL"/>
        </w:rPr>
        <w:t>8</w:t>
      </w:r>
      <w:r w:rsidRPr="00F53D19">
        <w:rPr>
          <w:rFonts w:eastAsia="Myriad Pro" w:cs="Arial"/>
          <w:szCs w:val="19"/>
          <w:lang w:eastAsia="pl-PL" w:bidi="pl-PL"/>
        </w:rPr>
        <w:t>,</w:t>
      </w:r>
      <w:r w:rsidR="009D1ACB" w:rsidRPr="00F53D19">
        <w:rPr>
          <w:rFonts w:eastAsia="Myriad Pro" w:cs="Arial"/>
          <w:szCs w:val="19"/>
          <w:lang w:eastAsia="pl-PL" w:bidi="pl-PL"/>
        </w:rPr>
        <w:t>3</w:t>
      </w:r>
      <w:r w:rsidRPr="00F53D19">
        <w:rPr>
          <w:rFonts w:eastAsia="Myriad Pro" w:cs="Arial"/>
          <w:szCs w:val="19"/>
          <w:lang w:eastAsia="pl-PL" w:bidi="pl-PL"/>
        </w:rPr>
        <w:t>% i 1</w:t>
      </w:r>
      <w:r w:rsidR="009D1ACB" w:rsidRPr="00F53D19">
        <w:rPr>
          <w:rFonts w:eastAsia="Myriad Pro" w:cs="Arial"/>
          <w:szCs w:val="19"/>
          <w:lang w:eastAsia="pl-PL" w:bidi="pl-PL"/>
        </w:rPr>
        <w:t>3</w:t>
      </w:r>
      <w:r w:rsidR="00696101" w:rsidRPr="00F53D19">
        <w:rPr>
          <w:rFonts w:eastAsia="Myriad Pro" w:cs="Arial"/>
          <w:szCs w:val="19"/>
          <w:lang w:eastAsia="pl-PL" w:bidi="pl-PL"/>
        </w:rPr>
        <w:t>,</w:t>
      </w:r>
      <w:r w:rsidR="009D1ACB" w:rsidRPr="00F53D19">
        <w:rPr>
          <w:rFonts w:eastAsia="Myriad Pro" w:cs="Arial"/>
          <w:szCs w:val="19"/>
          <w:lang w:eastAsia="pl-PL" w:bidi="pl-PL"/>
        </w:rPr>
        <w:t>2</w:t>
      </w:r>
      <w:r w:rsidRPr="00F53D19">
        <w:rPr>
          <w:rFonts w:eastAsia="Myriad Pro" w:cs="Arial"/>
          <w:szCs w:val="19"/>
          <w:lang w:eastAsia="pl-PL" w:bidi="pl-PL"/>
        </w:rPr>
        <w:t>%.</w:t>
      </w:r>
    </w:p>
    <w:p w14:paraId="15DE873B" w14:textId="3FFB308F" w:rsidR="00540409" w:rsidRPr="00F53D19" w:rsidRDefault="00540409" w:rsidP="006D4A47">
      <w:pPr>
        <w:spacing w:line="288" w:lineRule="auto"/>
        <w:rPr>
          <w:rFonts w:eastAsia="Myriad Pro" w:cs="Arial"/>
          <w:spacing w:val="-2"/>
          <w:szCs w:val="19"/>
          <w:lang w:eastAsia="pl-PL" w:bidi="pl-PL"/>
        </w:rPr>
      </w:pPr>
      <w:r w:rsidRPr="00F53D19">
        <w:rPr>
          <w:rFonts w:eastAsia="Myriad Pro" w:cs="Arial"/>
          <w:spacing w:val="-2"/>
          <w:szCs w:val="19"/>
          <w:lang w:eastAsia="pl-PL" w:bidi="pl-PL"/>
        </w:rPr>
        <w:t>Rejestr REGON obejmował także spółki cywilne z udziałem</w:t>
      </w:r>
      <w:r w:rsidR="00EF2E6F" w:rsidRPr="00F53D19">
        <w:rPr>
          <w:rFonts w:eastAsia="Myriad Pro" w:cs="Arial"/>
          <w:spacing w:val="-2"/>
          <w:szCs w:val="19"/>
          <w:lang w:eastAsia="pl-PL" w:bidi="pl-PL"/>
        </w:rPr>
        <w:t xml:space="preserve"> wynoszącym</w:t>
      </w:r>
      <w:r w:rsidRPr="00F53D19">
        <w:rPr>
          <w:rFonts w:eastAsia="Myriad Pro" w:cs="Arial"/>
          <w:spacing w:val="-2"/>
          <w:szCs w:val="19"/>
          <w:lang w:eastAsia="pl-PL" w:bidi="pl-PL"/>
        </w:rPr>
        <w:t xml:space="preserve"> </w:t>
      </w:r>
      <w:r w:rsidR="00EF2E6F" w:rsidRPr="00F53D19">
        <w:rPr>
          <w:rFonts w:eastAsia="Myriad Pro" w:cs="Arial"/>
          <w:spacing w:val="-2"/>
          <w:szCs w:val="19"/>
          <w:lang w:eastAsia="pl-PL" w:bidi="pl-PL"/>
        </w:rPr>
        <w:t>5,</w:t>
      </w:r>
      <w:r w:rsidR="005E2B26" w:rsidRPr="00F53D19">
        <w:rPr>
          <w:rFonts w:eastAsia="Myriad Pro" w:cs="Arial"/>
          <w:spacing w:val="-2"/>
          <w:szCs w:val="19"/>
          <w:lang w:eastAsia="pl-PL" w:bidi="pl-PL"/>
        </w:rPr>
        <w:t>5</w:t>
      </w:r>
      <w:r w:rsidR="00EF2E6F" w:rsidRPr="00F53D19">
        <w:rPr>
          <w:rFonts w:eastAsia="Myriad Pro" w:cs="Arial"/>
          <w:spacing w:val="-2"/>
          <w:szCs w:val="19"/>
          <w:lang w:eastAsia="pl-PL" w:bidi="pl-PL"/>
        </w:rPr>
        <w:t xml:space="preserve">% </w:t>
      </w:r>
      <w:r w:rsidRPr="00F53D19">
        <w:rPr>
          <w:rFonts w:eastAsia="Myriad Pro" w:cs="Arial"/>
          <w:spacing w:val="-2"/>
          <w:szCs w:val="19"/>
          <w:lang w:eastAsia="pl-PL" w:bidi="pl-PL"/>
        </w:rPr>
        <w:t>w strukturze podmiotów gospodarki narodowej w strefie, fundacje, stowarzyszenia i organizacje społeczne – 3,</w:t>
      </w:r>
      <w:r w:rsidR="005E2B26" w:rsidRPr="00F53D19">
        <w:rPr>
          <w:rFonts w:eastAsia="Myriad Pro" w:cs="Arial"/>
          <w:spacing w:val="-2"/>
          <w:szCs w:val="19"/>
          <w:lang w:eastAsia="pl-PL" w:bidi="pl-PL"/>
        </w:rPr>
        <w:t>7</w:t>
      </w:r>
      <w:r w:rsidRPr="00F53D19">
        <w:rPr>
          <w:rFonts w:eastAsia="Myriad Pro" w:cs="Arial"/>
          <w:spacing w:val="-2"/>
          <w:szCs w:val="19"/>
          <w:lang w:eastAsia="pl-PL" w:bidi="pl-PL"/>
        </w:rPr>
        <w:t>%, spółdzielnie – 0,</w:t>
      </w:r>
      <w:r w:rsidR="00DA7B5F" w:rsidRPr="00F53D19">
        <w:rPr>
          <w:rFonts w:eastAsia="Myriad Pro" w:cs="Arial"/>
          <w:spacing w:val="-2"/>
          <w:szCs w:val="19"/>
          <w:lang w:eastAsia="pl-PL" w:bidi="pl-PL"/>
        </w:rPr>
        <w:t>2</w:t>
      </w:r>
      <w:r w:rsidRPr="00F53D19">
        <w:rPr>
          <w:rFonts w:eastAsia="Myriad Pro" w:cs="Arial"/>
          <w:spacing w:val="-2"/>
          <w:szCs w:val="19"/>
          <w:lang w:eastAsia="pl-PL" w:bidi="pl-PL"/>
        </w:rPr>
        <w:t>% (w 202</w:t>
      </w:r>
      <w:r w:rsidR="005E2B26" w:rsidRPr="00F53D19">
        <w:rPr>
          <w:rFonts w:eastAsia="Myriad Pro" w:cs="Arial"/>
          <w:spacing w:val="-2"/>
          <w:szCs w:val="19"/>
          <w:lang w:eastAsia="pl-PL" w:bidi="pl-PL"/>
        </w:rPr>
        <w:t>4</w:t>
      </w:r>
      <w:r w:rsidRPr="00F53D19">
        <w:rPr>
          <w:rFonts w:eastAsia="Myriad Pro" w:cs="Arial"/>
          <w:spacing w:val="-2"/>
          <w:szCs w:val="19"/>
          <w:lang w:eastAsia="pl-PL" w:bidi="pl-PL"/>
        </w:rPr>
        <w:t xml:space="preserve"> r. </w:t>
      </w:r>
      <w:r w:rsidR="009D6788" w:rsidRPr="00F53D19">
        <w:rPr>
          <w:rFonts w:eastAsia="Myriad Pro" w:cs="Arial"/>
          <w:spacing w:val="-2"/>
          <w:szCs w:val="19"/>
          <w:lang w:eastAsia="pl-PL" w:bidi="pl-PL"/>
        </w:rPr>
        <w:t xml:space="preserve">udział ten wyniósł </w:t>
      </w:r>
      <w:r w:rsidRPr="00F53D19">
        <w:rPr>
          <w:rFonts w:eastAsia="Myriad Pro" w:cs="Arial"/>
          <w:spacing w:val="-2"/>
          <w:szCs w:val="19"/>
          <w:lang w:eastAsia="pl-PL" w:bidi="pl-PL"/>
        </w:rPr>
        <w:t xml:space="preserve">odpowiednio: </w:t>
      </w:r>
      <w:r w:rsidR="00DA7B5F" w:rsidRPr="00F53D19">
        <w:rPr>
          <w:rFonts w:eastAsia="Myriad Pro" w:cs="Arial"/>
          <w:spacing w:val="-2"/>
          <w:szCs w:val="19"/>
          <w:lang w:eastAsia="pl-PL" w:bidi="pl-PL"/>
        </w:rPr>
        <w:t>5,</w:t>
      </w:r>
      <w:r w:rsidR="005E2B26" w:rsidRPr="00F53D19">
        <w:rPr>
          <w:rFonts w:eastAsia="Myriad Pro" w:cs="Arial"/>
          <w:spacing w:val="-2"/>
          <w:szCs w:val="19"/>
          <w:lang w:eastAsia="pl-PL" w:bidi="pl-PL"/>
        </w:rPr>
        <w:t>6</w:t>
      </w:r>
      <w:r w:rsidRPr="00F53D19">
        <w:rPr>
          <w:rFonts w:eastAsia="Myriad Pro" w:cs="Arial"/>
          <w:spacing w:val="-2"/>
          <w:szCs w:val="19"/>
          <w:lang w:eastAsia="pl-PL" w:bidi="pl-PL"/>
        </w:rPr>
        <w:t>%; 3,</w:t>
      </w:r>
      <w:r w:rsidR="005E2B26" w:rsidRPr="00F53D19">
        <w:rPr>
          <w:rFonts w:eastAsia="Myriad Pro" w:cs="Arial"/>
          <w:spacing w:val="-2"/>
          <w:szCs w:val="19"/>
          <w:lang w:eastAsia="pl-PL" w:bidi="pl-PL"/>
        </w:rPr>
        <w:t>6</w:t>
      </w:r>
      <w:r w:rsidRPr="00F53D19">
        <w:rPr>
          <w:rFonts w:eastAsia="Myriad Pro" w:cs="Arial"/>
          <w:spacing w:val="-2"/>
          <w:szCs w:val="19"/>
          <w:lang w:eastAsia="pl-PL" w:bidi="pl-PL"/>
        </w:rPr>
        <w:t>% i 0,</w:t>
      </w:r>
      <w:r w:rsidR="00DA7B5F" w:rsidRPr="00F53D19">
        <w:rPr>
          <w:rFonts w:eastAsia="Myriad Pro" w:cs="Arial"/>
          <w:spacing w:val="-2"/>
          <w:szCs w:val="19"/>
          <w:lang w:eastAsia="pl-PL" w:bidi="pl-PL"/>
        </w:rPr>
        <w:t>2</w:t>
      </w:r>
      <w:r w:rsidRPr="00F53D19">
        <w:rPr>
          <w:rFonts w:eastAsia="Myriad Pro" w:cs="Arial"/>
          <w:spacing w:val="-2"/>
          <w:szCs w:val="19"/>
          <w:lang w:eastAsia="pl-PL" w:bidi="pl-PL"/>
        </w:rPr>
        <w:t>%).</w:t>
      </w:r>
    </w:p>
    <w:p w14:paraId="28B034D5" w14:textId="1C14B3CE" w:rsidR="00C551E9" w:rsidRPr="000D0866" w:rsidRDefault="00540409" w:rsidP="006D4A47">
      <w:pPr>
        <w:spacing w:line="288" w:lineRule="auto"/>
        <w:rPr>
          <w:rFonts w:eastAsia="Times New Roman" w:cs="Arial"/>
          <w:szCs w:val="19"/>
          <w:lang w:eastAsia="pl-PL"/>
        </w:rPr>
      </w:pPr>
      <w:r w:rsidRPr="000D0866">
        <w:rPr>
          <w:rFonts w:cs="Arial"/>
          <w:szCs w:val="19"/>
        </w:rPr>
        <w:lastRenderedPageBreak/>
        <w:t>Spośród ogólnej liczby podmiotów gospodarki narodowej działających na obszarach przygranicznych Polski prawie połowa zlokalizowana była w strefie przygranicznej trzech województw: śląskiego (</w:t>
      </w:r>
      <w:r w:rsidRPr="000D0866">
        <w:rPr>
          <w:rFonts w:eastAsia="Times New Roman" w:cs="Arial"/>
          <w:szCs w:val="19"/>
          <w:lang w:eastAsia="pl-PL"/>
        </w:rPr>
        <w:t>19,</w:t>
      </w:r>
      <w:r w:rsidR="000D0866" w:rsidRPr="000D0866">
        <w:rPr>
          <w:rFonts w:eastAsia="Times New Roman" w:cs="Arial"/>
          <w:szCs w:val="19"/>
          <w:lang w:eastAsia="pl-PL"/>
        </w:rPr>
        <w:t>1</w:t>
      </w:r>
      <w:r w:rsidRPr="000D0866">
        <w:rPr>
          <w:rFonts w:eastAsia="Times New Roman" w:cs="Arial"/>
          <w:szCs w:val="19"/>
          <w:lang w:eastAsia="pl-PL"/>
        </w:rPr>
        <w:t>%)</w:t>
      </w:r>
      <w:r w:rsidRPr="000D0866">
        <w:rPr>
          <w:rFonts w:cs="Arial"/>
          <w:szCs w:val="19"/>
        </w:rPr>
        <w:t>, dolnośląskiego (</w:t>
      </w:r>
      <w:r w:rsidRPr="000D0866">
        <w:rPr>
          <w:rFonts w:eastAsia="Times New Roman" w:cs="Arial"/>
          <w:szCs w:val="19"/>
          <w:lang w:eastAsia="pl-PL"/>
        </w:rPr>
        <w:t>17,</w:t>
      </w:r>
      <w:r w:rsidR="000D0866" w:rsidRPr="000D0866">
        <w:rPr>
          <w:rFonts w:eastAsia="Times New Roman" w:cs="Arial"/>
          <w:szCs w:val="19"/>
          <w:lang w:eastAsia="pl-PL"/>
        </w:rPr>
        <w:t>1</w:t>
      </w:r>
      <w:r w:rsidRPr="000D0866">
        <w:rPr>
          <w:rFonts w:eastAsia="Times New Roman" w:cs="Arial"/>
          <w:szCs w:val="19"/>
          <w:lang w:eastAsia="pl-PL"/>
        </w:rPr>
        <w:t xml:space="preserve">%) </w:t>
      </w:r>
      <w:r w:rsidRPr="000D0866">
        <w:rPr>
          <w:rFonts w:cs="Arial"/>
          <w:szCs w:val="19"/>
        </w:rPr>
        <w:t>i zachodniopomorskiego (</w:t>
      </w:r>
      <w:r w:rsidRPr="000D0866">
        <w:rPr>
          <w:rFonts w:eastAsia="Times New Roman" w:cs="Arial"/>
          <w:szCs w:val="19"/>
          <w:lang w:eastAsia="pl-PL"/>
        </w:rPr>
        <w:t>13,5%).</w:t>
      </w:r>
    </w:p>
    <w:p w14:paraId="17D47301" w14:textId="3B3B3F81" w:rsidR="0030567F" w:rsidRPr="00AA1552" w:rsidRDefault="00243DD5" w:rsidP="00BD38D1">
      <w:pPr>
        <w:pStyle w:val="Nagwek1"/>
        <w:rPr>
          <w:sz w:val="16"/>
          <w:szCs w:val="16"/>
          <w:shd w:val="clear" w:color="auto" w:fill="FFFFFF"/>
        </w:rPr>
      </w:pPr>
      <w:r w:rsidRPr="009324CB">
        <w:rPr>
          <w:noProof/>
          <w:spacing w:val="-2"/>
        </w:rPr>
        <mc:AlternateContent>
          <mc:Choice Requires="wps">
            <w:drawing>
              <wp:anchor distT="45720" distB="45720" distL="114300" distR="114300" simplePos="0" relativeHeight="251748352" behindDoc="1" locked="0" layoutInCell="1" allowOverlap="1" wp14:anchorId="52A91763" wp14:editId="17368834">
                <wp:simplePos x="0" y="0"/>
                <wp:positionH relativeFrom="column">
                  <wp:posOffset>5203825</wp:posOffset>
                </wp:positionH>
                <wp:positionV relativeFrom="paragraph">
                  <wp:posOffset>307035</wp:posOffset>
                </wp:positionV>
                <wp:extent cx="1787525" cy="1240155"/>
                <wp:effectExtent l="0" t="0" r="3175" b="0"/>
                <wp:wrapTight wrapText="bothSides">
                  <wp:wrapPolygon edited="0">
                    <wp:start x="691" y="0"/>
                    <wp:lineTo x="691" y="21235"/>
                    <wp:lineTo x="21408" y="21235"/>
                    <wp:lineTo x="21408" y="0"/>
                    <wp:lineTo x="691" y="0"/>
                  </wp:wrapPolygon>
                </wp:wrapTight>
                <wp:docPr id="16" name="Pole tekstowe 16" descr="W strefie przygranicznej na 1000 ludności przypadało 126,6 podmiotów (w Polsce 145,5)&#10;− najwięcej przy granicy z Niemcami (158,6),&#10;− najmniej przy granicy z Ukrainą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240155"/>
                        </a:xfrm>
                        <a:prstGeom prst="rect">
                          <a:avLst/>
                        </a:prstGeom>
                        <a:noFill/>
                        <a:ln w="9525">
                          <a:noFill/>
                          <a:miter lim="800000"/>
                          <a:headEnd/>
                          <a:tailEnd/>
                        </a:ln>
                      </wps:spPr>
                      <wps:txbx>
                        <w:txbxContent>
                          <w:p w14:paraId="100A076C" w14:textId="0ECEEF05" w:rsidR="00243DD5" w:rsidRPr="002C5B86" w:rsidRDefault="00243DD5" w:rsidP="00243DD5">
                            <w:pPr>
                              <w:pStyle w:val="tekstzboku"/>
                              <w:spacing w:before="0"/>
                            </w:pPr>
                            <w:r w:rsidRPr="002C5B86">
                              <w:t>W strefie przygranicznej na 1000 ludności przypadało 1</w:t>
                            </w:r>
                            <w:r w:rsidR="00215CC4">
                              <w:t>2</w:t>
                            </w:r>
                            <w:r w:rsidR="007009F4">
                              <w:t>6</w:t>
                            </w:r>
                            <w:r w:rsidR="00215CC4">
                              <w:t>,</w:t>
                            </w:r>
                            <w:r w:rsidR="007009F4">
                              <w:t>6</w:t>
                            </w:r>
                            <w:r w:rsidRPr="002C5B86">
                              <w:t xml:space="preserve"> podmiotów (w Polsce 1</w:t>
                            </w:r>
                            <w:r w:rsidR="007009F4">
                              <w:t>45</w:t>
                            </w:r>
                            <w:r w:rsidR="00EF050C">
                              <w:t>,</w:t>
                            </w:r>
                            <w:r w:rsidR="007009F4">
                              <w:t>5</w:t>
                            </w:r>
                            <w:r w:rsidRPr="002C5B86">
                              <w:t>)</w:t>
                            </w:r>
                          </w:p>
                          <w:p w14:paraId="6BCB7B58" w14:textId="780063AC" w:rsidR="00243DD5" w:rsidRPr="002C5B86" w:rsidRDefault="00243DD5" w:rsidP="006A26A9">
                            <w:pPr>
                              <w:pStyle w:val="tekstzboku"/>
                              <w:numPr>
                                <w:ilvl w:val="0"/>
                                <w:numId w:val="4"/>
                              </w:numPr>
                              <w:spacing w:before="0"/>
                              <w:ind w:left="142" w:hanging="142"/>
                            </w:pPr>
                            <w:r w:rsidRPr="002C5B86">
                              <w:t xml:space="preserve">najwięcej </w:t>
                            </w:r>
                            <w:r w:rsidR="002C5B86" w:rsidRPr="002C5B86">
                              <w:t>przy</w:t>
                            </w:r>
                            <w:r w:rsidRPr="002C5B86">
                              <w:t xml:space="preserve"> </w:t>
                            </w:r>
                            <w:r w:rsidR="002C5B86" w:rsidRPr="002C5B86">
                              <w:t>granicy z Niemcami</w:t>
                            </w:r>
                            <w:r w:rsidRPr="002C5B86">
                              <w:t xml:space="preserve"> (1</w:t>
                            </w:r>
                            <w:r w:rsidR="005817DE">
                              <w:t>5</w:t>
                            </w:r>
                            <w:r w:rsidR="00484F49">
                              <w:t>8</w:t>
                            </w:r>
                            <w:r w:rsidR="005817DE">
                              <w:t>,</w:t>
                            </w:r>
                            <w:r w:rsidR="00484F49">
                              <w:t>6</w:t>
                            </w:r>
                            <w:r w:rsidRPr="002C5B86">
                              <w:t>),</w:t>
                            </w:r>
                          </w:p>
                          <w:p w14:paraId="776656DF" w14:textId="7AEF52F1" w:rsidR="00243DD5" w:rsidRPr="002C5B86" w:rsidRDefault="00243DD5" w:rsidP="006A26A9">
                            <w:pPr>
                              <w:pStyle w:val="tekstzboku"/>
                              <w:numPr>
                                <w:ilvl w:val="0"/>
                                <w:numId w:val="4"/>
                              </w:numPr>
                              <w:spacing w:before="0"/>
                              <w:ind w:left="142" w:hanging="142"/>
                            </w:pPr>
                            <w:r w:rsidRPr="002C5B86">
                              <w:t>najmniej przy granicy</w:t>
                            </w:r>
                            <w:r w:rsidR="002C5B86" w:rsidRPr="002C5B86">
                              <w:br/>
                            </w:r>
                            <w:r w:rsidRPr="002C5B86">
                              <w:t>z Ukrainą</w:t>
                            </w:r>
                            <w:r w:rsidR="006A26A9" w:rsidRPr="002C5B86">
                              <w:t xml:space="preserve"> </w:t>
                            </w:r>
                            <w:r w:rsidRPr="002C5B86">
                              <w:t>(</w:t>
                            </w:r>
                            <w:r w:rsidR="005817DE">
                              <w:t>9</w:t>
                            </w:r>
                            <w:r w:rsidR="00B24052">
                              <w:t>7</w:t>
                            </w:r>
                            <w:r w:rsidR="005817DE">
                              <w:t>,</w:t>
                            </w:r>
                            <w:r w:rsidR="00B24052">
                              <w:t>4</w:t>
                            </w:r>
                            <w:r w:rsidRPr="002C5B86">
                              <w:t>)</w:t>
                            </w:r>
                          </w:p>
                        </w:txbxContent>
                      </wps:txbx>
                      <wps:bodyPr rot="0" vert="horz" wrap="square" lIns="9144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91763" id="Pole tekstowe 16" o:spid="_x0000_s1028" type="#_x0000_t202" alt="W strefie przygranicznej na 1000 ludności przypadało 126,6 podmiotów (w Polsce 145,5)&#10;− najwięcej przy granicy z Niemcami (158,6),&#10;− najmniej przy granicy z Ukrainą (97,4)" style="position:absolute;margin-left:409.75pt;margin-top:24.2pt;width:140.75pt;height:97.6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yL/gEAANUDAAAOAAAAZHJzL2Uyb0RvYy54bWysU9tuGyEQfa/Uf0C813upHTsr4yhNmqpS&#10;epHSfgBmWS8qMBSwd92vz8A6TpS+Vd0HxOzAmTlnDuur0WhykD4osIxWs5ISaQW0yu4Y/fnj7t2K&#10;khC5bbkGKxk9ykCvNm/frAfXyBp60K30BEFsaAbHaB+ja4oiiF4aHmbgpMVkB97wiKHfFa3nA6Ib&#10;XdRleVEM4FvnQcgQ8O/tlKSbjN91UsRvXRdkJJpR7C3m1ed1m9Zis+bNznPXK3Fqg/9DF4Yri0XP&#10;ULc8crL36i8oo4SHAF2cCTAFdJ0SMnNANlX5is1Dz53MXFCc4M4yhf8HK74eHtx3T+L4AUYcYCYR&#10;3D2IX4FYuOm53clr72HoJW+xcJUkKwYXmtPVJHVoQgLZDl+gxSHzfYQMNHbeJFWQJ0F0HMDxLLoc&#10;IxGp5HK1XNQLSgTmqnpeVotFrsGbp+vOh/hJgiFpw6jHqWZ4frgPMbXDm6cjqZqFO6V1nqy2ZGD0&#10;MuG/yhgV0XhaGUZXZfomKySWH22bL0eu9LTHAtqeaCemE+c4bkeiWkbrdDepsIX2iDp4mHyG7wI3&#10;Pfg/lAzoMUbD7z33khL92aKWl9V8nkyZg/liWWPgc/D+InVEti8z3AqEYjRSMm1vYjbyROwaNe9U&#10;VuO5k1PL6J0s0snnyZwv43zq+TVuHgEAAP//AwBQSwMEFAAGAAgAAAAhAEFC8L7gAAAACwEAAA8A&#10;AABkcnMvZG93bnJldi54bWxMj8tOwzAQRfdI/IM1SOyokzZAGuJUVcVj1QUN6tq1p0lEPI5sJw1/&#10;j7uC5WiO7j233MymZxM631kSkC4SYEjK6o4aAV/120MOzAdJWvaWUMAPethUtzelLLS90CdOh9Cw&#10;GEK+kALaEIaCc69aNNIv7IAUf2frjAzxdA3XTl5iuOn5MkmeuJEdxYZWDrhrUX0fRiPgXW3HvRrM&#10;kdzHcZXjrn6dXC3E/d28fQEWcA5/MFz1ozpU0elkR9Ke9QLydP0YUQFZngG7AmmSxnUnActs9Qy8&#10;Kvn/DdUvAAAA//8DAFBLAQItABQABgAIAAAAIQC2gziS/gAAAOEBAAATAAAAAAAAAAAAAAAAAAAA&#10;AABbQ29udGVudF9UeXBlc10ueG1sUEsBAi0AFAAGAAgAAAAhADj9If/WAAAAlAEAAAsAAAAAAAAA&#10;AAAAAAAALwEAAF9yZWxzLy5yZWxzUEsBAi0AFAAGAAgAAAAhAPOL3Iv+AQAA1QMAAA4AAAAAAAAA&#10;AAAAAAAALgIAAGRycy9lMm9Eb2MueG1sUEsBAi0AFAAGAAgAAAAhAEFC8L7gAAAACwEAAA8AAAAA&#10;AAAAAAAAAAAAWAQAAGRycy9kb3ducmV2LnhtbFBLBQYAAAAABAAEAPMAAABlBQAAAAA=&#10;" filled="f" stroked="f">
                <v:textbox inset=",,1mm">
                  <w:txbxContent>
                    <w:p w14:paraId="100A076C" w14:textId="0ECEEF05" w:rsidR="00243DD5" w:rsidRPr="002C5B86" w:rsidRDefault="00243DD5" w:rsidP="00243DD5">
                      <w:pPr>
                        <w:pStyle w:val="tekstzboku"/>
                        <w:spacing w:before="0"/>
                      </w:pPr>
                      <w:r w:rsidRPr="002C5B86">
                        <w:t>W strefie przygranicznej na 1000 ludności przypadało 1</w:t>
                      </w:r>
                      <w:r w:rsidR="00215CC4">
                        <w:t>2</w:t>
                      </w:r>
                      <w:r w:rsidR="007009F4">
                        <w:t>6</w:t>
                      </w:r>
                      <w:r w:rsidR="00215CC4">
                        <w:t>,</w:t>
                      </w:r>
                      <w:r w:rsidR="007009F4">
                        <w:t>6</w:t>
                      </w:r>
                      <w:r w:rsidRPr="002C5B86">
                        <w:t xml:space="preserve"> podmiotów (w Polsce 1</w:t>
                      </w:r>
                      <w:r w:rsidR="007009F4">
                        <w:t>45</w:t>
                      </w:r>
                      <w:r w:rsidR="00EF050C">
                        <w:t>,</w:t>
                      </w:r>
                      <w:r w:rsidR="007009F4">
                        <w:t>5</w:t>
                      </w:r>
                      <w:r w:rsidRPr="002C5B86">
                        <w:t>)</w:t>
                      </w:r>
                    </w:p>
                    <w:p w14:paraId="6BCB7B58" w14:textId="780063AC" w:rsidR="00243DD5" w:rsidRPr="002C5B86" w:rsidRDefault="00243DD5" w:rsidP="006A26A9">
                      <w:pPr>
                        <w:pStyle w:val="tekstzboku"/>
                        <w:numPr>
                          <w:ilvl w:val="0"/>
                          <w:numId w:val="4"/>
                        </w:numPr>
                        <w:spacing w:before="0"/>
                        <w:ind w:left="142" w:hanging="142"/>
                      </w:pPr>
                      <w:r w:rsidRPr="002C5B86">
                        <w:t xml:space="preserve">najwięcej </w:t>
                      </w:r>
                      <w:r w:rsidR="002C5B86" w:rsidRPr="002C5B86">
                        <w:t>przy</w:t>
                      </w:r>
                      <w:r w:rsidRPr="002C5B86">
                        <w:t xml:space="preserve"> </w:t>
                      </w:r>
                      <w:r w:rsidR="002C5B86" w:rsidRPr="002C5B86">
                        <w:t>granicy z Niemcami</w:t>
                      </w:r>
                      <w:r w:rsidRPr="002C5B86">
                        <w:t xml:space="preserve"> (1</w:t>
                      </w:r>
                      <w:r w:rsidR="005817DE">
                        <w:t>5</w:t>
                      </w:r>
                      <w:r w:rsidR="00484F49">
                        <w:t>8</w:t>
                      </w:r>
                      <w:r w:rsidR="005817DE">
                        <w:t>,</w:t>
                      </w:r>
                      <w:r w:rsidR="00484F49">
                        <w:t>6</w:t>
                      </w:r>
                      <w:r w:rsidRPr="002C5B86">
                        <w:t>),</w:t>
                      </w:r>
                    </w:p>
                    <w:p w14:paraId="776656DF" w14:textId="7AEF52F1" w:rsidR="00243DD5" w:rsidRPr="002C5B86" w:rsidRDefault="00243DD5" w:rsidP="006A26A9">
                      <w:pPr>
                        <w:pStyle w:val="tekstzboku"/>
                        <w:numPr>
                          <w:ilvl w:val="0"/>
                          <w:numId w:val="4"/>
                        </w:numPr>
                        <w:spacing w:before="0"/>
                        <w:ind w:left="142" w:hanging="142"/>
                      </w:pPr>
                      <w:r w:rsidRPr="002C5B86">
                        <w:t>najmniej przy granicy</w:t>
                      </w:r>
                      <w:r w:rsidR="002C5B86" w:rsidRPr="002C5B86">
                        <w:br/>
                      </w:r>
                      <w:r w:rsidRPr="002C5B86">
                        <w:t>z Ukrainą</w:t>
                      </w:r>
                      <w:r w:rsidR="006A26A9" w:rsidRPr="002C5B86">
                        <w:t xml:space="preserve"> </w:t>
                      </w:r>
                      <w:r w:rsidRPr="002C5B86">
                        <w:t>(</w:t>
                      </w:r>
                      <w:r w:rsidR="005817DE">
                        <w:t>9</w:t>
                      </w:r>
                      <w:r w:rsidR="00B24052">
                        <w:t>7</w:t>
                      </w:r>
                      <w:r w:rsidR="005817DE">
                        <w:t>,</w:t>
                      </w:r>
                      <w:r w:rsidR="00B24052">
                        <w:t>4</w:t>
                      </w:r>
                      <w:r w:rsidRPr="002C5B86">
                        <w:t>)</w:t>
                      </w:r>
                    </w:p>
                  </w:txbxContent>
                </v:textbox>
                <w10:wrap type="tight"/>
              </v:shape>
            </w:pict>
          </mc:Fallback>
        </mc:AlternateContent>
      </w:r>
      <w:r w:rsidR="00006CFB" w:rsidRPr="009324CB">
        <w:rPr>
          <w:rFonts w:eastAsia="Calibri"/>
        </w:rPr>
        <w:t>Podmioty gospodarki narodowej na 1000 ludności</w:t>
      </w:r>
    </w:p>
    <w:p w14:paraId="75809AEE" w14:textId="7BC8F78F" w:rsidR="00BD7280" w:rsidRPr="00D565E6" w:rsidRDefault="00BD7280" w:rsidP="00D565E6">
      <w:pPr>
        <w:spacing w:line="288" w:lineRule="auto"/>
        <w:rPr>
          <w:rFonts w:cs="Arial"/>
          <w:szCs w:val="19"/>
        </w:rPr>
      </w:pPr>
      <w:r w:rsidRPr="00D565E6">
        <w:rPr>
          <w:rFonts w:cs="Arial"/>
          <w:szCs w:val="19"/>
        </w:rPr>
        <w:t>W strefie przygranicznej Polski na 1000 ludności przypadało w 202</w:t>
      </w:r>
      <w:r w:rsidR="00454CCD" w:rsidRPr="00D565E6">
        <w:rPr>
          <w:rFonts w:cs="Arial"/>
          <w:szCs w:val="19"/>
        </w:rPr>
        <w:t>5</w:t>
      </w:r>
      <w:r w:rsidRPr="00D565E6">
        <w:rPr>
          <w:rFonts w:cs="Arial"/>
          <w:szCs w:val="19"/>
        </w:rPr>
        <w:t xml:space="preserve"> r</w:t>
      </w:r>
      <w:r w:rsidR="00215CC4" w:rsidRPr="00D565E6">
        <w:rPr>
          <w:rFonts w:cs="Arial"/>
          <w:szCs w:val="19"/>
        </w:rPr>
        <w:t>.</w:t>
      </w:r>
      <w:r w:rsidRPr="00D565E6">
        <w:rPr>
          <w:rFonts w:cs="Arial"/>
          <w:szCs w:val="19"/>
        </w:rPr>
        <w:t xml:space="preserve"> 1</w:t>
      </w:r>
      <w:r w:rsidR="00215CC4" w:rsidRPr="00D565E6">
        <w:rPr>
          <w:rFonts w:cs="Arial"/>
          <w:szCs w:val="19"/>
        </w:rPr>
        <w:t>2</w:t>
      </w:r>
      <w:r w:rsidR="007009F4" w:rsidRPr="00D565E6">
        <w:rPr>
          <w:rFonts w:cs="Arial"/>
          <w:szCs w:val="19"/>
        </w:rPr>
        <w:t>6</w:t>
      </w:r>
      <w:r w:rsidR="00215CC4" w:rsidRPr="00D565E6">
        <w:rPr>
          <w:rFonts w:cs="Arial"/>
          <w:szCs w:val="19"/>
        </w:rPr>
        <w:t>,</w:t>
      </w:r>
      <w:r w:rsidR="007009F4" w:rsidRPr="00D565E6">
        <w:rPr>
          <w:rFonts w:cs="Arial"/>
          <w:szCs w:val="19"/>
        </w:rPr>
        <w:t>6</w:t>
      </w:r>
      <w:r w:rsidRPr="00D565E6">
        <w:rPr>
          <w:rFonts w:cs="Arial"/>
          <w:szCs w:val="19"/>
        </w:rPr>
        <w:t xml:space="preserve"> podmiotów, czyli poniżej średniej krajowej, która wyniosła 1</w:t>
      </w:r>
      <w:r w:rsidR="007009F4" w:rsidRPr="00D565E6">
        <w:rPr>
          <w:rFonts w:cs="Arial"/>
          <w:szCs w:val="19"/>
        </w:rPr>
        <w:t>45</w:t>
      </w:r>
      <w:r w:rsidR="00EF050C" w:rsidRPr="00D565E6">
        <w:rPr>
          <w:rFonts w:cs="Arial"/>
          <w:szCs w:val="19"/>
        </w:rPr>
        <w:t>,</w:t>
      </w:r>
      <w:r w:rsidR="007009F4" w:rsidRPr="00D565E6">
        <w:rPr>
          <w:rFonts w:cs="Arial"/>
          <w:szCs w:val="19"/>
        </w:rPr>
        <w:t>5</w:t>
      </w:r>
      <w:r w:rsidRPr="00D565E6">
        <w:rPr>
          <w:rFonts w:cs="Arial"/>
          <w:szCs w:val="19"/>
        </w:rPr>
        <w:t>. W poprzednim roku wskaźniki te wyniosły odpowiednio 1</w:t>
      </w:r>
      <w:r w:rsidR="007009F4" w:rsidRPr="00D565E6">
        <w:rPr>
          <w:rFonts w:cs="Arial"/>
          <w:szCs w:val="19"/>
        </w:rPr>
        <w:t>23</w:t>
      </w:r>
      <w:r w:rsidR="00215CC4" w:rsidRPr="00D565E6">
        <w:rPr>
          <w:rFonts w:cs="Arial"/>
          <w:szCs w:val="19"/>
        </w:rPr>
        <w:t>,</w:t>
      </w:r>
      <w:r w:rsidR="007009F4" w:rsidRPr="00D565E6">
        <w:rPr>
          <w:rFonts w:cs="Arial"/>
          <w:szCs w:val="19"/>
        </w:rPr>
        <w:t>8</w:t>
      </w:r>
      <w:r w:rsidRPr="00D565E6">
        <w:rPr>
          <w:rFonts w:cs="Arial"/>
          <w:szCs w:val="19"/>
        </w:rPr>
        <w:t xml:space="preserve"> i 1</w:t>
      </w:r>
      <w:r w:rsidR="007009F4" w:rsidRPr="00D565E6">
        <w:rPr>
          <w:rFonts w:cs="Arial"/>
          <w:szCs w:val="19"/>
        </w:rPr>
        <w:t>41</w:t>
      </w:r>
      <w:r w:rsidR="00EF050C" w:rsidRPr="00D565E6">
        <w:rPr>
          <w:rFonts w:cs="Arial"/>
          <w:szCs w:val="19"/>
        </w:rPr>
        <w:t>,</w:t>
      </w:r>
      <w:r w:rsidR="007009F4" w:rsidRPr="00D565E6">
        <w:rPr>
          <w:rFonts w:cs="Arial"/>
          <w:szCs w:val="19"/>
        </w:rPr>
        <w:t>5</w:t>
      </w:r>
      <w:r w:rsidRPr="00D565E6">
        <w:rPr>
          <w:rFonts w:cs="Arial"/>
          <w:szCs w:val="19"/>
        </w:rPr>
        <w:t>.</w:t>
      </w:r>
    </w:p>
    <w:p w14:paraId="61C49D09" w14:textId="6BDCD838" w:rsidR="00BD7280" w:rsidRPr="00D565E6" w:rsidRDefault="00BD7280" w:rsidP="00D565E6">
      <w:pPr>
        <w:spacing w:line="288" w:lineRule="auto"/>
        <w:rPr>
          <w:rFonts w:cs="Arial"/>
          <w:szCs w:val="19"/>
        </w:rPr>
      </w:pPr>
      <w:r w:rsidRPr="00D565E6">
        <w:rPr>
          <w:rFonts w:cs="Arial"/>
          <w:szCs w:val="19"/>
        </w:rPr>
        <w:t>Najwięcej podmiotów na 1000 ludności w 202</w:t>
      </w:r>
      <w:r w:rsidR="00484F49" w:rsidRPr="00D565E6">
        <w:rPr>
          <w:rFonts w:cs="Arial"/>
          <w:szCs w:val="19"/>
        </w:rPr>
        <w:t>5</w:t>
      </w:r>
      <w:r w:rsidRPr="00D565E6">
        <w:rPr>
          <w:rFonts w:cs="Arial"/>
          <w:szCs w:val="19"/>
        </w:rPr>
        <w:t xml:space="preserve"> r. odnotowano w strefie przy granicy z Niemcami – 1</w:t>
      </w:r>
      <w:r w:rsidR="00CC0403" w:rsidRPr="00D565E6">
        <w:rPr>
          <w:rFonts w:cs="Arial"/>
          <w:szCs w:val="19"/>
        </w:rPr>
        <w:t>5</w:t>
      </w:r>
      <w:r w:rsidR="00484F49" w:rsidRPr="00D565E6">
        <w:rPr>
          <w:rFonts w:cs="Arial"/>
          <w:szCs w:val="19"/>
        </w:rPr>
        <w:t>8</w:t>
      </w:r>
      <w:r w:rsidR="00CC0403" w:rsidRPr="00D565E6">
        <w:rPr>
          <w:rFonts w:cs="Arial"/>
          <w:szCs w:val="19"/>
        </w:rPr>
        <w:t>,</w:t>
      </w:r>
      <w:r w:rsidR="00484F49" w:rsidRPr="00D565E6">
        <w:rPr>
          <w:rFonts w:cs="Arial"/>
          <w:szCs w:val="19"/>
        </w:rPr>
        <w:t>6</w:t>
      </w:r>
      <w:r w:rsidRPr="00D565E6">
        <w:rPr>
          <w:rFonts w:cs="Arial"/>
          <w:szCs w:val="19"/>
        </w:rPr>
        <w:t xml:space="preserve"> (przed rokiem – 1</w:t>
      </w:r>
      <w:r w:rsidR="00484F49" w:rsidRPr="00D565E6">
        <w:rPr>
          <w:rFonts w:cs="Arial"/>
          <w:szCs w:val="19"/>
        </w:rPr>
        <w:t>54</w:t>
      </w:r>
      <w:r w:rsidR="005817DE" w:rsidRPr="00D565E6">
        <w:rPr>
          <w:rFonts w:cs="Arial"/>
          <w:szCs w:val="19"/>
        </w:rPr>
        <w:t>,</w:t>
      </w:r>
      <w:r w:rsidR="00484F49" w:rsidRPr="00D565E6">
        <w:rPr>
          <w:rFonts w:cs="Arial"/>
          <w:szCs w:val="19"/>
        </w:rPr>
        <w:t>8</w:t>
      </w:r>
      <w:r w:rsidRPr="00D565E6">
        <w:rPr>
          <w:rFonts w:cs="Arial"/>
          <w:szCs w:val="19"/>
        </w:rPr>
        <w:t>), następnie przy granicy z Czechami – 1</w:t>
      </w:r>
      <w:r w:rsidR="00C72854" w:rsidRPr="00D565E6">
        <w:rPr>
          <w:rFonts w:cs="Arial"/>
          <w:szCs w:val="19"/>
        </w:rPr>
        <w:t>30</w:t>
      </w:r>
      <w:r w:rsidR="005817DE" w:rsidRPr="00D565E6">
        <w:rPr>
          <w:rFonts w:cs="Arial"/>
          <w:szCs w:val="19"/>
        </w:rPr>
        <w:t>,</w:t>
      </w:r>
      <w:r w:rsidR="00C72854" w:rsidRPr="00D565E6">
        <w:rPr>
          <w:rFonts w:cs="Arial"/>
          <w:szCs w:val="19"/>
        </w:rPr>
        <w:t>5</w:t>
      </w:r>
      <w:r w:rsidRPr="00D565E6">
        <w:rPr>
          <w:rFonts w:cs="Arial"/>
          <w:szCs w:val="19"/>
        </w:rPr>
        <w:t xml:space="preserve"> (w 202</w:t>
      </w:r>
      <w:r w:rsidR="00C72854" w:rsidRPr="00D565E6">
        <w:rPr>
          <w:rFonts w:cs="Arial"/>
          <w:szCs w:val="19"/>
        </w:rPr>
        <w:t>4</w:t>
      </w:r>
      <w:r w:rsidRPr="00D565E6">
        <w:rPr>
          <w:rFonts w:cs="Arial"/>
          <w:szCs w:val="19"/>
        </w:rPr>
        <w:t xml:space="preserve"> r. – 1</w:t>
      </w:r>
      <w:r w:rsidR="005817DE" w:rsidRPr="00D565E6">
        <w:rPr>
          <w:rFonts w:cs="Arial"/>
          <w:szCs w:val="19"/>
        </w:rPr>
        <w:t>2</w:t>
      </w:r>
      <w:r w:rsidR="00C72854" w:rsidRPr="00D565E6">
        <w:rPr>
          <w:rFonts w:cs="Arial"/>
          <w:szCs w:val="19"/>
        </w:rPr>
        <w:t>7</w:t>
      </w:r>
      <w:r w:rsidR="005817DE" w:rsidRPr="00D565E6">
        <w:rPr>
          <w:rFonts w:cs="Arial"/>
          <w:szCs w:val="19"/>
        </w:rPr>
        <w:t>,</w:t>
      </w:r>
      <w:r w:rsidR="00C72854" w:rsidRPr="00D565E6">
        <w:rPr>
          <w:rFonts w:cs="Arial"/>
          <w:szCs w:val="19"/>
        </w:rPr>
        <w:t>6</w:t>
      </w:r>
      <w:r w:rsidRPr="00D565E6">
        <w:rPr>
          <w:rFonts w:cs="Arial"/>
          <w:szCs w:val="19"/>
        </w:rPr>
        <w:t xml:space="preserve">). W strefie przy pozostałych odcinkach granicy liczba podmiotów na 1000 ludności była mniejsza niż średnia dla obszaru przygranicznego Polski jako całości. Najmniejsza liczba podmiotów na 1000 ludności wystąpiła przy granicy z Ukrainą – </w:t>
      </w:r>
      <w:r w:rsidR="005817DE" w:rsidRPr="00D565E6">
        <w:rPr>
          <w:rFonts w:cs="Arial"/>
          <w:szCs w:val="19"/>
        </w:rPr>
        <w:t>9</w:t>
      </w:r>
      <w:r w:rsidR="00481ECE" w:rsidRPr="00D565E6">
        <w:rPr>
          <w:rFonts w:cs="Arial"/>
          <w:szCs w:val="19"/>
        </w:rPr>
        <w:t>7</w:t>
      </w:r>
      <w:r w:rsidR="005817DE" w:rsidRPr="00D565E6">
        <w:rPr>
          <w:rFonts w:cs="Arial"/>
          <w:szCs w:val="19"/>
        </w:rPr>
        <w:t>,</w:t>
      </w:r>
      <w:r w:rsidR="00481ECE" w:rsidRPr="00D565E6">
        <w:rPr>
          <w:rFonts w:cs="Arial"/>
          <w:szCs w:val="19"/>
        </w:rPr>
        <w:t>4</w:t>
      </w:r>
      <w:r w:rsidRPr="00D565E6">
        <w:rPr>
          <w:rFonts w:cs="Arial"/>
          <w:szCs w:val="19"/>
        </w:rPr>
        <w:t xml:space="preserve">, następnie w strefie przy granicy z Litwą – </w:t>
      </w:r>
      <w:r w:rsidR="001854D5" w:rsidRPr="00D565E6">
        <w:rPr>
          <w:rFonts w:cs="Arial"/>
          <w:szCs w:val="19"/>
        </w:rPr>
        <w:t>100</w:t>
      </w:r>
      <w:r w:rsidR="005817DE" w:rsidRPr="00D565E6">
        <w:rPr>
          <w:rFonts w:cs="Arial"/>
          <w:szCs w:val="19"/>
        </w:rPr>
        <w:t>,</w:t>
      </w:r>
      <w:r w:rsidR="001854D5" w:rsidRPr="00D565E6">
        <w:rPr>
          <w:rFonts w:cs="Arial"/>
          <w:szCs w:val="19"/>
        </w:rPr>
        <w:t>6</w:t>
      </w:r>
      <w:r w:rsidRPr="00D565E6">
        <w:rPr>
          <w:rFonts w:cs="Arial"/>
          <w:szCs w:val="19"/>
        </w:rPr>
        <w:t xml:space="preserve"> (przed rokiem odpowiednio: </w:t>
      </w:r>
      <w:r w:rsidR="005817DE" w:rsidRPr="00D565E6">
        <w:rPr>
          <w:rFonts w:cs="Arial"/>
          <w:szCs w:val="19"/>
        </w:rPr>
        <w:t>9</w:t>
      </w:r>
      <w:r w:rsidR="00F46D1C" w:rsidRPr="00D565E6">
        <w:rPr>
          <w:rFonts w:cs="Arial"/>
          <w:szCs w:val="19"/>
        </w:rPr>
        <w:t>5</w:t>
      </w:r>
      <w:r w:rsidR="005817DE" w:rsidRPr="00D565E6">
        <w:rPr>
          <w:rFonts w:cs="Arial"/>
          <w:szCs w:val="19"/>
        </w:rPr>
        <w:t>,</w:t>
      </w:r>
      <w:r w:rsidR="00F46D1C" w:rsidRPr="00D565E6">
        <w:rPr>
          <w:rFonts w:cs="Arial"/>
          <w:szCs w:val="19"/>
        </w:rPr>
        <w:t>9</w:t>
      </w:r>
      <w:r w:rsidRPr="00D565E6">
        <w:rPr>
          <w:rFonts w:cs="Arial"/>
          <w:szCs w:val="19"/>
        </w:rPr>
        <w:t xml:space="preserve"> i </w:t>
      </w:r>
      <w:r w:rsidR="005817DE" w:rsidRPr="00D565E6">
        <w:rPr>
          <w:rFonts w:cs="Arial"/>
          <w:szCs w:val="19"/>
        </w:rPr>
        <w:t>9</w:t>
      </w:r>
      <w:r w:rsidR="00F46D1C" w:rsidRPr="00D565E6">
        <w:rPr>
          <w:rFonts w:cs="Arial"/>
          <w:szCs w:val="19"/>
        </w:rPr>
        <w:t>9</w:t>
      </w:r>
      <w:r w:rsidR="005817DE" w:rsidRPr="00D565E6">
        <w:rPr>
          <w:rFonts w:cs="Arial"/>
          <w:szCs w:val="19"/>
        </w:rPr>
        <w:t>,</w:t>
      </w:r>
      <w:r w:rsidR="00F46D1C" w:rsidRPr="00D565E6">
        <w:rPr>
          <w:rFonts w:cs="Arial"/>
          <w:szCs w:val="19"/>
        </w:rPr>
        <w:t>4</w:t>
      </w:r>
      <w:r w:rsidRPr="00D565E6">
        <w:rPr>
          <w:rFonts w:cs="Arial"/>
          <w:szCs w:val="19"/>
        </w:rPr>
        <w:t>).</w:t>
      </w:r>
    </w:p>
    <w:p w14:paraId="4EC956C8" w14:textId="690A6850" w:rsidR="00BD7280" w:rsidRPr="00D565E6" w:rsidRDefault="00BD7280" w:rsidP="00D565E6">
      <w:pPr>
        <w:spacing w:line="288" w:lineRule="auto"/>
        <w:rPr>
          <w:rFonts w:cs="Arial"/>
          <w:szCs w:val="19"/>
        </w:rPr>
      </w:pPr>
      <w:r w:rsidRPr="00D565E6">
        <w:rPr>
          <w:rFonts w:cs="Arial"/>
          <w:szCs w:val="19"/>
        </w:rPr>
        <w:t>Spośród poszczególnych części obszaru przygranicznego</w:t>
      </w:r>
      <w:r w:rsidR="002A35BF" w:rsidRPr="00D565E6">
        <w:rPr>
          <w:rFonts w:cs="Arial"/>
          <w:szCs w:val="19"/>
        </w:rPr>
        <w:t>,</w:t>
      </w:r>
      <w:r w:rsidRPr="00D565E6">
        <w:rPr>
          <w:rFonts w:cs="Arial"/>
          <w:szCs w:val="19"/>
        </w:rPr>
        <w:t xml:space="preserve"> w 12 województwach, najwięcej podmiotów na 1000 ludności przypadało na strefy w: zachodniopomorskim (1</w:t>
      </w:r>
      <w:r w:rsidR="004130A2" w:rsidRPr="00D565E6">
        <w:rPr>
          <w:rFonts w:cs="Arial"/>
          <w:szCs w:val="19"/>
        </w:rPr>
        <w:t>82</w:t>
      </w:r>
      <w:r w:rsidR="00BD058D" w:rsidRPr="00D565E6">
        <w:rPr>
          <w:rFonts w:cs="Arial"/>
          <w:szCs w:val="19"/>
        </w:rPr>
        <w:t>,</w:t>
      </w:r>
      <w:r w:rsidR="004130A2" w:rsidRPr="00D565E6">
        <w:rPr>
          <w:rFonts w:cs="Arial"/>
          <w:szCs w:val="19"/>
        </w:rPr>
        <w:t>7</w:t>
      </w:r>
      <w:r w:rsidRPr="00D565E6">
        <w:rPr>
          <w:rFonts w:cs="Arial"/>
          <w:szCs w:val="19"/>
        </w:rPr>
        <w:t>), następnie pomorskim (1</w:t>
      </w:r>
      <w:r w:rsidR="004130A2" w:rsidRPr="00D565E6">
        <w:rPr>
          <w:rFonts w:cs="Arial"/>
          <w:szCs w:val="19"/>
        </w:rPr>
        <w:t>61</w:t>
      </w:r>
      <w:r w:rsidR="00BD058D" w:rsidRPr="00D565E6">
        <w:rPr>
          <w:rFonts w:cs="Arial"/>
          <w:szCs w:val="19"/>
        </w:rPr>
        <w:t>,</w:t>
      </w:r>
      <w:r w:rsidR="004130A2" w:rsidRPr="00D565E6">
        <w:rPr>
          <w:rFonts w:cs="Arial"/>
          <w:szCs w:val="19"/>
        </w:rPr>
        <w:t>6</w:t>
      </w:r>
      <w:r w:rsidRPr="00D565E6">
        <w:rPr>
          <w:rFonts w:cs="Arial"/>
          <w:szCs w:val="19"/>
        </w:rPr>
        <w:t>) i dolnośląskim (1</w:t>
      </w:r>
      <w:r w:rsidR="004130A2" w:rsidRPr="00D565E6">
        <w:rPr>
          <w:rFonts w:cs="Arial"/>
          <w:szCs w:val="19"/>
        </w:rPr>
        <w:t>45</w:t>
      </w:r>
      <w:r w:rsidR="00BD058D" w:rsidRPr="00D565E6">
        <w:rPr>
          <w:rFonts w:cs="Arial"/>
          <w:szCs w:val="19"/>
        </w:rPr>
        <w:t>,</w:t>
      </w:r>
      <w:r w:rsidR="004130A2" w:rsidRPr="00D565E6">
        <w:rPr>
          <w:rFonts w:cs="Arial"/>
          <w:szCs w:val="19"/>
        </w:rPr>
        <w:t>3</w:t>
      </w:r>
      <w:r w:rsidRPr="00D565E6">
        <w:rPr>
          <w:rFonts w:cs="Arial"/>
          <w:szCs w:val="19"/>
        </w:rPr>
        <w:t xml:space="preserve">). </w:t>
      </w:r>
      <w:r w:rsidR="0070078A" w:rsidRPr="00D565E6">
        <w:rPr>
          <w:rFonts w:cs="Arial"/>
          <w:szCs w:val="19"/>
        </w:rPr>
        <w:t>Wskaźniki te dla wymienionych województw ogółem wyniosły odpowiednio:</w:t>
      </w:r>
      <w:r w:rsidRPr="00D565E6">
        <w:rPr>
          <w:rFonts w:cs="Arial"/>
          <w:szCs w:val="19"/>
        </w:rPr>
        <w:t xml:space="preserve"> 1</w:t>
      </w:r>
      <w:r w:rsidR="004130A2" w:rsidRPr="00D565E6">
        <w:rPr>
          <w:rFonts w:cs="Arial"/>
          <w:szCs w:val="19"/>
        </w:rPr>
        <w:t>60</w:t>
      </w:r>
      <w:r w:rsidR="00BD058D" w:rsidRPr="00D565E6">
        <w:rPr>
          <w:rFonts w:cs="Arial"/>
          <w:szCs w:val="19"/>
        </w:rPr>
        <w:t>,</w:t>
      </w:r>
      <w:r w:rsidR="004130A2" w:rsidRPr="00D565E6">
        <w:rPr>
          <w:rFonts w:cs="Arial"/>
          <w:szCs w:val="19"/>
        </w:rPr>
        <w:t>2</w:t>
      </w:r>
      <w:r w:rsidRPr="00D565E6">
        <w:rPr>
          <w:rFonts w:cs="Arial"/>
          <w:szCs w:val="19"/>
        </w:rPr>
        <w:t xml:space="preserve">; </w:t>
      </w:r>
      <w:r w:rsidR="00BD058D" w:rsidRPr="00D565E6">
        <w:rPr>
          <w:rFonts w:cs="Arial"/>
          <w:szCs w:val="19"/>
        </w:rPr>
        <w:t>1</w:t>
      </w:r>
      <w:r w:rsidR="004130A2" w:rsidRPr="00D565E6">
        <w:rPr>
          <w:rFonts w:cs="Arial"/>
          <w:szCs w:val="19"/>
        </w:rPr>
        <w:t>6</w:t>
      </w:r>
      <w:r w:rsidR="00BD058D" w:rsidRPr="00D565E6">
        <w:rPr>
          <w:rFonts w:cs="Arial"/>
          <w:szCs w:val="19"/>
        </w:rPr>
        <w:t>1,</w:t>
      </w:r>
      <w:r w:rsidR="004130A2" w:rsidRPr="00D565E6">
        <w:rPr>
          <w:rFonts w:cs="Arial"/>
          <w:szCs w:val="19"/>
        </w:rPr>
        <w:t>3</w:t>
      </w:r>
      <w:r w:rsidRPr="00D565E6">
        <w:rPr>
          <w:rFonts w:cs="Arial"/>
          <w:szCs w:val="19"/>
        </w:rPr>
        <w:t>; 1</w:t>
      </w:r>
      <w:r w:rsidR="004130A2" w:rsidRPr="00D565E6">
        <w:rPr>
          <w:rFonts w:cs="Arial"/>
          <w:szCs w:val="19"/>
        </w:rPr>
        <w:t>64</w:t>
      </w:r>
      <w:r w:rsidR="00BD058D" w:rsidRPr="00D565E6">
        <w:rPr>
          <w:rFonts w:cs="Arial"/>
          <w:szCs w:val="19"/>
        </w:rPr>
        <w:t>,1</w:t>
      </w:r>
      <w:r w:rsidRPr="00D565E6">
        <w:rPr>
          <w:rFonts w:cs="Arial"/>
          <w:szCs w:val="19"/>
        </w:rPr>
        <w:t>.</w:t>
      </w:r>
    </w:p>
    <w:p w14:paraId="1E663F03" w14:textId="1F860C6C" w:rsidR="002A181D" w:rsidRPr="00D565E6" w:rsidRDefault="00BD7280" w:rsidP="00D565E6">
      <w:pPr>
        <w:spacing w:line="288" w:lineRule="auto"/>
        <w:rPr>
          <w:rFonts w:cs="Arial"/>
          <w:szCs w:val="19"/>
        </w:rPr>
      </w:pPr>
      <w:r w:rsidRPr="00D565E6">
        <w:rPr>
          <w:rFonts w:cs="Arial"/>
          <w:szCs w:val="19"/>
        </w:rPr>
        <w:t xml:space="preserve">Najmniej podmiotów gospodarki narodowej na 1000 ludności przypadało w strefie przygranicznej znajdującej się </w:t>
      </w:r>
      <w:r w:rsidR="00114DB4" w:rsidRPr="00D565E6">
        <w:rPr>
          <w:rFonts w:cs="Arial"/>
          <w:szCs w:val="19"/>
        </w:rPr>
        <w:t xml:space="preserve">w </w:t>
      </w:r>
      <w:r w:rsidRPr="00D565E6">
        <w:rPr>
          <w:rFonts w:cs="Arial"/>
          <w:szCs w:val="19"/>
        </w:rPr>
        <w:t>województw</w:t>
      </w:r>
      <w:r w:rsidR="00114DB4" w:rsidRPr="00D565E6">
        <w:rPr>
          <w:rFonts w:cs="Arial"/>
          <w:szCs w:val="19"/>
        </w:rPr>
        <w:t>ie</w:t>
      </w:r>
      <w:r w:rsidRPr="00D565E6">
        <w:rPr>
          <w:rFonts w:cs="Arial"/>
          <w:szCs w:val="19"/>
        </w:rPr>
        <w:t xml:space="preserve"> mazowieckim (</w:t>
      </w:r>
      <w:r w:rsidR="00BF4823" w:rsidRPr="00D565E6">
        <w:rPr>
          <w:rFonts w:cs="Arial"/>
          <w:szCs w:val="19"/>
        </w:rPr>
        <w:t>9</w:t>
      </w:r>
      <w:r w:rsidR="00502C29" w:rsidRPr="00D565E6">
        <w:rPr>
          <w:rFonts w:cs="Arial"/>
          <w:szCs w:val="19"/>
        </w:rPr>
        <w:t>5</w:t>
      </w:r>
      <w:r w:rsidRPr="00D565E6">
        <w:rPr>
          <w:rFonts w:cs="Arial"/>
          <w:szCs w:val="19"/>
        </w:rPr>
        <w:t>,</w:t>
      </w:r>
      <w:r w:rsidR="00502C29" w:rsidRPr="00D565E6">
        <w:rPr>
          <w:rFonts w:cs="Arial"/>
          <w:szCs w:val="19"/>
        </w:rPr>
        <w:t>8</w:t>
      </w:r>
      <w:r w:rsidRPr="00D565E6">
        <w:rPr>
          <w:rFonts w:cs="Arial"/>
          <w:szCs w:val="19"/>
        </w:rPr>
        <w:t xml:space="preserve">), </w:t>
      </w:r>
      <w:r w:rsidR="00114DB4" w:rsidRPr="00D565E6">
        <w:rPr>
          <w:rFonts w:cs="Arial"/>
          <w:szCs w:val="19"/>
        </w:rPr>
        <w:t xml:space="preserve">a </w:t>
      </w:r>
      <w:r w:rsidRPr="00D565E6">
        <w:rPr>
          <w:rFonts w:cs="Arial"/>
          <w:szCs w:val="19"/>
        </w:rPr>
        <w:t xml:space="preserve">następnie </w:t>
      </w:r>
      <w:r w:rsidR="003B6239" w:rsidRPr="00D565E6">
        <w:rPr>
          <w:rFonts w:cs="Arial"/>
          <w:szCs w:val="19"/>
        </w:rPr>
        <w:t xml:space="preserve">w </w:t>
      </w:r>
      <w:r w:rsidRPr="00D565E6">
        <w:rPr>
          <w:rFonts w:cs="Arial"/>
          <w:szCs w:val="19"/>
        </w:rPr>
        <w:t>lubelskim (</w:t>
      </w:r>
      <w:r w:rsidR="00BF4823" w:rsidRPr="00D565E6">
        <w:rPr>
          <w:rFonts w:cs="Arial"/>
          <w:szCs w:val="19"/>
        </w:rPr>
        <w:t>9</w:t>
      </w:r>
      <w:r w:rsidR="00502C29" w:rsidRPr="00D565E6">
        <w:rPr>
          <w:rFonts w:cs="Arial"/>
          <w:szCs w:val="19"/>
        </w:rPr>
        <w:t>6</w:t>
      </w:r>
      <w:r w:rsidR="00BF4823" w:rsidRPr="00D565E6">
        <w:rPr>
          <w:rFonts w:cs="Arial"/>
          <w:szCs w:val="19"/>
        </w:rPr>
        <w:t>,</w:t>
      </w:r>
      <w:r w:rsidR="00502C29" w:rsidRPr="00D565E6">
        <w:rPr>
          <w:rFonts w:cs="Arial"/>
          <w:szCs w:val="19"/>
        </w:rPr>
        <w:t>6</w:t>
      </w:r>
      <w:r w:rsidRPr="00D565E6">
        <w:rPr>
          <w:rFonts w:cs="Arial"/>
          <w:szCs w:val="19"/>
        </w:rPr>
        <w:t>) i</w:t>
      </w:r>
      <w:r w:rsidR="007A2D9E" w:rsidRPr="00D565E6">
        <w:rPr>
          <w:rFonts w:cs="Arial"/>
          <w:szCs w:val="19"/>
        </w:rPr>
        <w:t> </w:t>
      </w:r>
      <w:r w:rsidRPr="00D565E6">
        <w:rPr>
          <w:rFonts w:cs="Arial"/>
          <w:szCs w:val="19"/>
        </w:rPr>
        <w:t>podkarpackim (</w:t>
      </w:r>
      <w:r w:rsidR="00502C29" w:rsidRPr="00D565E6">
        <w:rPr>
          <w:rFonts w:cs="Arial"/>
          <w:szCs w:val="19"/>
        </w:rPr>
        <w:t>101</w:t>
      </w:r>
      <w:r w:rsidR="00BF4823" w:rsidRPr="00D565E6">
        <w:rPr>
          <w:rFonts w:cs="Arial"/>
          <w:szCs w:val="19"/>
        </w:rPr>
        <w:t>,</w:t>
      </w:r>
      <w:r w:rsidR="00502C29" w:rsidRPr="00D565E6">
        <w:rPr>
          <w:rFonts w:cs="Arial"/>
          <w:szCs w:val="19"/>
        </w:rPr>
        <w:t>2</w:t>
      </w:r>
      <w:r w:rsidRPr="00D565E6">
        <w:rPr>
          <w:rFonts w:cs="Arial"/>
          <w:szCs w:val="19"/>
        </w:rPr>
        <w:t xml:space="preserve">). </w:t>
      </w:r>
      <w:r w:rsidR="00591A90" w:rsidRPr="00D565E6">
        <w:rPr>
          <w:rFonts w:cs="Arial"/>
          <w:szCs w:val="19"/>
        </w:rPr>
        <w:t xml:space="preserve">Wartości te były </w:t>
      </w:r>
      <w:r w:rsidR="003D63A8" w:rsidRPr="00D565E6">
        <w:rPr>
          <w:rFonts w:cs="Arial"/>
          <w:szCs w:val="19"/>
        </w:rPr>
        <w:t>ni</w:t>
      </w:r>
      <w:r w:rsidR="00591A90" w:rsidRPr="00D565E6">
        <w:rPr>
          <w:rFonts w:cs="Arial"/>
          <w:szCs w:val="19"/>
        </w:rPr>
        <w:t xml:space="preserve">ższe aniżeli wskaźniki dla </w:t>
      </w:r>
      <w:r w:rsidR="00A847B9" w:rsidRPr="00D565E6">
        <w:rPr>
          <w:rFonts w:cs="Arial"/>
          <w:szCs w:val="19"/>
        </w:rPr>
        <w:t>wspomnianych</w:t>
      </w:r>
      <w:r w:rsidR="00591A90" w:rsidRPr="00D565E6">
        <w:rPr>
          <w:rFonts w:cs="Arial"/>
          <w:szCs w:val="19"/>
        </w:rPr>
        <w:t xml:space="preserve"> województw ogółem, które wyniosły odpowiednio: </w:t>
      </w:r>
      <w:r w:rsidRPr="00D565E6">
        <w:rPr>
          <w:rFonts w:cs="Arial"/>
          <w:szCs w:val="19"/>
        </w:rPr>
        <w:t>1</w:t>
      </w:r>
      <w:r w:rsidR="00502C29" w:rsidRPr="00D565E6">
        <w:rPr>
          <w:rFonts w:cs="Arial"/>
          <w:szCs w:val="19"/>
        </w:rPr>
        <w:t>97</w:t>
      </w:r>
      <w:r w:rsidR="00BF4823" w:rsidRPr="00D565E6">
        <w:rPr>
          <w:rFonts w:cs="Arial"/>
          <w:szCs w:val="19"/>
        </w:rPr>
        <w:t>,</w:t>
      </w:r>
      <w:r w:rsidR="00502C29" w:rsidRPr="00D565E6">
        <w:rPr>
          <w:rFonts w:cs="Arial"/>
          <w:szCs w:val="19"/>
        </w:rPr>
        <w:t>9</w:t>
      </w:r>
      <w:r w:rsidRPr="00D565E6">
        <w:rPr>
          <w:rFonts w:cs="Arial"/>
          <w:szCs w:val="19"/>
        </w:rPr>
        <w:t xml:space="preserve">; </w:t>
      </w:r>
      <w:r w:rsidR="00BF4823" w:rsidRPr="00D565E6">
        <w:rPr>
          <w:rFonts w:cs="Arial"/>
          <w:szCs w:val="19"/>
        </w:rPr>
        <w:t>1</w:t>
      </w:r>
      <w:r w:rsidR="00502C29" w:rsidRPr="00D565E6">
        <w:rPr>
          <w:rFonts w:cs="Arial"/>
          <w:szCs w:val="19"/>
        </w:rPr>
        <w:t>11</w:t>
      </w:r>
      <w:r w:rsidR="00BF4823" w:rsidRPr="00D565E6">
        <w:rPr>
          <w:rFonts w:cs="Arial"/>
          <w:szCs w:val="19"/>
        </w:rPr>
        <w:t>,</w:t>
      </w:r>
      <w:r w:rsidR="00502C29" w:rsidRPr="00D565E6">
        <w:rPr>
          <w:rFonts w:cs="Arial"/>
          <w:szCs w:val="19"/>
        </w:rPr>
        <w:t>2</w:t>
      </w:r>
      <w:r w:rsidRPr="00D565E6">
        <w:rPr>
          <w:rFonts w:cs="Arial"/>
          <w:szCs w:val="19"/>
        </w:rPr>
        <w:t xml:space="preserve">; </w:t>
      </w:r>
      <w:r w:rsidR="00BF4823" w:rsidRPr="00D565E6">
        <w:rPr>
          <w:rFonts w:cs="Arial"/>
          <w:szCs w:val="19"/>
        </w:rPr>
        <w:t>10</w:t>
      </w:r>
      <w:r w:rsidR="00502C29" w:rsidRPr="00D565E6">
        <w:rPr>
          <w:rFonts w:cs="Arial"/>
          <w:szCs w:val="19"/>
        </w:rPr>
        <w:t>6</w:t>
      </w:r>
      <w:r w:rsidR="00BF4823" w:rsidRPr="00D565E6">
        <w:rPr>
          <w:rFonts w:cs="Arial"/>
          <w:szCs w:val="19"/>
        </w:rPr>
        <w:t>,</w:t>
      </w:r>
      <w:r w:rsidR="00502C29" w:rsidRPr="00D565E6">
        <w:rPr>
          <w:rFonts w:cs="Arial"/>
          <w:szCs w:val="19"/>
        </w:rPr>
        <w:t>4</w:t>
      </w:r>
      <w:r w:rsidRPr="00D565E6">
        <w:rPr>
          <w:rFonts w:cs="Arial"/>
          <w:szCs w:val="19"/>
        </w:rPr>
        <w:t>. Należy zaznaczyć, że w przypadku województwa mazowieckiego powierzchnia strefy przygranicznej jest relatywnie mała</w:t>
      </w:r>
      <w:r w:rsidRPr="008E2DBE">
        <w:rPr>
          <w:vertAlign w:val="superscript"/>
        </w:rPr>
        <w:footnoteReference w:id="1"/>
      </w:r>
      <w:r w:rsidRPr="00D565E6">
        <w:rPr>
          <w:rFonts w:cs="Arial"/>
          <w:szCs w:val="19"/>
        </w:rPr>
        <w:t>, a potencjał regionu zlokalizowany jest głównie w stolicy kraju.</w:t>
      </w:r>
    </w:p>
    <w:p w14:paraId="65F30E2C" w14:textId="68164EA0" w:rsidR="003B4809" w:rsidRPr="00F44505" w:rsidRDefault="00A44C08" w:rsidP="00A7731D">
      <w:pPr>
        <w:pStyle w:val="LID"/>
      </w:pPr>
      <w:r w:rsidRPr="007409D7">
        <w:t xml:space="preserve">Tablica 1. Podmioty gospodarki narodowej na obszarach przygranicznych według odcinków </w:t>
      </w:r>
      <w:r w:rsidRPr="00F44505">
        <w:t>granic</w:t>
      </w:r>
      <w:r w:rsidR="00250371" w:rsidRPr="00F44505">
        <w:t>y</w:t>
      </w:r>
      <w:r w:rsidRPr="00F44505">
        <w:t xml:space="preserve"> w 20</w:t>
      </w:r>
      <w:r w:rsidR="00A63A46" w:rsidRPr="00F44505">
        <w:t>2</w:t>
      </w:r>
      <w:r w:rsidR="00F44505" w:rsidRPr="00F44505">
        <w:t>5</w:t>
      </w:r>
      <w:r w:rsidRPr="00F44505">
        <w:t xml:space="preserve"> r</w:t>
      </w:r>
      <w:r w:rsidR="002F45F6" w:rsidRPr="00F44505">
        <w:t>.</w:t>
      </w:r>
    </w:p>
    <w:tbl>
      <w:tblPr>
        <w:tblStyle w:val="Siatkatabelijasna"/>
        <w:tblW w:w="7923"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ica 1. Podmioty gospodarki narodowej na obszarach przygranicznych według odcinków granicy w 2025 roku"/>
      </w:tblPr>
      <w:tblGrid>
        <w:gridCol w:w="2195"/>
        <w:gridCol w:w="1430"/>
        <w:gridCol w:w="1430"/>
        <w:gridCol w:w="1441"/>
        <w:gridCol w:w="1427"/>
      </w:tblGrid>
      <w:tr w:rsidR="004A3956" w:rsidRPr="005E31C0" w14:paraId="7B920C44" w14:textId="77777777" w:rsidTr="00D565E6">
        <w:trPr>
          <w:trHeight w:val="283"/>
        </w:trPr>
        <w:tc>
          <w:tcPr>
            <w:tcW w:w="2195" w:type="dxa"/>
            <w:vMerge w:val="restart"/>
            <w:tcBorders>
              <w:top w:val="single" w:sz="4" w:space="0" w:color="212492"/>
              <w:bottom w:val="single" w:sz="4" w:space="0" w:color="212492"/>
            </w:tcBorders>
            <w:vAlign w:val="center"/>
          </w:tcPr>
          <w:p w14:paraId="7B920C41" w14:textId="5E9BF7D2" w:rsidR="00EE6FC7" w:rsidRPr="006D4A47" w:rsidRDefault="00EE6FC7" w:rsidP="006D4A47">
            <w:pPr>
              <w:spacing w:before="60" w:after="60"/>
              <w:jc w:val="center"/>
              <w:rPr>
                <w:szCs w:val="19"/>
              </w:rPr>
            </w:pPr>
            <w:r w:rsidRPr="006D4A47">
              <w:rPr>
                <w:szCs w:val="19"/>
              </w:rPr>
              <w:t>W</w:t>
            </w:r>
            <w:r w:rsidR="00844033">
              <w:rPr>
                <w:szCs w:val="19"/>
              </w:rPr>
              <w:t>yszczególnienie</w:t>
            </w:r>
          </w:p>
        </w:tc>
        <w:tc>
          <w:tcPr>
            <w:tcW w:w="1430" w:type="dxa"/>
            <w:tcBorders>
              <w:top w:val="single" w:sz="4" w:space="0" w:color="212492"/>
              <w:bottom w:val="single" w:sz="4" w:space="0" w:color="212492"/>
            </w:tcBorders>
            <w:vAlign w:val="center"/>
          </w:tcPr>
          <w:p w14:paraId="57FB3177" w14:textId="206F2F70" w:rsidR="00EE6FC7" w:rsidRPr="006D4A47" w:rsidRDefault="009A1854" w:rsidP="006D4A47">
            <w:pPr>
              <w:spacing w:before="60" w:after="60"/>
              <w:jc w:val="center"/>
              <w:rPr>
                <w:szCs w:val="19"/>
              </w:rPr>
            </w:pPr>
            <w:r w:rsidRPr="006D4A47">
              <w:rPr>
                <w:szCs w:val="19"/>
              </w:rPr>
              <w:t>P</w:t>
            </w:r>
            <w:r w:rsidR="00EE6FC7" w:rsidRPr="006D4A47">
              <w:rPr>
                <w:szCs w:val="19"/>
              </w:rPr>
              <w:t>odmiot</w:t>
            </w:r>
            <w:r w:rsidR="00F80F46" w:rsidRPr="006D4A47">
              <w:rPr>
                <w:szCs w:val="19"/>
              </w:rPr>
              <w:t>y</w:t>
            </w:r>
            <w:r w:rsidR="004B5A21" w:rsidRPr="006D4A47">
              <w:rPr>
                <w:szCs w:val="19"/>
              </w:rPr>
              <w:br/>
            </w:r>
            <w:r w:rsidR="00EE6FC7" w:rsidRPr="006D4A47">
              <w:rPr>
                <w:szCs w:val="19"/>
              </w:rPr>
              <w:t>gospodarki</w:t>
            </w:r>
            <w:r w:rsidR="004B5A21" w:rsidRPr="006D4A47">
              <w:rPr>
                <w:szCs w:val="19"/>
              </w:rPr>
              <w:br/>
            </w:r>
            <w:r w:rsidR="00EE6FC7" w:rsidRPr="006D4A47">
              <w:rPr>
                <w:szCs w:val="19"/>
              </w:rPr>
              <w:t>narodowej</w:t>
            </w:r>
          </w:p>
        </w:tc>
        <w:tc>
          <w:tcPr>
            <w:tcW w:w="1430" w:type="dxa"/>
            <w:tcBorders>
              <w:top w:val="single" w:sz="4" w:space="0" w:color="212492"/>
              <w:bottom w:val="single" w:sz="4" w:space="0" w:color="212492"/>
            </w:tcBorders>
            <w:vAlign w:val="center"/>
          </w:tcPr>
          <w:p w14:paraId="5AA58D27" w14:textId="4DFD2B46" w:rsidR="00EE6FC7" w:rsidRPr="006D4A47" w:rsidRDefault="00EE6FC7" w:rsidP="006D4A47">
            <w:pPr>
              <w:spacing w:before="60" w:after="60"/>
              <w:jc w:val="center"/>
              <w:rPr>
                <w:szCs w:val="19"/>
              </w:rPr>
            </w:pPr>
            <w:r w:rsidRPr="006D4A47">
              <w:rPr>
                <w:szCs w:val="19"/>
              </w:rPr>
              <w:t xml:space="preserve">Osoby </w:t>
            </w:r>
            <w:r w:rsidR="002B3196">
              <w:rPr>
                <w:szCs w:val="19"/>
              </w:rPr>
              <w:br/>
            </w:r>
            <w:r w:rsidRPr="006D4A47">
              <w:rPr>
                <w:szCs w:val="19"/>
              </w:rPr>
              <w:t xml:space="preserve">fizyczne </w:t>
            </w:r>
            <w:r w:rsidR="002B3196">
              <w:rPr>
                <w:szCs w:val="19"/>
              </w:rPr>
              <w:br/>
            </w:r>
            <w:r w:rsidRPr="006D4A47">
              <w:rPr>
                <w:szCs w:val="19"/>
              </w:rPr>
              <w:t>prowadzące działalność</w:t>
            </w:r>
            <w:r w:rsidRPr="006D4A47">
              <w:rPr>
                <w:szCs w:val="19"/>
              </w:rPr>
              <w:br/>
              <w:t>gospodarczą</w:t>
            </w:r>
          </w:p>
        </w:tc>
        <w:tc>
          <w:tcPr>
            <w:tcW w:w="1441" w:type="dxa"/>
            <w:vMerge w:val="restart"/>
            <w:tcBorders>
              <w:top w:val="single" w:sz="4" w:space="0" w:color="212492"/>
              <w:bottom w:val="single" w:sz="4" w:space="0" w:color="212492"/>
            </w:tcBorders>
            <w:vAlign w:val="center"/>
          </w:tcPr>
          <w:p w14:paraId="7B920C42" w14:textId="471D66CA" w:rsidR="00EE6FC7" w:rsidRPr="006D4A47" w:rsidRDefault="009A1854" w:rsidP="006D4A47">
            <w:pPr>
              <w:spacing w:before="60" w:after="60"/>
              <w:jc w:val="center"/>
              <w:rPr>
                <w:szCs w:val="19"/>
              </w:rPr>
            </w:pPr>
            <w:r w:rsidRPr="006D4A47">
              <w:rPr>
                <w:szCs w:val="19"/>
              </w:rPr>
              <w:t>S</w:t>
            </w:r>
            <w:r w:rsidR="00EE6FC7" w:rsidRPr="006D4A47">
              <w:rPr>
                <w:szCs w:val="19"/>
              </w:rPr>
              <w:t>półk</w:t>
            </w:r>
            <w:r w:rsidRPr="006D4A47">
              <w:rPr>
                <w:szCs w:val="19"/>
              </w:rPr>
              <w:t>i</w:t>
            </w:r>
            <w:r w:rsidR="00EE6FC7" w:rsidRPr="006D4A47">
              <w:rPr>
                <w:szCs w:val="19"/>
              </w:rPr>
              <w:t xml:space="preserve"> </w:t>
            </w:r>
            <w:r w:rsidR="002B3196">
              <w:rPr>
                <w:szCs w:val="19"/>
              </w:rPr>
              <w:br/>
            </w:r>
            <w:r w:rsidR="00EE6FC7" w:rsidRPr="006D4A47">
              <w:rPr>
                <w:szCs w:val="19"/>
              </w:rPr>
              <w:t>handlow</w:t>
            </w:r>
            <w:r w:rsidRPr="006D4A47">
              <w:rPr>
                <w:szCs w:val="19"/>
              </w:rPr>
              <w:t>e</w:t>
            </w:r>
            <w:r w:rsidR="00EE6FC7" w:rsidRPr="006D4A47">
              <w:rPr>
                <w:szCs w:val="19"/>
              </w:rPr>
              <w:t xml:space="preserve"> w ogólnej liczbie podmiotów w</w:t>
            </w:r>
            <w:r w:rsidR="00844033">
              <w:rPr>
                <w:szCs w:val="19"/>
              </w:rPr>
              <w:t> </w:t>
            </w:r>
            <w:r w:rsidR="00EE6FC7" w:rsidRPr="006D4A47">
              <w:rPr>
                <w:szCs w:val="19"/>
              </w:rPr>
              <w:t>%</w:t>
            </w:r>
          </w:p>
        </w:tc>
        <w:tc>
          <w:tcPr>
            <w:tcW w:w="1427" w:type="dxa"/>
            <w:vMerge w:val="restart"/>
            <w:tcBorders>
              <w:top w:val="single" w:sz="4" w:space="0" w:color="212492"/>
              <w:bottom w:val="single" w:sz="4" w:space="0" w:color="212492"/>
            </w:tcBorders>
            <w:vAlign w:val="center"/>
          </w:tcPr>
          <w:p w14:paraId="7B920C43" w14:textId="37A7B9D1" w:rsidR="00EE6FC7" w:rsidRPr="006D4A47" w:rsidRDefault="00EE6FC7" w:rsidP="006D4A47">
            <w:pPr>
              <w:spacing w:before="60" w:after="60"/>
              <w:jc w:val="center"/>
              <w:rPr>
                <w:szCs w:val="19"/>
              </w:rPr>
            </w:pPr>
            <w:r w:rsidRPr="006D4A47">
              <w:rPr>
                <w:szCs w:val="19"/>
              </w:rPr>
              <w:t>Spółki</w:t>
            </w:r>
            <w:r w:rsidR="00C8347C" w:rsidRPr="006D4A47">
              <w:rPr>
                <w:szCs w:val="19"/>
              </w:rPr>
              <w:t xml:space="preserve"> </w:t>
            </w:r>
            <w:r w:rsidRPr="006D4A47">
              <w:rPr>
                <w:szCs w:val="19"/>
              </w:rPr>
              <w:t>z</w:t>
            </w:r>
            <w:r w:rsidR="00844033">
              <w:rPr>
                <w:szCs w:val="19"/>
              </w:rPr>
              <w:t> </w:t>
            </w:r>
            <w:r w:rsidRPr="006D4A47">
              <w:rPr>
                <w:szCs w:val="19"/>
              </w:rPr>
              <w:t>udziałem</w:t>
            </w:r>
            <w:r w:rsidR="00C8347C" w:rsidRPr="006D4A47">
              <w:rPr>
                <w:szCs w:val="19"/>
              </w:rPr>
              <w:t xml:space="preserve"> </w:t>
            </w:r>
            <w:r w:rsidRPr="006D4A47">
              <w:rPr>
                <w:szCs w:val="19"/>
              </w:rPr>
              <w:t>kapitału</w:t>
            </w:r>
            <w:r w:rsidR="00C8347C" w:rsidRPr="006D4A47">
              <w:rPr>
                <w:szCs w:val="19"/>
              </w:rPr>
              <w:br/>
            </w:r>
            <w:r w:rsidRPr="006D4A47">
              <w:rPr>
                <w:szCs w:val="19"/>
              </w:rPr>
              <w:t>zagranicznego</w:t>
            </w:r>
            <w:r w:rsidR="00C8347C" w:rsidRPr="006D4A47">
              <w:rPr>
                <w:szCs w:val="19"/>
              </w:rPr>
              <w:br/>
            </w:r>
            <w:r w:rsidR="002904E1" w:rsidRPr="006D4A47">
              <w:rPr>
                <w:szCs w:val="19"/>
              </w:rPr>
              <w:t>20</w:t>
            </w:r>
            <w:r w:rsidR="007D58A7" w:rsidRPr="006D4A47">
              <w:rPr>
                <w:szCs w:val="19"/>
              </w:rPr>
              <w:t>2</w:t>
            </w:r>
            <w:r w:rsidR="00481ECE">
              <w:rPr>
                <w:szCs w:val="19"/>
              </w:rPr>
              <w:t>4</w:t>
            </w:r>
            <w:r w:rsidRPr="006D4A47">
              <w:rPr>
                <w:szCs w:val="19"/>
              </w:rPr>
              <w:t>=100</w:t>
            </w:r>
          </w:p>
        </w:tc>
      </w:tr>
      <w:tr w:rsidR="004A3956" w:rsidRPr="005E31C0" w14:paraId="7B920C4A" w14:textId="77777777" w:rsidTr="006D4A47">
        <w:trPr>
          <w:trHeight w:val="397"/>
        </w:trPr>
        <w:tc>
          <w:tcPr>
            <w:tcW w:w="2195" w:type="dxa"/>
            <w:vMerge/>
            <w:tcBorders>
              <w:top w:val="single" w:sz="4" w:space="0" w:color="212492"/>
              <w:bottom w:val="single" w:sz="4" w:space="0" w:color="212492"/>
            </w:tcBorders>
            <w:vAlign w:val="center"/>
          </w:tcPr>
          <w:p w14:paraId="7B920C45" w14:textId="77777777" w:rsidR="00EE6FC7" w:rsidRPr="006D4A47" w:rsidRDefault="00EE6FC7" w:rsidP="006D4A47">
            <w:pPr>
              <w:spacing w:before="60" w:after="60"/>
              <w:jc w:val="center"/>
              <w:rPr>
                <w:szCs w:val="19"/>
              </w:rPr>
            </w:pPr>
          </w:p>
        </w:tc>
        <w:tc>
          <w:tcPr>
            <w:tcW w:w="2860" w:type="dxa"/>
            <w:gridSpan w:val="2"/>
            <w:tcBorders>
              <w:top w:val="single" w:sz="4" w:space="0" w:color="212492"/>
              <w:bottom w:val="single" w:sz="4" w:space="0" w:color="212492"/>
            </w:tcBorders>
            <w:vAlign w:val="center"/>
          </w:tcPr>
          <w:p w14:paraId="7B920C47" w14:textId="217C009F" w:rsidR="00EE6FC7" w:rsidRPr="006D4A47" w:rsidRDefault="00EE6FC7" w:rsidP="006D4A47">
            <w:pPr>
              <w:spacing w:before="60" w:after="60"/>
              <w:jc w:val="center"/>
              <w:rPr>
                <w:szCs w:val="19"/>
              </w:rPr>
            </w:pPr>
            <w:r w:rsidRPr="006D4A47">
              <w:rPr>
                <w:szCs w:val="19"/>
              </w:rPr>
              <w:t>na 1000 ludności</w:t>
            </w:r>
          </w:p>
        </w:tc>
        <w:tc>
          <w:tcPr>
            <w:tcW w:w="1441" w:type="dxa"/>
            <w:vMerge/>
            <w:tcBorders>
              <w:top w:val="single" w:sz="4" w:space="0" w:color="212492"/>
              <w:bottom w:val="single" w:sz="4" w:space="0" w:color="212492"/>
            </w:tcBorders>
            <w:vAlign w:val="center"/>
          </w:tcPr>
          <w:p w14:paraId="7B920C48" w14:textId="58D9A786" w:rsidR="00EE6FC7" w:rsidRPr="006D4A47" w:rsidRDefault="00EE6FC7" w:rsidP="006D4A47">
            <w:pPr>
              <w:spacing w:before="60" w:after="60"/>
              <w:rPr>
                <w:szCs w:val="19"/>
              </w:rPr>
            </w:pPr>
          </w:p>
        </w:tc>
        <w:tc>
          <w:tcPr>
            <w:tcW w:w="1427" w:type="dxa"/>
            <w:vMerge/>
            <w:tcBorders>
              <w:top w:val="single" w:sz="4" w:space="0" w:color="212492"/>
              <w:bottom w:val="single" w:sz="4" w:space="0" w:color="212492"/>
            </w:tcBorders>
            <w:vAlign w:val="center"/>
          </w:tcPr>
          <w:p w14:paraId="7B920C49" w14:textId="6F24262E" w:rsidR="00EE6FC7" w:rsidRPr="006D4A47" w:rsidRDefault="00EE6FC7" w:rsidP="006D4A47">
            <w:pPr>
              <w:spacing w:before="60" w:after="60"/>
              <w:rPr>
                <w:szCs w:val="19"/>
              </w:rPr>
            </w:pPr>
          </w:p>
        </w:tc>
      </w:tr>
      <w:tr w:rsidR="0006134D" w:rsidRPr="006B50A4" w14:paraId="7B920C50" w14:textId="77777777" w:rsidTr="00D565E6">
        <w:trPr>
          <w:trHeight w:hRule="exact" w:val="340"/>
        </w:trPr>
        <w:tc>
          <w:tcPr>
            <w:tcW w:w="2195" w:type="dxa"/>
            <w:tcBorders>
              <w:top w:val="single" w:sz="4" w:space="0" w:color="212492"/>
              <w:bottom w:val="single" w:sz="4" w:space="0" w:color="212492"/>
            </w:tcBorders>
          </w:tcPr>
          <w:p w14:paraId="7B920C4B" w14:textId="526CE14E" w:rsidR="0006134D" w:rsidRPr="00481ECE" w:rsidRDefault="0006134D" w:rsidP="00A0296D">
            <w:pPr>
              <w:spacing w:before="20" w:after="20"/>
              <w:rPr>
                <w:b/>
                <w:bCs/>
                <w:szCs w:val="19"/>
              </w:rPr>
            </w:pPr>
            <w:r w:rsidRPr="00481ECE">
              <w:rPr>
                <w:b/>
                <w:bCs/>
                <w:szCs w:val="19"/>
              </w:rPr>
              <w:t>P</w:t>
            </w:r>
            <w:r w:rsidR="001236A9" w:rsidRPr="00481ECE">
              <w:rPr>
                <w:b/>
                <w:bCs/>
                <w:szCs w:val="19"/>
              </w:rPr>
              <w:t>olska</w:t>
            </w:r>
          </w:p>
        </w:tc>
        <w:tc>
          <w:tcPr>
            <w:tcW w:w="1430" w:type="dxa"/>
            <w:tcBorders>
              <w:top w:val="single" w:sz="4" w:space="0" w:color="212492"/>
              <w:bottom w:val="single" w:sz="4" w:space="0" w:color="212492"/>
            </w:tcBorders>
          </w:tcPr>
          <w:p w14:paraId="7B920C4C" w14:textId="30409534" w:rsidR="0006134D" w:rsidRPr="00481ECE" w:rsidRDefault="0006134D" w:rsidP="00A0296D">
            <w:pPr>
              <w:spacing w:before="20" w:after="20"/>
              <w:jc w:val="right"/>
              <w:rPr>
                <w:b/>
                <w:bCs/>
                <w:szCs w:val="19"/>
              </w:rPr>
            </w:pPr>
            <w:r w:rsidRPr="00481ECE">
              <w:rPr>
                <w:rFonts w:eastAsia="Times New Roman" w:cs="Calibri"/>
                <w:b/>
                <w:bCs/>
                <w:szCs w:val="19"/>
                <w:lang w:eastAsia="pl-PL"/>
              </w:rPr>
              <w:t>1</w:t>
            </w:r>
            <w:r w:rsidR="00481ECE" w:rsidRPr="00481ECE">
              <w:rPr>
                <w:rFonts w:eastAsia="Times New Roman" w:cs="Calibri"/>
                <w:b/>
                <w:bCs/>
                <w:szCs w:val="19"/>
                <w:lang w:eastAsia="pl-PL"/>
              </w:rPr>
              <w:t>45</w:t>
            </w:r>
            <w:r w:rsidRPr="00481ECE">
              <w:rPr>
                <w:rFonts w:eastAsia="Times New Roman" w:cs="Calibri"/>
                <w:b/>
                <w:bCs/>
                <w:szCs w:val="19"/>
                <w:lang w:eastAsia="pl-PL"/>
              </w:rPr>
              <w:t>,</w:t>
            </w:r>
            <w:r w:rsidR="00481ECE" w:rsidRPr="00481ECE">
              <w:rPr>
                <w:rFonts w:eastAsia="Times New Roman" w:cs="Calibri"/>
                <w:b/>
                <w:bCs/>
                <w:szCs w:val="19"/>
                <w:lang w:eastAsia="pl-PL"/>
              </w:rPr>
              <w:t>5</w:t>
            </w:r>
          </w:p>
        </w:tc>
        <w:tc>
          <w:tcPr>
            <w:tcW w:w="1430" w:type="dxa"/>
            <w:tcBorders>
              <w:top w:val="single" w:sz="4" w:space="0" w:color="212492"/>
              <w:bottom w:val="single" w:sz="4" w:space="0" w:color="212492"/>
            </w:tcBorders>
          </w:tcPr>
          <w:p w14:paraId="7B920C4D" w14:textId="66BCEC94" w:rsidR="0006134D" w:rsidRPr="00481ECE" w:rsidRDefault="00481ECE" w:rsidP="00A0296D">
            <w:pPr>
              <w:spacing w:before="20" w:after="20"/>
              <w:jc w:val="right"/>
              <w:rPr>
                <w:b/>
                <w:bCs/>
                <w:szCs w:val="19"/>
              </w:rPr>
            </w:pPr>
            <w:r w:rsidRPr="00481ECE">
              <w:rPr>
                <w:rFonts w:eastAsia="Times New Roman" w:cs="Calibri"/>
                <w:b/>
                <w:bCs/>
                <w:szCs w:val="19"/>
                <w:lang w:eastAsia="pl-PL"/>
              </w:rPr>
              <w:t>103,0</w:t>
            </w:r>
          </w:p>
        </w:tc>
        <w:tc>
          <w:tcPr>
            <w:tcW w:w="1441" w:type="dxa"/>
            <w:tcBorders>
              <w:top w:val="single" w:sz="4" w:space="0" w:color="212492"/>
              <w:bottom w:val="single" w:sz="4" w:space="0" w:color="212492"/>
            </w:tcBorders>
          </w:tcPr>
          <w:p w14:paraId="7B920C4E" w14:textId="6A588176" w:rsidR="0006134D" w:rsidRPr="00481ECE" w:rsidRDefault="0006134D" w:rsidP="00A0296D">
            <w:pPr>
              <w:spacing w:before="20" w:after="20"/>
              <w:jc w:val="right"/>
              <w:rPr>
                <w:b/>
                <w:bCs/>
                <w:szCs w:val="19"/>
              </w:rPr>
            </w:pPr>
            <w:r w:rsidRPr="00481ECE">
              <w:rPr>
                <w:rFonts w:eastAsia="Times New Roman" w:cs="Calibri"/>
                <w:b/>
                <w:bCs/>
                <w:szCs w:val="19"/>
                <w:lang w:eastAsia="pl-PL"/>
              </w:rPr>
              <w:t>1</w:t>
            </w:r>
            <w:r w:rsidR="00481ECE" w:rsidRPr="00481ECE">
              <w:rPr>
                <w:rFonts w:eastAsia="Times New Roman" w:cs="Calibri"/>
                <w:b/>
                <w:bCs/>
                <w:szCs w:val="19"/>
                <w:lang w:eastAsia="pl-PL"/>
              </w:rPr>
              <w:t>3</w:t>
            </w:r>
            <w:r w:rsidRPr="00481ECE">
              <w:rPr>
                <w:rFonts w:eastAsia="Times New Roman" w:cs="Calibri"/>
                <w:b/>
                <w:bCs/>
                <w:szCs w:val="19"/>
                <w:lang w:eastAsia="pl-PL"/>
              </w:rPr>
              <w:t>,</w:t>
            </w:r>
            <w:r w:rsidR="00481ECE" w:rsidRPr="00481ECE">
              <w:rPr>
                <w:rFonts w:eastAsia="Times New Roman" w:cs="Calibri"/>
                <w:b/>
                <w:bCs/>
                <w:szCs w:val="19"/>
                <w:lang w:eastAsia="pl-PL"/>
              </w:rPr>
              <w:t>5</w:t>
            </w:r>
          </w:p>
        </w:tc>
        <w:tc>
          <w:tcPr>
            <w:tcW w:w="1427" w:type="dxa"/>
            <w:tcBorders>
              <w:top w:val="single" w:sz="4" w:space="0" w:color="212492"/>
              <w:bottom w:val="single" w:sz="4" w:space="0" w:color="212492"/>
            </w:tcBorders>
          </w:tcPr>
          <w:p w14:paraId="7B920C4F" w14:textId="0BC6EF26" w:rsidR="0006134D" w:rsidRPr="00481ECE" w:rsidRDefault="00F208F5" w:rsidP="00A0296D">
            <w:pPr>
              <w:spacing w:before="20" w:after="20"/>
              <w:jc w:val="right"/>
              <w:rPr>
                <w:b/>
                <w:bCs/>
                <w:szCs w:val="19"/>
              </w:rPr>
            </w:pPr>
            <w:r w:rsidRPr="00F208F5">
              <w:rPr>
                <w:rFonts w:eastAsia="Times New Roman" w:cs="Calibri"/>
                <w:b/>
                <w:bCs/>
                <w:szCs w:val="19"/>
                <w:lang w:eastAsia="pl-PL"/>
              </w:rPr>
              <w:t>101,6</w:t>
            </w:r>
          </w:p>
        </w:tc>
      </w:tr>
      <w:tr w:rsidR="0006134D" w:rsidRPr="005E31C0" w14:paraId="7B920C56" w14:textId="77777777" w:rsidTr="00D565E6">
        <w:trPr>
          <w:trHeight w:val="340"/>
        </w:trPr>
        <w:tc>
          <w:tcPr>
            <w:tcW w:w="2195" w:type="dxa"/>
            <w:tcBorders>
              <w:top w:val="single" w:sz="4" w:space="0" w:color="212492"/>
            </w:tcBorders>
          </w:tcPr>
          <w:p w14:paraId="7B920C51" w14:textId="6D086E2D" w:rsidR="0006134D" w:rsidRPr="006D4A47" w:rsidRDefault="0006134D" w:rsidP="00A0296D">
            <w:pPr>
              <w:spacing w:before="20" w:after="20"/>
              <w:ind w:left="113" w:hanging="113"/>
              <w:rPr>
                <w:szCs w:val="19"/>
              </w:rPr>
            </w:pPr>
            <w:r w:rsidRPr="006D4A47">
              <w:rPr>
                <w:szCs w:val="19"/>
              </w:rPr>
              <w:t>Obszary przygraniczne na terenie Polski</w:t>
            </w:r>
          </w:p>
        </w:tc>
        <w:tc>
          <w:tcPr>
            <w:tcW w:w="1430" w:type="dxa"/>
            <w:tcBorders>
              <w:top w:val="single" w:sz="4" w:space="0" w:color="212492"/>
            </w:tcBorders>
            <w:vAlign w:val="center"/>
          </w:tcPr>
          <w:p w14:paraId="7B920C52" w14:textId="277D23BD" w:rsidR="0006134D" w:rsidRPr="00350F77" w:rsidRDefault="0006134D" w:rsidP="00F73E1A">
            <w:pPr>
              <w:spacing w:before="20" w:after="20"/>
              <w:jc w:val="right"/>
              <w:rPr>
                <w:szCs w:val="19"/>
              </w:rPr>
            </w:pPr>
            <w:r w:rsidRPr="00350F77">
              <w:rPr>
                <w:rFonts w:eastAsia="Times New Roman" w:cs="Calibri"/>
                <w:szCs w:val="19"/>
                <w:lang w:eastAsia="pl-PL"/>
              </w:rPr>
              <w:t>1</w:t>
            </w:r>
            <w:r w:rsidR="005F242D" w:rsidRPr="00350F77">
              <w:rPr>
                <w:rFonts w:eastAsia="Times New Roman" w:cs="Calibri"/>
                <w:szCs w:val="19"/>
                <w:lang w:eastAsia="pl-PL"/>
              </w:rPr>
              <w:t>2</w:t>
            </w:r>
            <w:r w:rsidR="00350F77" w:rsidRPr="00350F77">
              <w:rPr>
                <w:rFonts w:eastAsia="Times New Roman" w:cs="Calibri"/>
                <w:szCs w:val="19"/>
                <w:lang w:eastAsia="pl-PL"/>
              </w:rPr>
              <w:t>6</w:t>
            </w:r>
            <w:r w:rsidRPr="00350F77">
              <w:rPr>
                <w:rFonts w:eastAsia="Times New Roman" w:cs="Calibri"/>
                <w:szCs w:val="19"/>
                <w:lang w:eastAsia="pl-PL"/>
              </w:rPr>
              <w:t>,</w:t>
            </w:r>
            <w:r w:rsidR="00350F77" w:rsidRPr="00350F77">
              <w:rPr>
                <w:rFonts w:eastAsia="Times New Roman" w:cs="Calibri"/>
                <w:szCs w:val="19"/>
                <w:lang w:eastAsia="pl-PL"/>
              </w:rPr>
              <w:t>6</w:t>
            </w:r>
          </w:p>
        </w:tc>
        <w:tc>
          <w:tcPr>
            <w:tcW w:w="1430" w:type="dxa"/>
            <w:tcBorders>
              <w:top w:val="single" w:sz="4" w:space="0" w:color="212492"/>
            </w:tcBorders>
            <w:vAlign w:val="center"/>
          </w:tcPr>
          <w:p w14:paraId="7B920C53" w14:textId="570DACDD" w:rsidR="0006134D" w:rsidRPr="00350F77" w:rsidRDefault="00350F77" w:rsidP="00F73E1A">
            <w:pPr>
              <w:spacing w:before="20" w:after="20"/>
              <w:jc w:val="right"/>
              <w:rPr>
                <w:szCs w:val="19"/>
              </w:rPr>
            </w:pPr>
            <w:r w:rsidRPr="00350F77">
              <w:rPr>
                <w:rFonts w:eastAsia="Times New Roman" w:cs="Calibri"/>
                <w:szCs w:val="19"/>
                <w:lang w:eastAsia="pl-PL"/>
              </w:rPr>
              <w:t>92,0</w:t>
            </w:r>
          </w:p>
        </w:tc>
        <w:tc>
          <w:tcPr>
            <w:tcW w:w="1441" w:type="dxa"/>
            <w:tcBorders>
              <w:top w:val="single" w:sz="4" w:space="0" w:color="212492"/>
            </w:tcBorders>
            <w:vAlign w:val="center"/>
          </w:tcPr>
          <w:p w14:paraId="7B920C54" w14:textId="11363960" w:rsidR="0006134D" w:rsidRPr="00F44505" w:rsidRDefault="00EA2A59" w:rsidP="00F73E1A">
            <w:pPr>
              <w:spacing w:before="20" w:after="20"/>
              <w:jc w:val="right"/>
              <w:rPr>
                <w:szCs w:val="19"/>
              </w:rPr>
            </w:pPr>
            <w:r w:rsidRPr="00F44505">
              <w:rPr>
                <w:rFonts w:eastAsia="Times New Roman" w:cs="Calibri"/>
                <w:szCs w:val="19"/>
                <w:lang w:eastAsia="pl-PL"/>
              </w:rPr>
              <w:t>8</w:t>
            </w:r>
            <w:r w:rsidR="0006134D" w:rsidRPr="00F44505">
              <w:rPr>
                <w:rFonts w:eastAsia="Times New Roman" w:cs="Calibri"/>
                <w:szCs w:val="19"/>
                <w:lang w:eastAsia="pl-PL"/>
              </w:rPr>
              <w:t>,</w:t>
            </w:r>
            <w:r w:rsidR="00F44505" w:rsidRPr="00F44505">
              <w:rPr>
                <w:rFonts w:eastAsia="Times New Roman" w:cs="Calibri"/>
                <w:szCs w:val="19"/>
                <w:lang w:eastAsia="pl-PL"/>
              </w:rPr>
              <w:t>5</w:t>
            </w:r>
          </w:p>
        </w:tc>
        <w:tc>
          <w:tcPr>
            <w:tcW w:w="1427" w:type="dxa"/>
            <w:tcBorders>
              <w:top w:val="single" w:sz="4" w:space="0" w:color="212492"/>
            </w:tcBorders>
            <w:vAlign w:val="center"/>
          </w:tcPr>
          <w:p w14:paraId="7B920C55" w14:textId="32CC03D0" w:rsidR="0006134D" w:rsidRPr="00F44505" w:rsidRDefault="00F208F5" w:rsidP="00F73E1A">
            <w:pPr>
              <w:spacing w:before="20" w:after="20"/>
              <w:jc w:val="right"/>
              <w:rPr>
                <w:szCs w:val="19"/>
              </w:rPr>
            </w:pPr>
            <w:r w:rsidRPr="00F208F5">
              <w:rPr>
                <w:rFonts w:eastAsia="Times New Roman" w:cs="Calibri"/>
                <w:szCs w:val="19"/>
                <w:lang w:eastAsia="pl-PL"/>
              </w:rPr>
              <w:t>98,4</w:t>
            </w:r>
          </w:p>
        </w:tc>
      </w:tr>
      <w:tr w:rsidR="000A40F5" w:rsidRPr="000A40F5" w14:paraId="7B920C5C" w14:textId="77777777" w:rsidTr="00D565E6">
        <w:trPr>
          <w:trHeight w:hRule="exact" w:val="340"/>
        </w:trPr>
        <w:tc>
          <w:tcPr>
            <w:tcW w:w="2195" w:type="dxa"/>
          </w:tcPr>
          <w:p w14:paraId="7B920C57" w14:textId="089868FF" w:rsidR="0006134D" w:rsidRPr="006D4A47" w:rsidRDefault="0006134D" w:rsidP="00A0296D">
            <w:pPr>
              <w:spacing w:before="20" w:after="20"/>
              <w:ind w:left="176"/>
              <w:rPr>
                <w:szCs w:val="19"/>
              </w:rPr>
            </w:pPr>
            <w:r w:rsidRPr="006D4A47">
              <w:rPr>
                <w:szCs w:val="19"/>
              </w:rPr>
              <w:t>sąsiadujące z:</w:t>
            </w:r>
          </w:p>
        </w:tc>
        <w:tc>
          <w:tcPr>
            <w:tcW w:w="1430" w:type="dxa"/>
          </w:tcPr>
          <w:p w14:paraId="7B920C58" w14:textId="7232D22A" w:rsidR="0006134D" w:rsidRPr="000A40F5" w:rsidRDefault="0006134D" w:rsidP="00A0296D">
            <w:pPr>
              <w:spacing w:before="20" w:after="20"/>
              <w:jc w:val="right"/>
              <w:rPr>
                <w:szCs w:val="19"/>
              </w:rPr>
            </w:pPr>
            <w:r w:rsidRPr="000A40F5">
              <w:rPr>
                <w:rFonts w:eastAsia="Times New Roman" w:cs="Calibri"/>
                <w:szCs w:val="19"/>
                <w:lang w:eastAsia="pl-PL"/>
              </w:rPr>
              <w:t> </w:t>
            </w:r>
          </w:p>
        </w:tc>
        <w:tc>
          <w:tcPr>
            <w:tcW w:w="1430" w:type="dxa"/>
          </w:tcPr>
          <w:p w14:paraId="7B920C59" w14:textId="22B58BDF" w:rsidR="0006134D" w:rsidRPr="000A40F5" w:rsidRDefault="0006134D" w:rsidP="00A0296D">
            <w:pPr>
              <w:spacing w:before="20" w:after="20"/>
              <w:jc w:val="right"/>
              <w:rPr>
                <w:szCs w:val="19"/>
              </w:rPr>
            </w:pPr>
            <w:r w:rsidRPr="000A40F5">
              <w:rPr>
                <w:rFonts w:eastAsia="Times New Roman" w:cs="Calibri"/>
                <w:szCs w:val="19"/>
                <w:lang w:eastAsia="pl-PL"/>
              </w:rPr>
              <w:t> </w:t>
            </w:r>
          </w:p>
        </w:tc>
        <w:tc>
          <w:tcPr>
            <w:tcW w:w="1441" w:type="dxa"/>
          </w:tcPr>
          <w:p w14:paraId="7B920C5A" w14:textId="29C3B22B" w:rsidR="0006134D" w:rsidRPr="000A40F5" w:rsidRDefault="0006134D" w:rsidP="00A0296D">
            <w:pPr>
              <w:spacing w:before="20" w:after="20"/>
              <w:jc w:val="right"/>
              <w:rPr>
                <w:szCs w:val="19"/>
              </w:rPr>
            </w:pPr>
            <w:r w:rsidRPr="000A40F5">
              <w:rPr>
                <w:rFonts w:eastAsia="Times New Roman" w:cs="Calibri"/>
                <w:szCs w:val="19"/>
                <w:lang w:eastAsia="pl-PL"/>
              </w:rPr>
              <w:t> </w:t>
            </w:r>
          </w:p>
        </w:tc>
        <w:tc>
          <w:tcPr>
            <w:tcW w:w="1427" w:type="dxa"/>
          </w:tcPr>
          <w:p w14:paraId="7B920C5B" w14:textId="5396F263" w:rsidR="0006134D" w:rsidRPr="000A40F5" w:rsidRDefault="0006134D" w:rsidP="00A0296D">
            <w:pPr>
              <w:spacing w:before="20" w:after="20"/>
              <w:jc w:val="right"/>
              <w:rPr>
                <w:szCs w:val="19"/>
              </w:rPr>
            </w:pPr>
            <w:r w:rsidRPr="000A40F5">
              <w:rPr>
                <w:rFonts w:eastAsia="Times New Roman" w:cs="Calibri"/>
                <w:szCs w:val="19"/>
                <w:lang w:eastAsia="pl-PL"/>
              </w:rPr>
              <w:t> </w:t>
            </w:r>
          </w:p>
        </w:tc>
      </w:tr>
      <w:tr w:rsidR="0006134D" w:rsidRPr="005E31C0" w14:paraId="7B920C62" w14:textId="77777777" w:rsidTr="00D565E6">
        <w:trPr>
          <w:trHeight w:hRule="exact" w:val="340"/>
        </w:trPr>
        <w:tc>
          <w:tcPr>
            <w:tcW w:w="2195" w:type="dxa"/>
          </w:tcPr>
          <w:p w14:paraId="7B920C5D" w14:textId="2D113FD3" w:rsidR="0006134D" w:rsidRPr="006D4A47" w:rsidRDefault="0006134D" w:rsidP="00A0296D">
            <w:pPr>
              <w:spacing w:before="20" w:after="20"/>
              <w:rPr>
                <w:szCs w:val="19"/>
              </w:rPr>
            </w:pPr>
            <w:r w:rsidRPr="006D4A47">
              <w:rPr>
                <w:szCs w:val="19"/>
              </w:rPr>
              <w:t>Rosją</w:t>
            </w:r>
          </w:p>
        </w:tc>
        <w:tc>
          <w:tcPr>
            <w:tcW w:w="1430" w:type="dxa"/>
          </w:tcPr>
          <w:p w14:paraId="7B920C5E" w14:textId="7BBB3E9E" w:rsidR="0006134D" w:rsidRPr="003F0ADB" w:rsidRDefault="005F242D" w:rsidP="00A0296D">
            <w:pPr>
              <w:spacing w:before="20" w:after="20"/>
              <w:jc w:val="right"/>
              <w:rPr>
                <w:szCs w:val="19"/>
              </w:rPr>
            </w:pPr>
            <w:r w:rsidRPr="003F0ADB">
              <w:rPr>
                <w:rFonts w:eastAsia="Times New Roman" w:cs="Calibri"/>
                <w:szCs w:val="19"/>
                <w:lang w:eastAsia="pl-PL"/>
              </w:rPr>
              <w:t>1</w:t>
            </w:r>
            <w:r w:rsidR="00ED35EF" w:rsidRPr="003F0ADB">
              <w:rPr>
                <w:rFonts w:eastAsia="Times New Roman" w:cs="Calibri"/>
                <w:szCs w:val="19"/>
                <w:lang w:eastAsia="pl-PL"/>
              </w:rPr>
              <w:t>11</w:t>
            </w:r>
            <w:r w:rsidR="0006134D" w:rsidRPr="003F0ADB">
              <w:rPr>
                <w:rFonts w:eastAsia="Times New Roman" w:cs="Calibri"/>
                <w:szCs w:val="19"/>
                <w:lang w:eastAsia="pl-PL"/>
              </w:rPr>
              <w:t>,</w:t>
            </w:r>
            <w:r w:rsidR="00ED35EF" w:rsidRPr="003F0ADB">
              <w:rPr>
                <w:rFonts w:eastAsia="Times New Roman" w:cs="Calibri"/>
                <w:szCs w:val="19"/>
                <w:lang w:eastAsia="pl-PL"/>
              </w:rPr>
              <w:t>6</w:t>
            </w:r>
          </w:p>
        </w:tc>
        <w:tc>
          <w:tcPr>
            <w:tcW w:w="1430" w:type="dxa"/>
          </w:tcPr>
          <w:p w14:paraId="7B920C5F" w14:textId="07641E18" w:rsidR="0006134D" w:rsidRPr="003F0ADB" w:rsidRDefault="0006134D" w:rsidP="00A0296D">
            <w:pPr>
              <w:spacing w:before="20" w:after="20"/>
              <w:jc w:val="right"/>
              <w:rPr>
                <w:szCs w:val="19"/>
              </w:rPr>
            </w:pPr>
            <w:r w:rsidRPr="003F0ADB">
              <w:rPr>
                <w:rFonts w:eastAsia="Times New Roman" w:cs="Calibri"/>
                <w:szCs w:val="19"/>
                <w:lang w:eastAsia="pl-PL"/>
              </w:rPr>
              <w:t>7</w:t>
            </w:r>
            <w:r w:rsidR="00ED35EF" w:rsidRPr="003F0ADB">
              <w:rPr>
                <w:rFonts w:eastAsia="Times New Roman" w:cs="Calibri"/>
                <w:szCs w:val="19"/>
                <w:lang w:eastAsia="pl-PL"/>
              </w:rPr>
              <w:t>9</w:t>
            </w:r>
            <w:r w:rsidRPr="003F0ADB">
              <w:rPr>
                <w:rFonts w:eastAsia="Times New Roman" w:cs="Calibri"/>
                <w:szCs w:val="19"/>
                <w:lang w:eastAsia="pl-PL"/>
              </w:rPr>
              <w:t>,</w:t>
            </w:r>
            <w:r w:rsidR="00ED35EF" w:rsidRPr="003F0ADB">
              <w:rPr>
                <w:rFonts w:eastAsia="Times New Roman" w:cs="Calibri"/>
                <w:szCs w:val="19"/>
                <w:lang w:eastAsia="pl-PL"/>
              </w:rPr>
              <w:t>8</w:t>
            </w:r>
          </w:p>
        </w:tc>
        <w:tc>
          <w:tcPr>
            <w:tcW w:w="1441" w:type="dxa"/>
          </w:tcPr>
          <w:p w14:paraId="7B920C60" w14:textId="745461FB" w:rsidR="0006134D" w:rsidRPr="003F0ADB" w:rsidRDefault="00EA2A59" w:rsidP="00A0296D">
            <w:pPr>
              <w:spacing w:before="20" w:after="20"/>
              <w:jc w:val="right"/>
              <w:rPr>
                <w:szCs w:val="19"/>
              </w:rPr>
            </w:pPr>
            <w:r w:rsidRPr="003F0ADB">
              <w:rPr>
                <w:rFonts w:eastAsia="Times New Roman" w:cs="Calibri"/>
                <w:szCs w:val="19"/>
                <w:lang w:eastAsia="pl-PL"/>
              </w:rPr>
              <w:t>6</w:t>
            </w:r>
            <w:r w:rsidR="0006134D" w:rsidRPr="003F0ADB">
              <w:rPr>
                <w:rFonts w:eastAsia="Times New Roman" w:cs="Calibri"/>
                <w:szCs w:val="19"/>
                <w:lang w:eastAsia="pl-PL"/>
              </w:rPr>
              <w:t>,</w:t>
            </w:r>
            <w:r w:rsidR="00ED35EF" w:rsidRPr="003F0ADB">
              <w:rPr>
                <w:rFonts w:eastAsia="Times New Roman" w:cs="Calibri"/>
                <w:szCs w:val="19"/>
                <w:lang w:eastAsia="pl-PL"/>
              </w:rPr>
              <w:t>4</w:t>
            </w:r>
          </w:p>
        </w:tc>
        <w:tc>
          <w:tcPr>
            <w:tcW w:w="1427" w:type="dxa"/>
          </w:tcPr>
          <w:p w14:paraId="7B920C61" w14:textId="5C607AFD" w:rsidR="0006134D" w:rsidRPr="003F0ADB" w:rsidRDefault="00F208F5" w:rsidP="00A0296D">
            <w:pPr>
              <w:spacing w:before="20" w:after="20"/>
              <w:jc w:val="right"/>
              <w:rPr>
                <w:szCs w:val="19"/>
              </w:rPr>
            </w:pPr>
            <w:r>
              <w:rPr>
                <w:rFonts w:eastAsia="Times New Roman" w:cs="Calibri"/>
                <w:szCs w:val="19"/>
                <w:lang w:eastAsia="pl-PL"/>
              </w:rPr>
              <w:t>98,1</w:t>
            </w:r>
          </w:p>
        </w:tc>
      </w:tr>
      <w:tr w:rsidR="0006134D" w:rsidRPr="005E31C0" w14:paraId="34766B69" w14:textId="77777777" w:rsidTr="00D565E6">
        <w:trPr>
          <w:trHeight w:hRule="exact" w:val="340"/>
        </w:trPr>
        <w:tc>
          <w:tcPr>
            <w:tcW w:w="2195" w:type="dxa"/>
          </w:tcPr>
          <w:p w14:paraId="7123A7F5" w14:textId="4EB079A8" w:rsidR="0006134D" w:rsidRPr="006D4A47" w:rsidRDefault="0006134D" w:rsidP="00A0296D">
            <w:pPr>
              <w:spacing w:before="20" w:after="20"/>
              <w:rPr>
                <w:szCs w:val="19"/>
              </w:rPr>
            </w:pPr>
            <w:r w:rsidRPr="006D4A47">
              <w:rPr>
                <w:szCs w:val="19"/>
              </w:rPr>
              <w:t>Litwą</w:t>
            </w:r>
          </w:p>
        </w:tc>
        <w:tc>
          <w:tcPr>
            <w:tcW w:w="1430" w:type="dxa"/>
          </w:tcPr>
          <w:p w14:paraId="7FEF4B20" w14:textId="2E0B159C" w:rsidR="0006134D" w:rsidRPr="003F0ADB" w:rsidRDefault="00ED35EF" w:rsidP="00A0296D">
            <w:pPr>
              <w:spacing w:before="20" w:after="20"/>
              <w:jc w:val="right"/>
              <w:rPr>
                <w:szCs w:val="19"/>
              </w:rPr>
            </w:pPr>
            <w:r w:rsidRPr="003F0ADB">
              <w:rPr>
                <w:rFonts w:eastAsia="Times New Roman" w:cs="Calibri"/>
                <w:szCs w:val="19"/>
                <w:lang w:eastAsia="pl-PL"/>
              </w:rPr>
              <w:t>100</w:t>
            </w:r>
            <w:r w:rsidR="0006134D" w:rsidRPr="003F0ADB">
              <w:rPr>
                <w:rFonts w:eastAsia="Times New Roman" w:cs="Calibri"/>
                <w:szCs w:val="19"/>
                <w:lang w:eastAsia="pl-PL"/>
              </w:rPr>
              <w:t>,</w:t>
            </w:r>
            <w:r w:rsidRPr="003F0ADB">
              <w:rPr>
                <w:rFonts w:eastAsia="Times New Roman" w:cs="Calibri"/>
                <w:szCs w:val="19"/>
                <w:lang w:eastAsia="pl-PL"/>
              </w:rPr>
              <w:t>6</w:t>
            </w:r>
          </w:p>
        </w:tc>
        <w:tc>
          <w:tcPr>
            <w:tcW w:w="1430" w:type="dxa"/>
          </w:tcPr>
          <w:p w14:paraId="1A2204D6" w14:textId="035A9A2D" w:rsidR="0006134D" w:rsidRPr="003F0ADB" w:rsidRDefault="005F242D" w:rsidP="00A0296D">
            <w:pPr>
              <w:spacing w:before="20" w:after="20"/>
              <w:jc w:val="right"/>
              <w:rPr>
                <w:szCs w:val="19"/>
              </w:rPr>
            </w:pPr>
            <w:r w:rsidRPr="003F0ADB">
              <w:rPr>
                <w:rFonts w:eastAsia="Times New Roman" w:cs="Calibri"/>
                <w:szCs w:val="19"/>
                <w:lang w:eastAsia="pl-PL"/>
              </w:rPr>
              <w:t>7</w:t>
            </w:r>
            <w:r w:rsidR="00ED35EF" w:rsidRPr="003F0ADB">
              <w:rPr>
                <w:rFonts w:eastAsia="Times New Roman" w:cs="Calibri"/>
                <w:szCs w:val="19"/>
                <w:lang w:eastAsia="pl-PL"/>
              </w:rPr>
              <w:t>5</w:t>
            </w:r>
            <w:r w:rsidR="0006134D" w:rsidRPr="003F0ADB">
              <w:rPr>
                <w:rFonts w:eastAsia="Times New Roman" w:cs="Calibri"/>
                <w:szCs w:val="19"/>
                <w:lang w:eastAsia="pl-PL"/>
              </w:rPr>
              <w:t>,</w:t>
            </w:r>
            <w:r w:rsidR="00ED35EF" w:rsidRPr="003F0ADB">
              <w:rPr>
                <w:rFonts w:eastAsia="Times New Roman" w:cs="Calibri"/>
                <w:szCs w:val="19"/>
                <w:lang w:eastAsia="pl-PL"/>
              </w:rPr>
              <w:t>3</w:t>
            </w:r>
          </w:p>
        </w:tc>
        <w:tc>
          <w:tcPr>
            <w:tcW w:w="1441" w:type="dxa"/>
          </w:tcPr>
          <w:p w14:paraId="2620431C" w14:textId="40336330" w:rsidR="0006134D" w:rsidRPr="003F0ADB" w:rsidRDefault="00EA2A59" w:rsidP="00A0296D">
            <w:pPr>
              <w:spacing w:before="20" w:after="20"/>
              <w:jc w:val="right"/>
              <w:rPr>
                <w:szCs w:val="19"/>
              </w:rPr>
            </w:pPr>
            <w:r w:rsidRPr="003F0ADB">
              <w:rPr>
                <w:rFonts w:eastAsia="Times New Roman" w:cs="Calibri"/>
                <w:szCs w:val="19"/>
                <w:lang w:eastAsia="pl-PL"/>
              </w:rPr>
              <w:t>6</w:t>
            </w:r>
            <w:r w:rsidR="0006134D" w:rsidRPr="003F0ADB">
              <w:rPr>
                <w:rFonts w:eastAsia="Times New Roman" w:cs="Calibri"/>
                <w:szCs w:val="19"/>
                <w:lang w:eastAsia="pl-PL"/>
              </w:rPr>
              <w:t>,</w:t>
            </w:r>
            <w:r w:rsidR="00ED35EF" w:rsidRPr="003F0ADB">
              <w:rPr>
                <w:rFonts w:eastAsia="Times New Roman" w:cs="Calibri"/>
                <w:szCs w:val="19"/>
                <w:lang w:eastAsia="pl-PL"/>
              </w:rPr>
              <w:t>4</w:t>
            </w:r>
          </w:p>
        </w:tc>
        <w:tc>
          <w:tcPr>
            <w:tcW w:w="1427" w:type="dxa"/>
          </w:tcPr>
          <w:p w14:paraId="3EBB59F2" w14:textId="791CC976" w:rsidR="0006134D" w:rsidRPr="003F0ADB" w:rsidRDefault="00F208F5" w:rsidP="00A0296D">
            <w:pPr>
              <w:spacing w:before="20" w:after="20"/>
              <w:jc w:val="right"/>
              <w:rPr>
                <w:szCs w:val="19"/>
              </w:rPr>
            </w:pPr>
            <w:r w:rsidRPr="00F208F5">
              <w:rPr>
                <w:rFonts w:eastAsia="Times New Roman" w:cs="Calibri"/>
                <w:szCs w:val="19"/>
                <w:lang w:eastAsia="pl-PL"/>
              </w:rPr>
              <w:t>98,2</w:t>
            </w:r>
          </w:p>
        </w:tc>
      </w:tr>
      <w:tr w:rsidR="0006134D" w:rsidRPr="005E31C0" w14:paraId="2CAAE17D" w14:textId="77777777" w:rsidTr="00D565E6">
        <w:trPr>
          <w:trHeight w:hRule="exact" w:val="340"/>
        </w:trPr>
        <w:tc>
          <w:tcPr>
            <w:tcW w:w="2195" w:type="dxa"/>
          </w:tcPr>
          <w:p w14:paraId="5A175A93" w14:textId="71D06FA5" w:rsidR="0006134D" w:rsidRPr="006D4A47" w:rsidRDefault="0006134D" w:rsidP="00A0296D">
            <w:pPr>
              <w:spacing w:before="20" w:after="20"/>
              <w:rPr>
                <w:szCs w:val="19"/>
              </w:rPr>
            </w:pPr>
            <w:r w:rsidRPr="006D4A47">
              <w:rPr>
                <w:szCs w:val="19"/>
              </w:rPr>
              <w:t>Białorusią</w:t>
            </w:r>
          </w:p>
        </w:tc>
        <w:tc>
          <w:tcPr>
            <w:tcW w:w="1430" w:type="dxa"/>
          </w:tcPr>
          <w:p w14:paraId="4CFAB050" w14:textId="7383A17B" w:rsidR="0006134D" w:rsidRPr="003F0ADB" w:rsidRDefault="005F242D" w:rsidP="00A0296D">
            <w:pPr>
              <w:spacing w:before="20" w:after="20"/>
              <w:jc w:val="right"/>
              <w:rPr>
                <w:szCs w:val="19"/>
              </w:rPr>
            </w:pPr>
            <w:r w:rsidRPr="003F0ADB">
              <w:rPr>
                <w:rFonts w:eastAsia="Times New Roman" w:cs="Calibri"/>
                <w:szCs w:val="19"/>
                <w:lang w:eastAsia="pl-PL"/>
              </w:rPr>
              <w:t>1</w:t>
            </w:r>
            <w:r w:rsidR="006576B2" w:rsidRPr="003F0ADB">
              <w:rPr>
                <w:rFonts w:eastAsia="Times New Roman" w:cs="Calibri"/>
                <w:szCs w:val="19"/>
                <w:lang w:eastAsia="pl-PL"/>
              </w:rPr>
              <w:t>12</w:t>
            </w:r>
            <w:r w:rsidR="0006134D" w:rsidRPr="003F0ADB">
              <w:rPr>
                <w:rFonts w:eastAsia="Times New Roman" w:cs="Calibri"/>
                <w:szCs w:val="19"/>
                <w:lang w:eastAsia="pl-PL"/>
              </w:rPr>
              <w:t>,</w:t>
            </w:r>
            <w:r w:rsidR="006576B2" w:rsidRPr="003F0ADB">
              <w:rPr>
                <w:rFonts w:eastAsia="Times New Roman" w:cs="Calibri"/>
                <w:szCs w:val="19"/>
                <w:lang w:eastAsia="pl-PL"/>
              </w:rPr>
              <w:t>1</w:t>
            </w:r>
          </w:p>
        </w:tc>
        <w:tc>
          <w:tcPr>
            <w:tcW w:w="1430" w:type="dxa"/>
          </w:tcPr>
          <w:p w14:paraId="484AD104" w14:textId="0F527897" w:rsidR="0006134D" w:rsidRPr="003F0ADB" w:rsidRDefault="006576B2" w:rsidP="00A0296D">
            <w:pPr>
              <w:spacing w:before="20" w:after="20"/>
              <w:jc w:val="right"/>
              <w:rPr>
                <w:szCs w:val="19"/>
              </w:rPr>
            </w:pPr>
            <w:r w:rsidRPr="003F0ADB">
              <w:rPr>
                <w:rFonts w:eastAsia="Times New Roman" w:cs="Calibri"/>
                <w:szCs w:val="19"/>
                <w:lang w:eastAsia="pl-PL"/>
              </w:rPr>
              <w:t>83</w:t>
            </w:r>
            <w:r w:rsidR="0006134D" w:rsidRPr="003F0ADB">
              <w:rPr>
                <w:rFonts w:eastAsia="Times New Roman" w:cs="Calibri"/>
                <w:szCs w:val="19"/>
                <w:lang w:eastAsia="pl-PL"/>
              </w:rPr>
              <w:t>,</w:t>
            </w:r>
            <w:r w:rsidRPr="003F0ADB">
              <w:rPr>
                <w:rFonts w:eastAsia="Times New Roman" w:cs="Calibri"/>
                <w:szCs w:val="19"/>
                <w:lang w:eastAsia="pl-PL"/>
              </w:rPr>
              <w:t>3</w:t>
            </w:r>
          </w:p>
        </w:tc>
        <w:tc>
          <w:tcPr>
            <w:tcW w:w="1441" w:type="dxa"/>
          </w:tcPr>
          <w:p w14:paraId="79416C21" w14:textId="5E626FD8" w:rsidR="0006134D" w:rsidRPr="003F0ADB" w:rsidRDefault="006576B2" w:rsidP="00A0296D">
            <w:pPr>
              <w:spacing w:before="20" w:after="20"/>
              <w:jc w:val="right"/>
              <w:rPr>
                <w:szCs w:val="19"/>
              </w:rPr>
            </w:pPr>
            <w:r w:rsidRPr="003F0ADB">
              <w:rPr>
                <w:rFonts w:eastAsia="Times New Roman" w:cs="Calibri"/>
                <w:szCs w:val="19"/>
                <w:lang w:eastAsia="pl-PL"/>
              </w:rPr>
              <w:t>10,6</w:t>
            </w:r>
          </w:p>
        </w:tc>
        <w:tc>
          <w:tcPr>
            <w:tcW w:w="1427" w:type="dxa"/>
          </w:tcPr>
          <w:p w14:paraId="5DDE1A7C" w14:textId="04DE0F3E" w:rsidR="0006134D" w:rsidRPr="003F0ADB" w:rsidRDefault="00F208F5" w:rsidP="00A0296D">
            <w:pPr>
              <w:spacing w:before="20" w:after="20"/>
              <w:jc w:val="right"/>
              <w:rPr>
                <w:szCs w:val="19"/>
              </w:rPr>
            </w:pPr>
            <w:r w:rsidRPr="00F208F5">
              <w:rPr>
                <w:rFonts w:eastAsia="Times New Roman" w:cs="Calibri"/>
                <w:szCs w:val="19"/>
                <w:lang w:eastAsia="pl-PL"/>
              </w:rPr>
              <w:t>100,4</w:t>
            </w:r>
          </w:p>
        </w:tc>
      </w:tr>
      <w:tr w:rsidR="0006134D" w:rsidRPr="005E31C0" w14:paraId="438BC31B" w14:textId="77777777" w:rsidTr="00D565E6">
        <w:trPr>
          <w:trHeight w:hRule="exact" w:val="340"/>
        </w:trPr>
        <w:tc>
          <w:tcPr>
            <w:tcW w:w="2195" w:type="dxa"/>
          </w:tcPr>
          <w:p w14:paraId="3FA9ACE0" w14:textId="5F3D9914" w:rsidR="0006134D" w:rsidRPr="006D4A47" w:rsidRDefault="0006134D" w:rsidP="00A0296D">
            <w:pPr>
              <w:spacing w:before="20" w:after="20"/>
              <w:rPr>
                <w:szCs w:val="19"/>
              </w:rPr>
            </w:pPr>
            <w:r w:rsidRPr="006D4A47">
              <w:rPr>
                <w:szCs w:val="19"/>
              </w:rPr>
              <w:t>Ukrainą</w:t>
            </w:r>
          </w:p>
        </w:tc>
        <w:tc>
          <w:tcPr>
            <w:tcW w:w="1430" w:type="dxa"/>
          </w:tcPr>
          <w:p w14:paraId="6B59EF4E" w14:textId="48B4017F" w:rsidR="0006134D" w:rsidRPr="003F0ADB" w:rsidRDefault="005F242D" w:rsidP="00A0296D">
            <w:pPr>
              <w:spacing w:before="20" w:after="20"/>
              <w:jc w:val="right"/>
              <w:rPr>
                <w:szCs w:val="19"/>
              </w:rPr>
            </w:pPr>
            <w:r w:rsidRPr="003F0ADB">
              <w:rPr>
                <w:rFonts w:eastAsia="Times New Roman" w:cs="Calibri"/>
                <w:szCs w:val="19"/>
                <w:lang w:eastAsia="pl-PL"/>
              </w:rPr>
              <w:t>9</w:t>
            </w:r>
            <w:r w:rsidR="006576B2" w:rsidRPr="003F0ADB">
              <w:rPr>
                <w:rFonts w:eastAsia="Times New Roman" w:cs="Calibri"/>
                <w:szCs w:val="19"/>
                <w:lang w:eastAsia="pl-PL"/>
              </w:rPr>
              <w:t>7</w:t>
            </w:r>
            <w:r w:rsidR="0006134D" w:rsidRPr="003F0ADB">
              <w:rPr>
                <w:rFonts w:eastAsia="Times New Roman" w:cs="Calibri"/>
                <w:szCs w:val="19"/>
                <w:lang w:eastAsia="pl-PL"/>
              </w:rPr>
              <w:t>,</w:t>
            </w:r>
            <w:r w:rsidR="006576B2" w:rsidRPr="003F0ADB">
              <w:rPr>
                <w:rFonts w:eastAsia="Times New Roman" w:cs="Calibri"/>
                <w:szCs w:val="19"/>
                <w:lang w:eastAsia="pl-PL"/>
              </w:rPr>
              <w:t>4</w:t>
            </w:r>
          </w:p>
        </w:tc>
        <w:tc>
          <w:tcPr>
            <w:tcW w:w="1430" w:type="dxa"/>
          </w:tcPr>
          <w:p w14:paraId="743E6CAF" w14:textId="111AE8DB" w:rsidR="0006134D" w:rsidRPr="003F0ADB" w:rsidRDefault="006576B2" w:rsidP="00A0296D">
            <w:pPr>
              <w:spacing w:before="20" w:after="20"/>
              <w:jc w:val="right"/>
              <w:rPr>
                <w:szCs w:val="19"/>
              </w:rPr>
            </w:pPr>
            <w:r w:rsidRPr="003F0ADB">
              <w:rPr>
                <w:rFonts w:eastAsia="Times New Roman" w:cs="Calibri"/>
                <w:szCs w:val="19"/>
                <w:lang w:eastAsia="pl-PL"/>
              </w:rPr>
              <w:t>72</w:t>
            </w:r>
            <w:r w:rsidR="0006134D" w:rsidRPr="003F0ADB">
              <w:rPr>
                <w:rFonts w:eastAsia="Times New Roman" w:cs="Calibri"/>
                <w:szCs w:val="19"/>
                <w:lang w:eastAsia="pl-PL"/>
              </w:rPr>
              <w:t>,</w:t>
            </w:r>
            <w:r w:rsidRPr="003F0ADB">
              <w:rPr>
                <w:rFonts w:eastAsia="Times New Roman" w:cs="Calibri"/>
                <w:szCs w:val="19"/>
                <w:lang w:eastAsia="pl-PL"/>
              </w:rPr>
              <w:t>6</w:t>
            </w:r>
          </w:p>
        </w:tc>
        <w:tc>
          <w:tcPr>
            <w:tcW w:w="1441" w:type="dxa"/>
          </w:tcPr>
          <w:p w14:paraId="19DC5E67" w14:textId="27130A75" w:rsidR="0006134D" w:rsidRPr="003F0ADB" w:rsidRDefault="006576B2" w:rsidP="00A0296D">
            <w:pPr>
              <w:spacing w:before="20" w:after="20"/>
              <w:jc w:val="right"/>
              <w:rPr>
                <w:szCs w:val="19"/>
              </w:rPr>
            </w:pPr>
            <w:r w:rsidRPr="003F0ADB">
              <w:rPr>
                <w:rFonts w:eastAsia="Times New Roman" w:cs="Calibri"/>
                <w:szCs w:val="19"/>
                <w:lang w:eastAsia="pl-PL"/>
              </w:rPr>
              <w:t>7</w:t>
            </w:r>
            <w:r w:rsidR="0006134D" w:rsidRPr="003F0ADB">
              <w:rPr>
                <w:rFonts w:eastAsia="Times New Roman" w:cs="Calibri"/>
                <w:szCs w:val="19"/>
                <w:lang w:eastAsia="pl-PL"/>
              </w:rPr>
              <w:t>,</w:t>
            </w:r>
            <w:r w:rsidRPr="003F0ADB">
              <w:rPr>
                <w:rFonts w:eastAsia="Times New Roman" w:cs="Calibri"/>
                <w:szCs w:val="19"/>
                <w:lang w:eastAsia="pl-PL"/>
              </w:rPr>
              <w:t>0</w:t>
            </w:r>
          </w:p>
        </w:tc>
        <w:tc>
          <w:tcPr>
            <w:tcW w:w="1427" w:type="dxa"/>
          </w:tcPr>
          <w:p w14:paraId="361E4D64" w14:textId="410CCF0D" w:rsidR="0006134D" w:rsidRPr="003F0ADB" w:rsidRDefault="00F208F5" w:rsidP="00A0296D">
            <w:pPr>
              <w:spacing w:before="20" w:after="20"/>
              <w:jc w:val="right"/>
              <w:rPr>
                <w:szCs w:val="19"/>
              </w:rPr>
            </w:pPr>
            <w:r w:rsidRPr="00F208F5">
              <w:rPr>
                <w:rFonts w:eastAsia="Times New Roman" w:cs="Calibri"/>
                <w:szCs w:val="19"/>
                <w:lang w:eastAsia="pl-PL"/>
              </w:rPr>
              <w:t>92,0</w:t>
            </w:r>
          </w:p>
        </w:tc>
      </w:tr>
      <w:tr w:rsidR="0006134D" w:rsidRPr="005E31C0" w14:paraId="64E20982" w14:textId="77777777" w:rsidTr="00D565E6">
        <w:trPr>
          <w:trHeight w:hRule="exact" w:val="340"/>
        </w:trPr>
        <w:tc>
          <w:tcPr>
            <w:tcW w:w="2195" w:type="dxa"/>
          </w:tcPr>
          <w:p w14:paraId="4B842FDC" w14:textId="7E73C075" w:rsidR="0006134D" w:rsidRPr="006D4A47" w:rsidRDefault="0006134D" w:rsidP="00A0296D">
            <w:pPr>
              <w:spacing w:before="20" w:after="20"/>
              <w:rPr>
                <w:szCs w:val="19"/>
              </w:rPr>
            </w:pPr>
            <w:r w:rsidRPr="006D4A47">
              <w:rPr>
                <w:szCs w:val="19"/>
              </w:rPr>
              <w:t>Słowacją</w:t>
            </w:r>
          </w:p>
        </w:tc>
        <w:tc>
          <w:tcPr>
            <w:tcW w:w="1430" w:type="dxa"/>
          </w:tcPr>
          <w:p w14:paraId="292CEFDA" w14:textId="724AB7FB" w:rsidR="0006134D" w:rsidRPr="003F0ADB" w:rsidRDefault="0006134D" w:rsidP="00A0296D">
            <w:pPr>
              <w:spacing w:before="20" w:after="20"/>
              <w:jc w:val="right"/>
              <w:rPr>
                <w:szCs w:val="19"/>
              </w:rPr>
            </w:pPr>
            <w:r w:rsidRPr="003F0ADB">
              <w:rPr>
                <w:rFonts w:eastAsia="Times New Roman" w:cs="Calibri"/>
                <w:szCs w:val="19"/>
                <w:lang w:eastAsia="pl-PL"/>
              </w:rPr>
              <w:t>1</w:t>
            </w:r>
            <w:r w:rsidR="006576B2" w:rsidRPr="003F0ADB">
              <w:rPr>
                <w:rFonts w:eastAsia="Times New Roman" w:cs="Calibri"/>
                <w:szCs w:val="19"/>
                <w:lang w:eastAsia="pl-PL"/>
              </w:rPr>
              <w:t>24</w:t>
            </w:r>
            <w:r w:rsidRPr="003F0ADB">
              <w:rPr>
                <w:rFonts w:eastAsia="Times New Roman" w:cs="Calibri"/>
                <w:szCs w:val="19"/>
                <w:lang w:eastAsia="pl-PL"/>
              </w:rPr>
              <w:t>,</w:t>
            </w:r>
            <w:r w:rsidR="006576B2" w:rsidRPr="003F0ADB">
              <w:rPr>
                <w:rFonts w:eastAsia="Times New Roman" w:cs="Calibri"/>
                <w:szCs w:val="19"/>
                <w:lang w:eastAsia="pl-PL"/>
              </w:rPr>
              <w:t>3</w:t>
            </w:r>
          </w:p>
        </w:tc>
        <w:tc>
          <w:tcPr>
            <w:tcW w:w="1430" w:type="dxa"/>
          </w:tcPr>
          <w:p w14:paraId="3BFA4B5F" w14:textId="795EE5EB" w:rsidR="0006134D" w:rsidRPr="003F0ADB" w:rsidRDefault="005F242D" w:rsidP="00A0296D">
            <w:pPr>
              <w:spacing w:before="20" w:after="20"/>
              <w:jc w:val="right"/>
              <w:rPr>
                <w:szCs w:val="19"/>
              </w:rPr>
            </w:pPr>
            <w:r w:rsidRPr="003F0ADB">
              <w:rPr>
                <w:rFonts w:eastAsia="Times New Roman" w:cs="Calibri"/>
                <w:szCs w:val="19"/>
                <w:lang w:eastAsia="pl-PL"/>
              </w:rPr>
              <w:t>9</w:t>
            </w:r>
            <w:r w:rsidR="006576B2" w:rsidRPr="003F0ADB">
              <w:rPr>
                <w:rFonts w:eastAsia="Times New Roman" w:cs="Calibri"/>
                <w:szCs w:val="19"/>
                <w:lang w:eastAsia="pl-PL"/>
              </w:rPr>
              <w:t>6</w:t>
            </w:r>
            <w:r w:rsidR="0006134D" w:rsidRPr="003F0ADB">
              <w:rPr>
                <w:rFonts w:eastAsia="Times New Roman" w:cs="Calibri"/>
                <w:szCs w:val="19"/>
                <w:lang w:eastAsia="pl-PL"/>
              </w:rPr>
              <w:t>,</w:t>
            </w:r>
            <w:r w:rsidR="006576B2" w:rsidRPr="003F0ADB">
              <w:rPr>
                <w:rFonts w:eastAsia="Times New Roman" w:cs="Calibri"/>
                <w:szCs w:val="19"/>
                <w:lang w:eastAsia="pl-PL"/>
              </w:rPr>
              <w:t>5</w:t>
            </w:r>
          </w:p>
        </w:tc>
        <w:tc>
          <w:tcPr>
            <w:tcW w:w="1441" w:type="dxa"/>
          </w:tcPr>
          <w:p w14:paraId="0C2A58CD" w14:textId="5AC53151" w:rsidR="0006134D" w:rsidRPr="003F0ADB" w:rsidRDefault="0006134D" w:rsidP="00A0296D">
            <w:pPr>
              <w:spacing w:before="20" w:after="20"/>
              <w:jc w:val="right"/>
              <w:rPr>
                <w:szCs w:val="19"/>
              </w:rPr>
            </w:pPr>
            <w:r w:rsidRPr="003F0ADB">
              <w:rPr>
                <w:rFonts w:eastAsia="Times New Roman" w:cs="Calibri"/>
                <w:szCs w:val="19"/>
                <w:lang w:eastAsia="pl-PL"/>
              </w:rPr>
              <w:t>7,</w:t>
            </w:r>
            <w:r w:rsidR="006576B2" w:rsidRPr="003F0ADB">
              <w:rPr>
                <w:rFonts w:eastAsia="Times New Roman" w:cs="Calibri"/>
                <w:szCs w:val="19"/>
                <w:lang w:eastAsia="pl-PL"/>
              </w:rPr>
              <w:t>9</w:t>
            </w:r>
          </w:p>
        </w:tc>
        <w:tc>
          <w:tcPr>
            <w:tcW w:w="1427" w:type="dxa"/>
          </w:tcPr>
          <w:p w14:paraId="4F9D696B" w14:textId="479343F5" w:rsidR="0006134D" w:rsidRPr="003F0ADB" w:rsidRDefault="00F208F5" w:rsidP="00A0296D">
            <w:pPr>
              <w:spacing w:before="20" w:after="20"/>
              <w:jc w:val="right"/>
              <w:rPr>
                <w:szCs w:val="19"/>
              </w:rPr>
            </w:pPr>
            <w:r w:rsidRPr="00F208F5">
              <w:rPr>
                <w:rFonts w:eastAsia="Times New Roman" w:cs="Calibri"/>
                <w:szCs w:val="19"/>
                <w:lang w:eastAsia="pl-PL"/>
              </w:rPr>
              <w:t>98,8</w:t>
            </w:r>
          </w:p>
        </w:tc>
      </w:tr>
      <w:tr w:rsidR="0006134D" w:rsidRPr="005E31C0" w14:paraId="096AB619" w14:textId="77777777" w:rsidTr="00D565E6">
        <w:trPr>
          <w:trHeight w:hRule="exact" w:val="340"/>
        </w:trPr>
        <w:tc>
          <w:tcPr>
            <w:tcW w:w="2195" w:type="dxa"/>
          </w:tcPr>
          <w:p w14:paraId="3AC38CD1" w14:textId="7FFEE5CD" w:rsidR="0006134D" w:rsidRPr="006D4A47" w:rsidRDefault="0006134D" w:rsidP="00A0296D">
            <w:pPr>
              <w:spacing w:before="20" w:after="20"/>
              <w:rPr>
                <w:szCs w:val="19"/>
              </w:rPr>
            </w:pPr>
            <w:r w:rsidRPr="006D4A47">
              <w:rPr>
                <w:szCs w:val="19"/>
              </w:rPr>
              <w:t>Czechami</w:t>
            </w:r>
          </w:p>
        </w:tc>
        <w:tc>
          <w:tcPr>
            <w:tcW w:w="1430" w:type="dxa"/>
          </w:tcPr>
          <w:p w14:paraId="7AFDF807" w14:textId="0CA8F387" w:rsidR="0006134D" w:rsidRPr="003F0ADB" w:rsidRDefault="0006134D" w:rsidP="00A0296D">
            <w:pPr>
              <w:spacing w:before="20" w:after="20"/>
              <w:jc w:val="right"/>
              <w:rPr>
                <w:szCs w:val="19"/>
              </w:rPr>
            </w:pPr>
            <w:r w:rsidRPr="003F0ADB">
              <w:rPr>
                <w:rFonts w:eastAsia="Times New Roman" w:cs="Calibri"/>
                <w:szCs w:val="19"/>
                <w:lang w:eastAsia="pl-PL"/>
              </w:rPr>
              <w:t>1</w:t>
            </w:r>
            <w:r w:rsidR="003F0ADB" w:rsidRPr="003F0ADB">
              <w:rPr>
                <w:rFonts w:eastAsia="Times New Roman" w:cs="Calibri"/>
                <w:szCs w:val="19"/>
                <w:lang w:eastAsia="pl-PL"/>
              </w:rPr>
              <w:t>30</w:t>
            </w:r>
            <w:r w:rsidRPr="003F0ADB">
              <w:rPr>
                <w:rFonts w:eastAsia="Times New Roman" w:cs="Calibri"/>
                <w:szCs w:val="19"/>
                <w:lang w:eastAsia="pl-PL"/>
              </w:rPr>
              <w:t>,</w:t>
            </w:r>
            <w:r w:rsidR="003F0ADB" w:rsidRPr="003F0ADB">
              <w:rPr>
                <w:rFonts w:eastAsia="Times New Roman" w:cs="Calibri"/>
                <w:szCs w:val="19"/>
                <w:lang w:eastAsia="pl-PL"/>
              </w:rPr>
              <w:t>5</w:t>
            </w:r>
          </w:p>
        </w:tc>
        <w:tc>
          <w:tcPr>
            <w:tcW w:w="1430" w:type="dxa"/>
          </w:tcPr>
          <w:p w14:paraId="7C211708" w14:textId="62F74A72" w:rsidR="0006134D" w:rsidRPr="003F0ADB" w:rsidRDefault="003F0ADB" w:rsidP="00A0296D">
            <w:pPr>
              <w:spacing w:before="20" w:after="20"/>
              <w:jc w:val="right"/>
              <w:rPr>
                <w:szCs w:val="19"/>
              </w:rPr>
            </w:pPr>
            <w:r w:rsidRPr="003F0ADB">
              <w:rPr>
                <w:rFonts w:eastAsia="Times New Roman" w:cs="Calibri"/>
                <w:szCs w:val="19"/>
                <w:lang w:eastAsia="pl-PL"/>
              </w:rPr>
              <w:t>91</w:t>
            </w:r>
            <w:r w:rsidR="0006134D" w:rsidRPr="003F0ADB">
              <w:rPr>
                <w:rFonts w:eastAsia="Times New Roman" w:cs="Calibri"/>
                <w:szCs w:val="19"/>
                <w:lang w:eastAsia="pl-PL"/>
              </w:rPr>
              <w:t>,</w:t>
            </w:r>
            <w:r w:rsidRPr="003F0ADB">
              <w:rPr>
                <w:rFonts w:eastAsia="Times New Roman" w:cs="Calibri"/>
                <w:szCs w:val="19"/>
                <w:lang w:eastAsia="pl-PL"/>
              </w:rPr>
              <w:t>7</w:t>
            </w:r>
          </w:p>
        </w:tc>
        <w:tc>
          <w:tcPr>
            <w:tcW w:w="1441" w:type="dxa"/>
          </w:tcPr>
          <w:p w14:paraId="1C7D7CBA" w14:textId="5319363D" w:rsidR="0006134D" w:rsidRPr="003F0ADB" w:rsidRDefault="003F0ADB" w:rsidP="00A0296D">
            <w:pPr>
              <w:spacing w:before="20" w:after="20"/>
              <w:jc w:val="right"/>
              <w:rPr>
                <w:szCs w:val="19"/>
              </w:rPr>
            </w:pPr>
            <w:r w:rsidRPr="003F0ADB">
              <w:rPr>
                <w:rFonts w:eastAsia="Times New Roman" w:cs="Calibri"/>
                <w:szCs w:val="19"/>
                <w:lang w:eastAsia="pl-PL"/>
              </w:rPr>
              <w:t>8</w:t>
            </w:r>
            <w:r w:rsidR="0006134D" w:rsidRPr="003F0ADB">
              <w:rPr>
                <w:rFonts w:eastAsia="Times New Roman" w:cs="Calibri"/>
                <w:szCs w:val="19"/>
                <w:lang w:eastAsia="pl-PL"/>
              </w:rPr>
              <w:t>,</w:t>
            </w:r>
            <w:r w:rsidRPr="003F0ADB">
              <w:rPr>
                <w:rFonts w:eastAsia="Times New Roman" w:cs="Calibri"/>
                <w:szCs w:val="19"/>
                <w:lang w:eastAsia="pl-PL"/>
              </w:rPr>
              <w:t>1</w:t>
            </w:r>
          </w:p>
        </w:tc>
        <w:tc>
          <w:tcPr>
            <w:tcW w:w="1427" w:type="dxa"/>
          </w:tcPr>
          <w:p w14:paraId="1526B7ED" w14:textId="20A3D119" w:rsidR="0006134D" w:rsidRPr="003F0ADB" w:rsidRDefault="00F208F5" w:rsidP="00A0296D">
            <w:pPr>
              <w:spacing w:before="20" w:after="20"/>
              <w:jc w:val="right"/>
              <w:rPr>
                <w:szCs w:val="19"/>
              </w:rPr>
            </w:pPr>
            <w:r w:rsidRPr="00F208F5">
              <w:rPr>
                <w:rFonts w:eastAsia="Times New Roman" w:cs="Calibri"/>
                <w:szCs w:val="19"/>
                <w:lang w:eastAsia="pl-PL"/>
              </w:rPr>
              <w:t>98,7</w:t>
            </w:r>
          </w:p>
        </w:tc>
      </w:tr>
      <w:tr w:rsidR="0006134D" w:rsidRPr="005E31C0" w14:paraId="3582B68D" w14:textId="77777777" w:rsidTr="00D565E6">
        <w:trPr>
          <w:trHeight w:hRule="exact" w:val="340"/>
        </w:trPr>
        <w:tc>
          <w:tcPr>
            <w:tcW w:w="2195" w:type="dxa"/>
          </w:tcPr>
          <w:p w14:paraId="4290F3C6" w14:textId="7AAAD685" w:rsidR="0006134D" w:rsidRPr="006D4A47" w:rsidRDefault="0006134D" w:rsidP="00A0296D">
            <w:pPr>
              <w:spacing w:before="20" w:after="20"/>
              <w:rPr>
                <w:szCs w:val="19"/>
              </w:rPr>
            </w:pPr>
            <w:r w:rsidRPr="006D4A47">
              <w:rPr>
                <w:szCs w:val="19"/>
              </w:rPr>
              <w:t>Niemcami</w:t>
            </w:r>
          </w:p>
        </w:tc>
        <w:tc>
          <w:tcPr>
            <w:tcW w:w="1430" w:type="dxa"/>
          </w:tcPr>
          <w:p w14:paraId="4DE4CF9E" w14:textId="1E4357AB" w:rsidR="0006134D" w:rsidRPr="003F0ADB" w:rsidRDefault="0006134D" w:rsidP="00A0296D">
            <w:pPr>
              <w:spacing w:before="20" w:after="20"/>
              <w:jc w:val="right"/>
              <w:rPr>
                <w:szCs w:val="19"/>
              </w:rPr>
            </w:pPr>
            <w:r w:rsidRPr="003F0ADB">
              <w:rPr>
                <w:rFonts w:eastAsia="Times New Roman" w:cs="Calibri"/>
                <w:szCs w:val="19"/>
                <w:lang w:eastAsia="pl-PL"/>
              </w:rPr>
              <w:t>1</w:t>
            </w:r>
            <w:r w:rsidR="0046643B" w:rsidRPr="003F0ADB">
              <w:rPr>
                <w:rFonts w:eastAsia="Times New Roman" w:cs="Calibri"/>
                <w:szCs w:val="19"/>
                <w:lang w:eastAsia="pl-PL"/>
              </w:rPr>
              <w:t>5</w:t>
            </w:r>
            <w:r w:rsidR="003F0ADB" w:rsidRPr="003F0ADB">
              <w:rPr>
                <w:rFonts w:eastAsia="Times New Roman" w:cs="Calibri"/>
                <w:szCs w:val="19"/>
                <w:lang w:eastAsia="pl-PL"/>
              </w:rPr>
              <w:t>8</w:t>
            </w:r>
            <w:r w:rsidRPr="003F0ADB">
              <w:rPr>
                <w:rFonts w:eastAsia="Times New Roman" w:cs="Calibri"/>
                <w:szCs w:val="19"/>
                <w:lang w:eastAsia="pl-PL"/>
              </w:rPr>
              <w:t>,</w:t>
            </w:r>
            <w:r w:rsidR="003F0ADB" w:rsidRPr="003F0ADB">
              <w:rPr>
                <w:rFonts w:eastAsia="Times New Roman" w:cs="Calibri"/>
                <w:szCs w:val="19"/>
                <w:lang w:eastAsia="pl-PL"/>
              </w:rPr>
              <w:t>6</w:t>
            </w:r>
          </w:p>
        </w:tc>
        <w:tc>
          <w:tcPr>
            <w:tcW w:w="1430" w:type="dxa"/>
          </w:tcPr>
          <w:p w14:paraId="5DFDAE53" w14:textId="6CAD7BFC" w:rsidR="0006134D" w:rsidRPr="003F0ADB" w:rsidRDefault="0006134D" w:rsidP="00A0296D">
            <w:pPr>
              <w:spacing w:before="20" w:after="20"/>
              <w:jc w:val="right"/>
              <w:rPr>
                <w:szCs w:val="19"/>
              </w:rPr>
            </w:pPr>
            <w:r w:rsidRPr="003F0ADB">
              <w:rPr>
                <w:rFonts w:eastAsia="Times New Roman" w:cs="Calibri"/>
                <w:szCs w:val="19"/>
                <w:lang w:eastAsia="pl-PL"/>
              </w:rPr>
              <w:t>1</w:t>
            </w:r>
            <w:r w:rsidR="003F0ADB" w:rsidRPr="003F0ADB">
              <w:rPr>
                <w:rFonts w:eastAsia="Times New Roman" w:cs="Calibri"/>
                <w:szCs w:val="19"/>
                <w:lang w:eastAsia="pl-PL"/>
              </w:rPr>
              <w:t>13</w:t>
            </w:r>
            <w:r w:rsidRPr="003F0ADB">
              <w:rPr>
                <w:rFonts w:eastAsia="Times New Roman" w:cs="Calibri"/>
                <w:szCs w:val="19"/>
                <w:lang w:eastAsia="pl-PL"/>
              </w:rPr>
              <w:t>,</w:t>
            </w:r>
            <w:r w:rsidR="003F0ADB" w:rsidRPr="003F0ADB">
              <w:rPr>
                <w:rFonts w:eastAsia="Times New Roman" w:cs="Calibri"/>
                <w:szCs w:val="19"/>
                <w:lang w:eastAsia="pl-PL"/>
              </w:rPr>
              <w:t>7</w:t>
            </w:r>
          </w:p>
        </w:tc>
        <w:tc>
          <w:tcPr>
            <w:tcW w:w="1441" w:type="dxa"/>
          </w:tcPr>
          <w:p w14:paraId="68157C65" w14:textId="5DC3474C" w:rsidR="0006134D" w:rsidRPr="003F0ADB" w:rsidRDefault="003F0ADB" w:rsidP="00A0296D">
            <w:pPr>
              <w:spacing w:before="20" w:after="20"/>
              <w:jc w:val="right"/>
              <w:rPr>
                <w:szCs w:val="19"/>
              </w:rPr>
            </w:pPr>
            <w:r w:rsidRPr="003F0ADB">
              <w:rPr>
                <w:rFonts w:eastAsia="Times New Roman" w:cs="Calibri"/>
                <w:szCs w:val="19"/>
                <w:lang w:eastAsia="pl-PL"/>
              </w:rPr>
              <w:t>10</w:t>
            </w:r>
            <w:r w:rsidR="0006134D" w:rsidRPr="003F0ADB">
              <w:rPr>
                <w:rFonts w:eastAsia="Times New Roman" w:cs="Calibri"/>
                <w:szCs w:val="19"/>
                <w:lang w:eastAsia="pl-PL"/>
              </w:rPr>
              <w:t>,</w:t>
            </w:r>
            <w:r w:rsidRPr="003F0ADB">
              <w:rPr>
                <w:rFonts w:eastAsia="Times New Roman" w:cs="Calibri"/>
                <w:szCs w:val="19"/>
                <w:lang w:eastAsia="pl-PL"/>
              </w:rPr>
              <w:t>2</w:t>
            </w:r>
          </w:p>
        </w:tc>
        <w:tc>
          <w:tcPr>
            <w:tcW w:w="1427" w:type="dxa"/>
          </w:tcPr>
          <w:p w14:paraId="1B520B28" w14:textId="0158A1F8" w:rsidR="0006134D" w:rsidRPr="003F0ADB" w:rsidRDefault="00F208F5" w:rsidP="00A0296D">
            <w:pPr>
              <w:spacing w:before="20" w:after="20"/>
              <w:jc w:val="right"/>
              <w:rPr>
                <w:szCs w:val="19"/>
              </w:rPr>
            </w:pPr>
            <w:r w:rsidRPr="00F208F5">
              <w:rPr>
                <w:rFonts w:eastAsia="Times New Roman" w:cs="Calibri"/>
                <w:szCs w:val="19"/>
                <w:lang w:eastAsia="pl-PL"/>
              </w:rPr>
              <w:t>99,6</w:t>
            </w:r>
          </w:p>
        </w:tc>
      </w:tr>
    </w:tbl>
    <w:p w14:paraId="053AFCE2" w14:textId="0D8A811B" w:rsidR="00A25F0B" w:rsidRPr="007409D7" w:rsidRDefault="00A25F0B" w:rsidP="00A7731D">
      <w:pPr>
        <w:pStyle w:val="LID"/>
        <w:rPr>
          <w:shd w:val="clear" w:color="auto" w:fill="FFFFFF"/>
        </w:rPr>
      </w:pPr>
      <w:r w:rsidRPr="007409D7">
        <w:lastRenderedPageBreak/>
        <w:t>Mapa 1.</w:t>
      </w:r>
      <w:r w:rsidRPr="007409D7">
        <w:rPr>
          <w:shd w:val="clear" w:color="auto" w:fill="FFFFFF"/>
        </w:rPr>
        <w:t xml:space="preserve"> Podmioty gospodarki narodowej w 20</w:t>
      </w:r>
      <w:r w:rsidR="00392A0B" w:rsidRPr="007409D7">
        <w:rPr>
          <w:shd w:val="clear" w:color="auto" w:fill="FFFFFF"/>
        </w:rPr>
        <w:t>2</w:t>
      </w:r>
      <w:r w:rsidR="00417A8A">
        <w:rPr>
          <w:shd w:val="clear" w:color="auto" w:fill="FFFFFF"/>
        </w:rPr>
        <w:t>5</w:t>
      </w:r>
      <w:r w:rsidRPr="007409D7">
        <w:rPr>
          <w:shd w:val="clear" w:color="auto" w:fill="FFFFFF"/>
        </w:rPr>
        <w:t xml:space="preserve"> r</w:t>
      </w:r>
      <w:r w:rsidR="002F45F6">
        <w:rPr>
          <w:shd w:val="clear" w:color="auto" w:fill="FFFFFF"/>
        </w:rPr>
        <w:t>.</w:t>
      </w:r>
    </w:p>
    <w:p w14:paraId="43042C1D" w14:textId="0332279D" w:rsidR="00A25F0B" w:rsidRDefault="00A85CA6" w:rsidP="00A25F0B">
      <w:pPr>
        <w:spacing w:line="240" w:lineRule="auto"/>
        <w:jc w:val="center"/>
        <w:rPr>
          <w:lang w:eastAsia="pl-PL"/>
        </w:rPr>
      </w:pPr>
      <w:r>
        <w:rPr>
          <w:noProof/>
          <w:lang w:eastAsia="pl-PL"/>
        </w:rPr>
        <w:drawing>
          <wp:inline distT="0" distB="0" distL="0" distR="0" wp14:anchorId="36266330" wp14:editId="5E9A0A77">
            <wp:extent cx="5165635" cy="3600000"/>
            <wp:effectExtent l="0" t="0" r="0" b="635"/>
            <wp:docPr id="20" name="Obraz 20" descr="Mapa 1. Podmioty gospodarki narodowej na 1 tysiąc ludności w 2025 roku dla województw przy granicy Polski ogółem, dla strefy przygranicznej w tych województwach oraz dla powiatów w strefie przygranicznej.&#10;Dane do mapy dostępne są w załączonym pliku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Mapa 1. Podmioty gospodarki narodowej na 1 tysiąc ludności w 2025 roku dla województw przy granicy Polski ogółem, dla strefy przygranicznej w tych województwach oraz dla powiatów w strefie przygranicznej.&#10;Dane do mapy dostępne są w załączonym pliku Exc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5635" cy="3600000"/>
                    </a:xfrm>
                    <a:prstGeom prst="rect">
                      <a:avLst/>
                    </a:prstGeom>
                  </pic:spPr>
                </pic:pic>
              </a:graphicData>
            </a:graphic>
          </wp:inline>
        </w:drawing>
      </w:r>
    </w:p>
    <w:p w14:paraId="325D5D67" w14:textId="1B360193" w:rsidR="00CA10E6" w:rsidRPr="00AA1552" w:rsidRDefault="00A634DA" w:rsidP="007409D7">
      <w:pPr>
        <w:pStyle w:val="Nagwek1"/>
        <w:rPr>
          <w:rFonts w:ascii="Fira Sans" w:hAnsi="Fira Sans"/>
          <w:color w:val="auto"/>
          <w:u w:val="single"/>
        </w:rPr>
      </w:pPr>
      <w:r w:rsidRPr="009324CB">
        <w:rPr>
          <w:noProof/>
          <w:spacing w:val="-2"/>
          <w:szCs w:val="19"/>
        </w:rPr>
        <mc:AlternateContent>
          <mc:Choice Requires="wps">
            <w:drawing>
              <wp:anchor distT="45720" distB="45720" distL="114300" distR="114300" simplePos="0" relativeHeight="251742208" behindDoc="1" locked="0" layoutInCell="1" allowOverlap="1" wp14:anchorId="5D642083" wp14:editId="5C4F472C">
                <wp:simplePos x="0" y="0"/>
                <wp:positionH relativeFrom="page">
                  <wp:posOffset>5669915</wp:posOffset>
                </wp:positionH>
                <wp:positionV relativeFrom="paragraph">
                  <wp:posOffset>334340</wp:posOffset>
                </wp:positionV>
                <wp:extent cx="1802765" cy="995680"/>
                <wp:effectExtent l="0" t="0" r="0" b="0"/>
                <wp:wrapTight wrapText="bothSides">
                  <wp:wrapPolygon edited="0">
                    <wp:start x="685" y="0"/>
                    <wp:lineTo x="685" y="21077"/>
                    <wp:lineTo x="20771" y="21077"/>
                    <wp:lineTo x="20771" y="0"/>
                    <wp:lineTo x="685" y="0"/>
                  </wp:wrapPolygon>
                </wp:wrapTight>
                <wp:docPr id="12" name="Pole tekstowe 12" descr="W porównaniu z 2024 r. liczba spółek handlowych działających w 2025 r. w strefie przygranicznej jak i w kraju wzrosła 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995680"/>
                        </a:xfrm>
                        <a:prstGeom prst="rect">
                          <a:avLst/>
                        </a:prstGeom>
                        <a:noFill/>
                        <a:ln w="9525">
                          <a:noFill/>
                          <a:miter lim="800000"/>
                          <a:headEnd/>
                          <a:tailEnd/>
                        </a:ln>
                      </wps:spPr>
                      <wps:txbx>
                        <w:txbxContent>
                          <w:p w14:paraId="029A221E" w14:textId="5A49A04D" w:rsidR="000D17BB" w:rsidRPr="00C66DB4" w:rsidRDefault="00C66DB4" w:rsidP="00C66DB4">
                            <w:pPr>
                              <w:pStyle w:val="tekstzboku"/>
                              <w:spacing w:before="0"/>
                              <w:rPr>
                                <w:u w:val="single"/>
                                <w:shd w:val="clear" w:color="auto" w:fill="FFFFFF"/>
                              </w:rPr>
                            </w:pPr>
                            <w:r w:rsidRPr="00C66DB4">
                              <w:rPr>
                                <w:rFonts w:eastAsia="Calibri"/>
                                <w:szCs w:val="19"/>
                              </w:rPr>
                              <w:t>W porównaniu z 202</w:t>
                            </w:r>
                            <w:r w:rsidR="003D56CA">
                              <w:rPr>
                                <w:rFonts w:eastAsia="Calibri"/>
                                <w:szCs w:val="19"/>
                              </w:rPr>
                              <w:t>4</w:t>
                            </w:r>
                            <w:r w:rsidRPr="00C66DB4">
                              <w:rPr>
                                <w:rFonts w:eastAsia="Calibri"/>
                                <w:szCs w:val="19"/>
                              </w:rPr>
                              <w:t xml:space="preserve"> r. liczba spółek handlowych działają-</w:t>
                            </w:r>
                            <w:proofErr w:type="spellStart"/>
                            <w:r w:rsidRPr="00C66DB4">
                              <w:rPr>
                                <w:rFonts w:eastAsia="Calibri"/>
                                <w:szCs w:val="19"/>
                              </w:rPr>
                              <w:t>cych</w:t>
                            </w:r>
                            <w:proofErr w:type="spellEnd"/>
                            <w:r w:rsidRPr="00C66DB4">
                              <w:rPr>
                                <w:rFonts w:eastAsia="Calibri"/>
                                <w:szCs w:val="19"/>
                              </w:rPr>
                              <w:t xml:space="preserve"> w 202</w:t>
                            </w:r>
                            <w:r w:rsidR="003D56CA">
                              <w:rPr>
                                <w:rFonts w:eastAsia="Calibri"/>
                                <w:szCs w:val="19"/>
                              </w:rPr>
                              <w:t>5</w:t>
                            </w:r>
                            <w:r w:rsidRPr="00C66DB4">
                              <w:rPr>
                                <w:rFonts w:eastAsia="Calibri"/>
                                <w:szCs w:val="19"/>
                              </w:rPr>
                              <w:t xml:space="preserve"> r. w strefie przy-granicznej </w:t>
                            </w:r>
                            <w:r w:rsidR="003D56CA">
                              <w:rPr>
                                <w:rFonts w:eastAsia="Calibri"/>
                                <w:szCs w:val="19"/>
                              </w:rPr>
                              <w:t xml:space="preserve">jak i w kraju </w:t>
                            </w:r>
                            <w:r w:rsidRPr="00C66DB4">
                              <w:rPr>
                                <w:rFonts w:eastAsia="Calibri"/>
                                <w:szCs w:val="19"/>
                              </w:rPr>
                              <w:t xml:space="preserve">wzrosła o </w:t>
                            </w:r>
                            <w:r w:rsidR="000D11BF">
                              <w:rPr>
                                <w:rFonts w:eastAsia="Calibri"/>
                                <w:szCs w:val="19"/>
                              </w:rPr>
                              <w:t>4</w:t>
                            </w:r>
                            <w:r w:rsidRPr="00C66DB4">
                              <w:rPr>
                                <w:rFonts w:eastAsia="Calibri"/>
                                <w:szCs w:val="19"/>
                              </w:rPr>
                              <w:t>,</w:t>
                            </w:r>
                            <w:r w:rsidR="003D56CA">
                              <w:rPr>
                                <w:rFonts w:eastAsia="Calibri"/>
                                <w:szCs w:val="19"/>
                              </w:rPr>
                              <w:t>6</w:t>
                            </w:r>
                            <w:r w:rsidRPr="00C66DB4">
                              <w:rPr>
                                <w:rFonts w:eastAsia="Calibri"/>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42083" id="Pole tekstowe 12" o:spid="_x0000_s1029" type="#_x0000_t202" alt="W porównaniu z 2024 r. liczba spółek handlowych działających w 2025 r. w strefie przygranicznej jak i w kraju wzrosła o 4,6%" style="position:absolute;margin-left:446.45pt;margin-top:26.35pt;width:141.95pt;height:78.4pt;z-index:-251574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oD/AEAANQDAAAOAAAAZHJzL2Uyb0RvYy54bWysU8tu2zAQvBfoPxC815Jd27E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Vfl7Gq54ExSbL1eLFd5KoWonrM9hvhBgWVpU3OkoWZ0cXwIMXUjqucrqZiDe21MHqxxrCfQ&#10;xWyREy4iVkfyndG25qsyfaMTEsn3rsnJUWgz7qmAcSfWiehIOQ67gemm5m9TbhJhB80TyYAw2oye&#10;BW06wF+c9WSxmoefB4GKM/PRkZTr6XyePJkP88XVjA54GdldRoSTBFXzyNm4vY3ZxyPlG5K81VmN&#10;l05OLZN1skgnmydvXp7zrZfHuP0NAAD//wMAUEsDBBQABgAIAAAAIQCXoR1Y3wAAAAsBAAAPAAAA&#10;ZHJzL2Rvd25yZXYueG1sTI/BTsMwEETvSPyDtUjcqN2ItE3IpqqKuIIoLRI3N94mEfE6it0m/D3u&#10;CY6rfZp5U6wn24kLDb51jDCfKRDElTMt1wj7j5eHFQgfNBvdOSaEH/KwLm9vCp0bN/I7XXahFjGE&#10;fa4RmhD6XEpfNWS1n7meOP5ObrA6xHOopRn0GMNtJxOlFtLqlmNDo3vaNlR9784W4fB6+vp8VG/1&#10;s0370U1Kss0k4v3dtHkCEWgKfzBc9aM6lNHp6M5svOgQVlmSRRQhTZYgrsB8uYhjjgiJylKQZSH/&#10;byh/AQAA//8DAFBLAQItABQABgAIAAAAIQC2gziS/gAAAOEBAAATAAAAAAAAAAAAAAAAAAAAAABb&#10;Q29udGVudF9UeXBlc10ueG1sUEsBAi0AFAAGAAgAAAAhADj9If/WAAAAlAEAAAsAAAAAAAAAAAAA&#10;AAAALwEAAF9yZWxzLy5yZWxzUEsBAi0AFAAGAAgAAAAhABwvigP8AQAA1AMAAA4AAAAAAAAAAAAA&#10;AAAALgIAAGRycy9lMm9Eb2MueG1sUEsBAi0AFAAGAAgAAAAhAJehHVjfAAAACwEAAA8AAAAAAAAA&#10;AAAAAAAAVgQAAGRycy9kb3ducmV2LnhtbFBLBQYAAAAABAAEAPMAAABiBQAAAAA=&#10;" filled="f" stroked="f">
                <v:textbox>
                  <w:txbxContent>
                    <w:p w14:paraId="029A221E" w14:textId="5A49A04D" w:rsidR="000D17BB" w:rsidRPr="00C66DB4" w:rsidRDefault="00C66DB4" w:rsidP="00C66DB4">
                      <w:pPr>
                        <w:pStyle w:val="tekstzboku"/>
                        <w:spacing w:before="0"/>
                        <w:rPr>
                          <w:u w:val="single"/>
                          <w:shd w:val="clear" w:color="auto" w:fill="FFFFFF"/>
                        </w:rPr>
                      </w:pPr>
                      <w:r w:rsidRPr="00C66DB4">
                        <w:rPr>
                          <w:rFonts w:eastAsia="Calibri"/>
                          <w:szCs w:val="19"/>
                        </w:rPr>
                        <w:t>W porównaniu z 202</w:t>
                      </w:r>
                      <w:r w:rsidR="003D56CA">
                        <w:rPr>
                          <w:rFonts w:eastAsia="Calibri"/>
                          <w:szCs w:val="19"/>
                        </w:rPr>
                        <w:t>4</w:t>
                      </w:r>
                      <w:r w:rsidRPr="00C66DB4">
                        <w:rPr>
                          <w:rFonts w:eastAsia="Calibri"/>
                          <w:szCs w:val="19"/>
                        </w:rPr>
                        <w:t xml:space="preserve"> r. liczba spółek handlowych działają-</w:t>
                      </w:r>
                      <w:proofErr w:type="spellStart"/>
                      <w:r w:rsidRPr="00C66DB4">
                        <w:rPr>
                          <w:rFonts w:eastAsia="Calibri"/>
                          <w:szCs w:val="19"/>
                        </w:rPr>
                        <w:t>cych</w:t>
                      </w:r>
                      <w:proofErr w:type="spellEnd"/>
                      <w:r w:rsidRPr="00C66DB4">
                        <w:rPr>
                          <w:rFonts w:eastAsia="Calibri"/>
                          <w:szCs w:val="19"/>
                        </w:rPr>
                        <w:t xml:space="preserve"> w 202</w:t>
                      </w:r>
                      <w:r w:rsidR="003D56CA">
                        <w:rPr>
                          <w:rFonts w:eastAsia="Calibri"/>
                          <w:szCs w:val="19"/>
                        </w:rPr>
                        <w:t>5</w:t>
                      </w:r>
                      <w:r w:rsidRPr="00C66DB4">
                        <w:rPr>
                          <w:rFonts w:eastAsia="Calibri"/>
                          <w:szCs w:val="19"/>
                        </w:rPr>
                        <w:t xml:space="preserve"> r. w strefie przy-granicznej </w:t>
                      </w:r>
                      <w:r w:rsidR="003D56CA">
                        <w:rPr>
                          <w:rFonts w:eastAsia="Calibri"/>
                          <w:szCs w:val="19"/>
                        </w:rPr>
                        <w:t xml:space="preserve">jak i w kraju </w:t>
                      </w:r>
                      <w:r w:rsidRPr="00C66DB4">
                        <w:rPr>
                          <w:rFonts w:eastAsia="Calibri"/>
                          <w:szCs w:val="19"/>
                        </w:rPr>
                        <w:t xml:space="preserve">wzrosła o </w:t>
                      </w:r>
                      <w:r w:rsidR="000D11BF">
                        <w:rPr>
                          <w:rFonts w:eastAsia="Calibri"/>
                          <w:szCs w:val="19"/>
                        </w:rPr>
                        <w:t>4</w:t>
                      </w:r>
                      <w:r w:rsidRPr="00C66DB4">
                        <w:rPr>
                          <w:rFonts w:eastAsia="Calibri"/>
                          <w:szCs w:val="19"/>
                        </w:rPr>
                        <w:t>,</w:t>
                      </w:r>
                      <w:r w:rsidR="003D56CA">
                        <w:rPr>
                          <w:rFonts w:eastAsia="Calibri"/>
                          <w:szCs w:val="19"/>
                        </w:rPr>
                        <w:t>6</w:t>
                      </w:r>
                      <w:r w:rsidRPr="00C66DB4">
                        <w:rPr>
                          <w:rFonts w:eastAsia="Calibri"/>
                          <w:szCs w:val="19"/>
                        </w:rPr>
                        <w:t>%</w:t>
                      </w:r>
                    </w:p>
                  </w:txbxContent>
                </v:textbox>
                <w10:wrap type="tight" anchorx="page"/>
              </v:shape>
            </w:pict>
          </mc:Fallback>
        </mc:AlternateContent>
      </w:r>
      <w:r w:rsidR="00CA10E6" w:rsidRPr="009324CB">
        <w:t>Spółki handlowe</w:t>
      </w:r>
      <w:r w:rsidR="00006CFB" w:rsidRPr="00AA1552">
        <w:t xml:space="preserve"> </w:t>
      </w:r>
    </w:p>
    <w:p w14:paraId="347750DC" w14:textId="3D570F5B" w:rsidR="00BD7280" w:rsidRPr="00792E64" w:rsidRDefault="00BD7280" w:rsidP="00714F88">
      <w:pPr>
        <w:spacing w:before="0" w:line="288" w:lineRule="auto"/>
        <w:rPr>
          <w:rFonts w:eastAsia="Calibri" w:cs="Times New Roman"/>
          <w:spacing w:val="-2"/>
          <w:szCs w:val="19"/>
        </w:rPr>
      </w:pPr>
      <w:r w:rsidRPr="00EF7117">
        <w:rPr>
          <w:rFonts w:eastAsia="Calibri" w:cs="Times New Roman"/>
          <w:spacing w:val="-2"/>
          <w:szCs w:val="19"/>
        </w:rPr>
        <w:t>W rejestrze REGON w końcu 202</w:t>
      </w:r>
      <w:r w:rsidR="007C242A" w:rsidRPr="00EF7117">
        <w:rPr>
          <w:rFonts w:eastAsia="Calibri" w:cs="Times New Roman"/>
          <w:spacing w:val="-2"/>
          <w:szCs w:val="19"/>
        </w:rPr>
        <w:t>5</w:t>
      </w:r>
      <w:r w:rsidRPr="00EF7117">
        <w:rPr>
          <w:rFonts w:eastAsia="Calibri" w:cs="Times New Roman"/>
          <w:spacing w:val="-2"/>
          <w:szCs w:val="19"/>
        </w:rPr>
        <w:t xml:space="preserve"> r</w:t>
      </w:r>
      <w:r w:rsidR="00EE72D7" w:rsidRPr="00EF7117">
        <w:rPr>
          <w:rFonts w:eastAsia="Calibri" w:cs="Times New Roman"/>
          <w:spacing w:val="-2"/>
          <w:szCs w:val="19"/>
        </w:rPr>
        <w:t>.</w:t>
      </w:r>
      <w:r w:rsidRPr="00EF7117">
        <w:rPr>
          <w:rFonts w:eastAsia="Calibri" w:cs="Times New Roman"/>
          <w:spacing w:val="-2"/>
          <w:szCs w:val="19"/>
        </w:rPr>
        <w:t xml:space="preserve"> wpisanych było </w:t>
      </w:r>
      <w:r w:rsidR="00EF7117" w:rsidRPr="00EF7117">
        <w:rPr>
          <w:rFonts w:eastAsia="Calibri" w:cs="Times New Roman"/>
          <w:spacing w:val="-2"/>
          <w:szCs w:val="19"/>
        </w:rPr>
        <w:t>75</w:t>
      </w:r>
      <w:r w:rsidRPr="00EF7117">
        <w:rPr>
          <w:rFonts w:eastAsia="Calibri" w:cs="Times New Roman"/>
          <w:spacing w:val="-2"/>
          <w:szCs w:val="19"/>
        </w:rPr>
        <w:t>,</w:t>
      </w:r>
      <w:r w:rsidR="00EF7117" w:rsidRPr="00EF7117">
        <w:rPr>
          <w:rFonts w:eastAsia="Calibri" w:cs="Times New Roman"/>
          <w:spacing w:val="-2"/>
          <w:szCs w:val="19"/>
        </w:rPr>
        <w:t>2</w:t>
      </w:r>
      <w:r w:rsidRPr="00EF7117">
        <w:rPr>
          <w:rFonts w:eastAsia="Calibri" w:cs="Times New Roman"/>
          <w:spacing w:val="-2"/>
          <w:szCs w:val="19"/>
        </w:rPr>
        <w:t xml:space="preserve"> tys. spółek handlowych prowadzących działalność gospodarczą na terenie strefy przygranicznej, tj. 1</w:t>
      </w:r>
      <w:r w:rsidR="00517EF7" w:rsidRPr="00EF7117">
        <w:rPr>
          <w:rFonts w:eastAsia="Calibri" w:cs="Times New Roman"/>
          <w:spacing w:val="-2"/>
          <w:szCs w:val="19"/>
        </w:rPr>
        <w:t>0,</w:t>
      </w:r>
      <w:r w:rsidR="00EF7117" w:rsidRPr="00EF7117">
        <w:rPr>
          <w:rFonts w:eastAsia="Calibri" w:cs="Times New Roman"/>
          <w:spacing w:val="-2"/>
          <w:szCs w:val="19"/>
        </w:rPr>
        <w:t>2</w:t>
      </w:r>
      <w:r w:rsidRPr="00EF7117">
        <w:rPr>
          <w:rFonts w:eastAsia="Calibri" w:cs="Times New Roman"/>
          <w:spacing w:val="-2"/>
          <w:szCs w:val="19"/>
        </w:rPr>
        <w:t xml:space="preserve">% ogółu zarejestrowanych </w:t>
      </w:r>
      <w:r w:rsidR="004F3D30" w:rsidRPr="00EF7117">
        <w:rPr>
          <w:rFonts w:eastAsia="Calibri" w:cs="Times New Roman"/>
          <w:spacing w:val="-2"/>
          <w:szCs w:val="19"/>
        </w:rPr>
        <w:t xml:space="preserve">spółek handlowych </w:t>
      </w:r>
      <w:r w:rsidRPr="00EF7117">
        <w:rPr>
          <w:rFonts w:eastAsia="Calibri" w:cs="Times New Roman"/>
          <w:spacing w:val="-2"/>
          <w:szCs w:val="19"/>
        </w:rPr>
        <w:t>w kraju</w:t>
      </w:r>
      <w:r w:rsidRPr="00792E64">
        <w:rPr>
          <w:rFonts w:eastAsia="Calibri" w:cs="Times New Roman"/>
          <w:spacing w:val="-2"/>
          <w:szCs w:val="19"/>
        </w:rPr>
        <w:t>. W tej grupie podmiotów, podobnie jak w kraju, dominowały spółki kapitałowe (8</w:t>
      </w:r>
      <w:r w:rsidR="00792E64" w:rsidRPr="00792E64">
        <w:rPr>
          <w:rFonts w:eastAsia="Calibri" w:cs="Times New Roman"/>
          <w:spacing w:val="-2"/>
          <w:szCs w:val="19"/>
        </w:rPr>
        <w:t>7</w:t>
      </w:r>
      <w:r w:rsidRPr="00792E64">
        <w:rPr>
          <w:rFonts w:eastAsia="Calibri" w:cs="Times New Roman"/>
          <w:spacing w:val="-2"/>
          <w:szCs w:val="19"/>
        </w:rPr>
        <w:t>,</w:t>
      </w:r>
      <w:r w:rsidR="002369FD" w:rsidRPr="00792E64">
        <w:rPr>
          <w:rFonts w:eastAsia="Calibri" w:cs="Times New Roman"/>
          <w:spacing w:val="-2"/>
          <w:szCs w:val="19"/>
        </w:rPr>
        <w:t>5</w:t>
      </w:r>
      <w:r w:rsidRPr="00792E64">
        <w:rPr>
          <w:rFonts w:eastAsia="Calibri" w:cs="Times New Roman"/>
          <w:spacing w:val="-2"/>
          <w:szCs w:val="19"/>
        </w:rPr>
        <w:t>%), przy czym spółki z ograniczoną odpowiedzialnością stanowiły 8</w:t>
      </w:r>
      <w:r w:rsidR="00792E64" w:rsidRPr="00792E64">
        <w:rPr>
          <w:rFonts w:eastAsia="Calibri" w:cs="Times New Roman"/>
          <w:spacing w:val="-2"/>
          <w:szCs w:val="19"/>
        </w:rPr>
        <w:t>6</w:t>
      </w:r>
      <w:r w:rsidRPr="00792E64">
        <w:rPr>
          <w:rFonts w:eastAsia="Calibri" w:cs="Times New Roman"/>
          <w:spacing w:val="-2"/>
          <w:szCs w:val="19"/>
        </w:rPr>
        <w:t>,</w:t>
      </w:r>
      <w:r w:rsidR="002369FD" w:rsidRPr="00792E64">
        <w:rPr>
          <w:rFonts w:eastAsia="Calibri" w:cs="Times New Roman"/>
          <w:spacing w:val="-2"/>
          <w:szCs w:val="19"/>
        </w:rPr>
        <w:t>1</w:t>
      </w:r>
      <w:r w:rsidRPr="00792E64">
        <w:rPr>
          <w:rFonts w:eastAsia="Calibri" w:cs="Times New Roman"/>
          <w:spacing w:val="-2"/>
          <w:szCs w:val="19"/>
        </w:rPr>
        <w:t>%, a</w:t>
      </w:r>
      <w:r w:rsidR="009B4B7D" w:rsidRPr="00792E64">
        <w:rPr>
          <w:rFonts w:eastAsia="Calibri" w:cs="Times New Roman"/>
          <w:spacing w:val="-2"/>
          <w:szCs w:val="19"/>
        </w:rPr>
        <w:t> </w:t>
      </w:r>
      <w:r w:rsidRPr="00792E64">
        <w:rPr>
          <w:rFonts w:eastAsia="Calibri" w:cs="Times New Roman"/>
          <w:spacing w:val="-2"/>
          <w:szCs w:val="19"/>
        </w:rPr>
        <w:t>spółki akcyjne 1,</w:t>
      </w:r>
      <w:r w:rsidR="002369FD" w:rsidRPr="00792E64">
        <w:rPr>
          <w:rFonts w:eastAsia="Calibri" w:cs="Times New Roman"/>
          <w:spacing w:val="-2"/>
          <w:szCs w:val="19"/>
        </w:rPr>
        <w:t>4</w:t>
      </w:r>
      <w:r w:rsidRPr="00792E64">
        <w:rPr>
          <w:rFonts w:eastAsia="Calibri" w:cs="Times New Roman"/>
          <w:spacing w:val="-2"/>
          <w:szCs w:val="19"/>
        </w:rPr>
        <w:t>%. Spółki osobowe posiadały 1</w:t>
      </w:r>
      <w:r w:rsidR="00792E64" w:rsidRPr="00792E64">
        <w:rPr>
          <w:rFonts w:eastAsia="Calibri" w:cs="Times New Roman"/>
          <w:spacing w:val="-2"/>
          <w:szCs w:val="19"/>
        </w:rPr>
        <w:t>2</w:t>
      </w:r>
      <w:r w:rsidRPr="00792E64">
        <w:rPr>
          <w:rFonts w:eastAsia="Calibri" w:cs="Times New Roman"/>
          <w:spacing w:val="-2"/>
          <w:szCs w:val="19"/>
        </w:rPr>
        <w:t>,</w:t>
      </w:r>
      <w:r w:rsidR="002369FD" w:rsidRPr="00792E64">
        <w:rPr>
          <w:rFonts w:eastAsia="Calibri" w:cs="Times New Roman"/>
          <w:spacing w:val="-2"/>
          <w:szCs w:val="19"/>
        </w:rPr>
        <w:t>5</w:t>
      </w:r>
      <w:r w:rsidRPr="00792E64">
        <w:rPr>
          <w:rFonts w:eastAsia="Calibri" w:cs="Times New Roman"/>
          <w:spacing w:val="-2"/>
          <w:szCs w:val="19"/>
        </w:rPr>
        <w:t>% udział</w:t>
      </w:r>
      <w:r w:rsidR="002A35BF" w:rsidRPr="00792E64">
        <w:rPr>
          <w:rFonts w:eastAsia="Calibri" w:cs="Times New Roman"/>
          <w:spacing w:val="-2"/>
          <w:szCs w:val="19"/>
        </w:rPr>
        <w:t>u</w:t>
      </w:r>
      <w:r w:rsidRPr="00792E64">
        <w:rPr>
          <w:rFonts w:eastAsia="Calibri" w:cs="Times New Roman"/>
          <w:spacing w:val="-2"/>
          <w:szCs w:val="19"/>
        </w:rPr>
        <w:t xml:space="preserve"> w ogólnej liczbie spółek handlowych na terenie strefy (spółki jawne – </w:t>
      </w:r>
      <w:r w:rsidR="00792E64" w:rsidRPr="00792E64">
        <w:rPr>
          <w:rFonts w:eastAsia="Calibri" w:cs="Times New Roman"/>
          <w:spacing w:val="-2"/>
          <w:szCs w:val="19"/>
        </w:rPr>
        <w:t>7</w:t>
      </w:r>
      <w:r w:rsidR="002369FD" w:rsidRPr="00792E64">
        <w:rPr>
          <w:rFonts w:eastAsia="Calibri" w:cs="Times New Roman"/>
          <w:spacing w:val="-2"/>
          <w:szCs w:val="19"/>
        </w:rPr>
        <w:t>,</w:t>
      </w:r>
      <w:r w:rsidR="00792E64" w:rsidRPr="00792E64">
        <w:rPr>
          <w:rFonts w:eastAsia="Calibri" w:cs="Times New Roman"/>
          <w:spacing w:val="-2"/>
          <w:szCs w:val="19"/>
        </w:rPr>
        <w:t>0</w:t>
      </w:r>
      <w:r w:rsidRPr="00792E64">
        <w:rPr>
          <w:rFonts w:eastAsia="Calibri" w:cs="Times New Roman"/>
          <w:spacing w:val="-2"/>
          <w:szCs w:val="19"/>
        </w:rPr>
        <w:t xml:space="preserve">%, komandytowe – </w:t>
      </w:r>
      <w:r w:rsidR="00792E64" w:rsidRPr="00792E64">
        <w:rPr>
          <w:rFonts w:eastAsia="Calibri" w:cs="Times New Roman"/>
          <w:spacing w:val="-2"/>
          <w:szCs w:val="19"/>
        </w:rPr>
        <w:t>4</w:t>
      </w:r>
      <w:r w:rsidR="002369FD" w:rsidRPr="00792E64">
        <w:rPr>
          <w:rFonts w:eastAsia="Calibri" w:cs="Times New Roman"/>
          <w:spacing w:val="-2"/>
          <w:szCs w:val="19"/>
        </w:rPr>
        <w:t>,</w:t>
      </w:r>
      <w:r w:rsidR="00792E64" w:rsidRPr="00792E64">
        <w:rPr>
          <w:rFonts w:eastAsia="Calibri" w:cs="Times New Roman"/>
          <w:spacing w:val="-2"/>
          <w:szCs w:val="19"/>
        </w:rPr>
        <w:t>7</w:t>
      </w:r>
      <w:r w:rsidRPr="00792E64">
        <w:rPr>
          <w:rFonts w:eastAsia="Calibri" w:cs="Times New Roman"/>
          <w:spacing w:val="-2"/>
          <w:szCs w:val="19"/>
        </w:rPr>
        <w:t>%, partnerskie – 0,</w:t>
      </w:r>
      <w:r w:rsidR="00792E64" w:rsidRPr="00792E64">
        <w:rPr>
          <w:rFonts w:eastAsia="Calibri" w:cs="Times New Roman"/>
          <w:spacing w:val="-2"/>
          <w:szCs w:val="19"/>
        </w:rPr>
        <w:t>5</w:t>
      </w:r>
      <w:r w:rsidRPr="00792E64">
        <w:rPr>
          <w:rFonts w:eastAsia="Calibri" w:cs="Times New Roman"/>
          <w:spacing w:val="-2"/>
          <w:szCs w:val="19"/>
        </w:rPr>
        <w:t>%, komandytowo-akcyjne – 0,</w:t>
      </w:r>
      <w:r w:rsidR="002369FD" w:rsidRPr="00792E64">
        <w:rPr>
          <w:rFonts w:eastAsia="Calibri" w:cs="Times New Roman"/>
          <w:spacing w:val="-2"/>
          <w:szCs w:val="19"/>
        </w:rPr>
        <w:t>3</w:t>
      </w:r>
      <w:r w:rsidRPr="00792E64">
        <w:rPr>
          <w:rFonts w:eastAsia="Calibri" w:cs="Times New Roman"/>
          <w:spacing w:val="-2"/>
          <w:szCs w:val="19"/>
        </w:rPr>
        <w:t>%).</w:t>
      </w:r>
    </w:p>
    <w:p w14:paraId="68B3894E" w14:textId="25EE1F8F" w:rsidR="00006CFB" w:rsidRPr="00933A0A" w:rsidRDefault="00BD7280" w:rsidP="00714F88">
      <w:pPr>
        <w:spacing w:before="0" w:line="288" w:lineRule="auto"/>
        <w:rPr>
          <w:rFonts w:eastAsia="Calibri" w:cs="Times New Roman"/>
          <w:szCs w:val="19"/>
        </w:rPr>
      </w:pPr>
      <w:r w:rsidRPr="00792E64">
        <w:rPr>
          <w:rFonts w:eastAsia="Calibri" w:cs="Times New Roman"/>
          <w:szCs w:val="19"/>
        </w:rPr>
        <w:t>Liczba spółek handlowych działających w 202</w:t>
      </w:r>
      <w:r w:rsidR="007C242A" w:rsidRPr="00792E64">
        <w:rPr>
          <w:rFonts w:eastAsia="Calibri" w:cs="Times New Roman"/>
          <w:szCs w:val="19"/>
        </w:rPr>
        <w:t>5</w:t>
      </w:r>
      <w:r w:rsidRPr="00792E64">
        <w:rPr>
          <w:rFonts w:eastAsia="Calibri" w:cs="Times New Roman"/>
          <w:szCs w:val="19"/>
        </w:rPr>
        <w:t xml:space="preserve"> r. w strefie przygranicznej wzrosła, w porównaniu z 202</w:t>
      </w:r>
      <w:r w:rsidR="00792E64" w:rsidRPr="00792E64">
        <w:rPr>
          <w:rFonts w:eastAsia="Calibri" w:cs="Times New Roman"/>
          <w:szCs w:val="19"/>
        </w:rPr>
        <w:t>4</w:t>
      </w:r>
      <w:r w:rsidR="00114DB4" w:rsidRPr="00792E64">
        <w:rPr>
          <w:rFonts w:eastAsia="Calibri" w:cs="Times New Roman"/>
          <w:szCs w:val="19"/>
        </w:rPr>
        <w:t xml:space="preserve"> r.</w:t>
      </w:r>
      <w:r w:rsidRPr="00792E64">
        <w:rPr>
          <w:rFonts w:eastAsia="Calibri" w:cs="Times New Roman"/>
          <w:szCs w:val="19"/>
        </w:rPr>
        <w:t>, o 3</w:t>
      </w:r>
      <w:r w:rsidR="00792E64" w:rsidRPr="00792E64">
        <w:rPr>
          <w:rFonts w:eastAsia="Calibri" w:cs="Times New Roman"/>
          <w:szCs w:val="19"/>
        </w:rPr>
        <w:t>315</w:t>
      </w:r>
      <w:r w:rsidRPr="00792E64">
        <w:rPr>
          <w:rFonts w:eastAsia="Calibri" w:cs="Times New Roman"/>
          <w:szCs w:val="19"/>
        </w:rPr>
        <w:t xml:space="preserve"> jednostek, tj. o </w:t>
      </w:r>
      <w:r w:rsidR="00FE7890" w:rsidRPr="00792E64">
        <w:rPr>
          <w:rFonts w:eastAsia="Calibri" w:cs="Times New Roman"/>
          <w:szCs w:val="19"/>
        </w:rPr>
        <w:t>4,</w:t>
      </w:r>
      <w:r w:rsidR="00792E64" w:rsidRPr="00792E64">
        <w:rPr>
          <w:rFonts w:eastAsia="Calibri" w:cs="Times New Roman"/>
          <w:szCs w:val="19"/>
        </w:rPr>
        <w:t>6</w:t>
      </w:r>
      <w:r w:rsidRPr="00792E64">
        <w:rPr>
          <w:rFonts w:eastAsia="Calibri" w:cs="Times New Roman"/>
          <w:szCs w:val="19"/>
        </w:rPr>
        <w:t xml:space="preserve">% (w </w:t>
      </w:r>
      <w:r w:rsidRPr="00CC290C">
        <w:rPr>
          <w:rFonts w:eastAsia="Calibri" w:cs="Times New Roman"/>
          <w:szCs w:val="19"/>
        </w:rPr>
        <w:t xml:space="preserve">kraju </w:t>
      </w:r>
      <w:r w:rsidR="00CC290C" w:rsidRPr="00CC290C">
        <w:rPr>
          <w:rFonts w:eastAsia="Calibri" w:cs="Times New Roman"/>
          <w:szCs w:val="19"/>
        </w:rPr>
        <w:t>również</w:t>
      </w:r>
      <w:r w:rsidR="00792E64" w:rsidRPr="00CC290C">
        <w:rPr>
          <w:rFonts w:eastAsia="Calibri" w:cs="Times New Roman"/>
          <w:szCs w:val="19"/>
        </w:rPr>
        <w:t xml:space="preserve"> </w:t>
      </w:r>
      <w:r w:rsidRPr="00CC290C">
        <w:rPr>
          <w:rFonts w:eastAsia="Calibri" w:cs="Times New Roman"/>
          <w:szCs w:val="19"/>
        </w:rPr>
        <w:t xml:space="preserve">wzrosła </w:t>
      </w:r>
      <w:r w:rsidRPr="00F70902">
        <w:rPr>
          <w:rFonts w:eastAsia="Calibri" w:cs="Times New Roman"/>
          <w:szCs w:val="19"/>
        </w:rPr>
        <w:t xml:space="preserve">o </w:t>
      </w:r>
      <w:r w:rsidR="00792E64" w:rsidRPr="00F70902">
        <w:rPr>
          <w:rFonts w:eastAsia="Calibri" w:cs="Times New Roman"/>
          <w:szCs w:val="19"/>
        </w:rPr>
        <w:t>4</w:t>
      </w:r>
      <w:r w:rsidR="00FE7890" w:rsidRPr="00F70902">
        <w:rPr>
          <w:rFonts w:eastAsia="Calibri" w:cs="Times New Roman"/>
          <w:szCs w:val="19"/>
        </w:rPr>
        <w:t>,</w:t>
      </w:r>
      <w:r w:rsidR="00792E64" w:rsidRPr="00F70902">
        <w:rPr>
          <w:rFonts w:eastAsia="Calibri" w:cs="Times New Roman"/>
          <w:szCs w:val="19"/>
        </w:rPr>
        <w:t>6</w:t>
      </w:r>
      <w:r w:rsidRPr="00F70902">
        <w:rPr>
          <w:rFonts w:eastAsia="Calibri" w:cs="Times New Roman"/>
          <w:szCs w:val="19"/>
        </w:rPr>
        <w:t>%). W odniesieniu do poprzed</w:t>
      </w:r>
      <w:r w:rsidRPr="00943F65">
        <w:rPr>
          <w:rFonts w:eastAsia="Calibri" w:cs="Times New Roman"/>
          <w:szCs w:val="19"/>
        </w:rPr>
        <w:t>niego roku wzrosła ogólna liczba spółek kapitałowych – o 3</w:t>
      </w:r>
      <w:r w:rsidR="00F70902" w:rsidRPr="00943F65">
        <w:rPr>
          <w:rFonts w:eastAsia="Calibri" w:cs="Times New Roman"/>
          <w:szCs w:val="19"/>
        </w:rPr>
        <w:t>5</w:t>
      </w:r>
      <w:r w:rsidR="0093119C" w:rsidRPr="00943F65">
        <w:rPr>
          <w:rFonts w:eastAsia="Calibri" w:cs="Times New Roman"/>
          <w:szCs w:val="19"/>
        </w:rPr>
        <w:t>7</w:t>
      </w:r>
      <w:r w:rsidR="00F70902" w:rsidRPr="00943F65">
        <w:rPr>
          <w:rFonts w:eastAsia="Calibri" w:cs="Times New Roman"/>
          <w:szCs w:val="19"/>
        </w:rPr>
        <w:t>4</w:t>
      </w:r>
      <w:r w:rsidRPr="00943F65">
        <w:rPr>
          <w:rFonts w:eastAsia="Calibri" w:cs="Times New Roman"/>
          <w:szCs w:val="19"/>
        </w:rPr>
        <w:t xml:space="preserve"> jednostki, tj.</w:t>
      </w:r>
      <w:r w:rsidR="000A40F5">
        <w:rPr>
          <w:rFonts w:eastAsia="Calibri" w:cs="Times New Roman"/>
          <w:szCs w:val="19"/>
        </w:rPr>
        <w:t> </w:t>
      </w:r>
      <w:r w:rsidRPr="00943F65">
        <w:rPr>
          <w:rFonts w:eastAsia="Calibri" w:cs="Times New Roman"/>
          <w:szCs w:val="19"/>
        </w:rPr>
        <w:t>o</w:t>
      </w:r>
      <w:r w:rsidR="000A40F5">
        <w:rPr>
          <w:rFonts w:eastAsia="Calibri" w:cs="Times New Roman"/>
          <w:szCs w:val="19"/>
        </w:rPr>
        <w:t> </w:t>
      </w:r>
      <w:r w:rsidR="00F70902" w:rsidRPr="00943F65">
        <w:rPr>
          <w:rFonts w:eastAsia="Calibri" w:cs="Times New Roman"/>
          <w:szCs w:val="19"/>
        </w:rPr>
        <w:t>5</w:t>
      </w:r>
      <w:r w:rsidR="0093119C" w:rsidRPr="00943F65">
        <w:rPr>
          <w:rFonts w:eastAsia="Calibri" w:cs="Times New Roman"/>
          <w:szCs w:val="19"/>
        </w:rPr>
        <w:t>,</w:t>
      </w:r>
      <w:r w:rsidR="00F70902" w:rsidRPr="00943F65">
        <w:rPr>
          <w:rFonts w:eastAsia="Calibri" w:cs="Times New Roman"/>
          <w:szCs w:val="19"/>
        </w:rPr>
        <w:t>7</w:t>
      </w:r>
      <w:r w:rsidRPr="00933A0A">
        <w:rPr>
          <w:rFonts w:eastAsia="Calibri" w:cs="Times New Roman"/>
          <w:szCs w:val="19"/>
        </w:rPr>
        <w:t xml:space="preserve">%, wobec wzrostu w kraju o </w:t>
      </w:r>
      <w:r w:rsidR="00F70902" w:rsidRPr="00933A0A">
        <w:rPr>
          <w:rFonts w:eastAsia="Calibri" w:cs="Times New Roman"/>
          <w:szCs w:val="19"/>
        </w:rPr>
        <w:t>5</w:t>
      </w:r>
      <w:r w:rsidR="0093119C" w:rsidRPr="00933A0A">
        <w:rPr>
          <w:rFonts w:eastAsia="Calibri" w:cs="Times New Roman"/>
          <w:szCs w:val="19"/>
        </w:rPr>
        <w:t>,</w:t>
      </w:r>
      <w:r w:rsidR="00F70902" w:rsidRPr="00933A0A">
        <w:rPr>
          <w:rFonts w:eastAsia="Calibri" w:cs="Times New Roman"/>
          <w:szCs w:val="19"/>
        </w:rPr>
        <w:t>6</w:t>
      </w:r>
      <w:r w:rsidRPr="00933A0A">
        <w:rPr>
          <w:rFonts w:eastAsia="Calibri" w:cs="Times New Roman"/>
          <w:szCs w:val="19"/>
        </w:rPr>
        <w:t xml:space="preserve">%. Z kolei w grupie podmiotów gospodarki narodowej zaliczanych do spółek osobowych odnotowano spadek o </w:t>
      </w:r>
      <w:r w:rsidR="00943F65" w:rsidRPr="00933A0A">
        <w:rPr>
          <w:rFonts w:eastAsia="Calibri" w:cs="Times New Roman"/>
          <w:szCs w:val="19"/>
        </w:rPr>
        <w:t>259</w:t>
      </w:r>
      <w:r w:rsidRPr="00933A0A">
        <w:rPr>
          <w:rFonts w:eastAsia="Calibri" w:cs="Times New Roman"/>
          <w:szCs w:val="19"/>
        </w:rPr>
        <w:t xml:space="preserve"> jednost</w:t>
      </w:r>
      <w:r w:rsidR="00114DB4" w:rsidRPr="00933A0A">
        <w:rPr>
          <w:rFonts w:eastAsia="Calibri" w:cs="Times New Roman"/>
          <w:szCs w:val="19"/>
        </w:rPr>
        <w:t>ek</w:t>
      </w:r>
      <w:r w:rsidR="008A7C95" w:rsidRPr="00933A0A">
        <w:rPr>
          <w:rFonts w:eastAsia="Calibri" w:cs="Times New Roman"/>
          <w:szCs w:val="19"/>
        </w:rPr>
        <w:t>,</w:t>
      </w:r>
      <w:r w:rsidRPr="00933A0A">
        <w:rPr>
          <w:rFonts w:eastAsia="Calibri" w:cs="Times New Roman"/>
          <w:szCs w:val="19"/>
        </w:rPr>
        <w:t xml:space="preserve"> </w:t>
      </w:r>
      <w:r w:rsidR="0093119C" w:rsidRPr="00933A0A">
        <w:rPr>
          <w:rFonts w:eastAsia="Calibri" w:cs="Times New Roman"/>
          <w:szCs w:val="19"/>
        </w:rPr>
        <w:t xml:space="preserve">tj. o </w:t>
      </w:r>
      <w:r w:rsidR="00943F65" w:rsidRPr="00933A0A">
        <w:rPr>
          <w:rFonts w:eastAsia="Calibri" w:cs="Times New Roman"/>
          <w:szCs w:val="19"/>
        </w:rPr>
        <w:t>2</w:t>
      </w:r>
      <w:r w:rsidR="0093119C" w:rsidRPr="00933A0A">
        <w:rPr>
          <w:rFonts w:eastAsia="Calibri" w:cs="Times New Roman"/>
          <w:szCs w:val="19"/>
        </w:rPr>
        <w:t>,</w:t>
      </w:r>
      <w:r w:rsidR="00943F65" w:rsidRPr="00933A0A">
        <w:rPr>
          <w:rFonts w:eastAsia="Calibri" w:cs="Times New Roman"/>
          <w:szCs w:val="19"/>
        </w:rPr>
        <w:t>7</w:t>
      </w:r>
      <w:r w:rsidRPr="00933A0A">
        <w:rPr>
          <w:rFonts w:eastAsia="Calibri" w:cs="Times New Roman"/>
          <w:szCs w:val="19"/>
        </w:rPr>
        <w:t>% (w kraju</w:t>
      </w:r>
      <w:r w:rsidR="00517EF7" w:rsidRPr="00933A0A">
        <w:rPr>
          <w:rFonts w:eastAsia="Calibri" w:cs="Times New Roman"/>
          <w:szCs w:val="19"/>
        </w:rPr>
        <w:t xml:space="preserve"> –</w:t>
      </w:r>
      <w:r w:rsidRPr="00933A0A">
        <w:rPr>
          <w:rFonts w:eastAsia="Calibri" w:cs="Times New Roman"/>
          <w:szCs w:val="19"/>
        </w:rPr>
        <w:t xml:space="preserve"> </w:t>
      </w:r>
      <w:r w:rsidR="00517EF7" w:rsidRPr="00933A0A">
        <w:rPr>
          <w:rFonts w:eastAsia="Calibri" w:cs="Times New Roman"/>
          <w:szCs w:val="19"/>
        </w:rPr>
        <w:t>spadek</w:t>
      </w:r>
      <w:r w:rsidRPr="00933A0A">
        <w:rPr>
          <w:rFonts w:eastAsia="Calibri" w:cs="Times New Roman"/>
          <w:szCs w:val="19"/>
        </w:rPr>
        <w:t xml:space="preserve"> o</w:t>
      </w:r>
      <w:r w:rsidR="00CC3C2F" w:rsidRPr="00933A0A">
        <w:rPr>
          <w:rFonts w:eastAsia="Calibri" w:cs="Times New Roman"/>
          <w:szCs w:val="19"/>
        </w:rPr>
        <w:t> </w:t>
      </w:r>
      <w:r w:rsidR="00943F65" w:rsidRPr="00933A0A">
        <w:rPr>
          <w:rFonts w:eastAsia="Calibri" w:cs="Times New Roman"/>
          <w:szCs w:val="19"/>
        </w:rPr>
        <w:t>3</w:t>
      </w:r>
      <w:r w:rsidR="0093119C" w:rsidRPr="00933A0A">
        <w:rPr>
          <w:rFonts w:eastAsia="Calibri" w:cs="Times New Roman"/>
          <w:szCs w:val="19"/>
        </w:rPr>
        <w:t>,</w:t>
      </w:r>
      <w:r w:rsidR="00943F65" w:rsidRPr="00933A0A">
        <w:rPr>
          <w:rFonts w:eastAsia="Calibri" w:cs="Times New Roman"/>
          <w:szCs w:val="19"/>
        </w:rPr>
        <w:t>8</w:t>
      </w:r>
      <w:r w:rsidRPr="00933A0A">
        <w:rPr>
          <w:rFonts w:eastAsia="Calibri" w:cs="Times New Roman"/>
          <w:szCs w:val="19"/>
        </w:rPr>
        <w:t>%).</w:t>
      </w:r>
    </w:p>
    <w:p w14:paraId="4B040EB7" w14:textId="1A120E33" w:rsidR="0031369A" w:rsidRPr="00A25F0B" w:rsidRDefault="00361EB0" w:rsidP="00714F88">
      <w:pPr>
        <w:spacing w:before="0" w:line="288" w:lineRule="auto"/>
        <w:rPr>
          <w:rFonts w:eastAsia="Calibri" w:cs="Times New Roman"/>
          <w:spacing w:val="-2"/>
          <w:szCs w:val="19"/>
        </w:rPr>
      </w:pPr>
      <w:r w:rsidRPr="00BE7D12">
        <w:rPr>
          <w:b/>
          <w:noProof/>
          <w:spacing w:val="-2"/>
          <w:szCs w:val="19"/>
          <w:lang w:eastAsia="pl-PL"/>
        </w:rPr>
        <mc:AlternateContent>
          <mc:Choice Requires="wps">
            <w:drawing>
              <wp:anchor distT="45720" distB="45720" distL="114300" distR="114300" simplePos="0" relativeHeight="251744256" behindDoc="1" locked="0" layoutInCell="1" allowOverlap="1" wp14:anchorId="269658A3" wp14:editId="7F942092">
                <wp:simplePos x="0" y="0"/>
                <wp:positionH relativeFrom="page">
                  <wp:posOffset>5678805</wp:posOffset>
                </wp:positionH>
                <wp:positionV relativeFrom="paragraph">
                  <wp:posOffset>1247470</wp:posOffset>
                </wp:positionV>
                <wp:extent cx="1739900" cy="1050290"/>
                <wp:effectExtent l="0" t="0" r="0" b="0"/>
                <wp:wrapTight wrapText="bothSides">
                  <wp:wrapPolygon edited="0">
                    <wp:start x="709" y="0"/>
                    <wp:lineTo x="709" y="21156"/>
                    <wp:lineTo x="21048" y="21156"/>
                    <wp:lineTo x="21048" y="0"/>
                    <wp:lineTo x="709" y="0"/>
                  </wp:wrapPolygon>
                </wp:wrapTight>
                <wp:docPr id="13" name="Pole tekstowe 13" descr="Liczba spółek z kapitałem zagranicznym działających w 2025 r. na obszarach przygranicznych stanowiła 11,8% ogółu spółek handlowych stref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050290"/>
                        </a:xfrm>
                        <a:prstGeom prst="rect">
                          <a:avLst/>
                        </a:prstGeom>
                        <a:noFill/>
                        <a:ln w="9525">
                          <a:noFill/>
                          <a:miter lim="800000"/>
                          <a:headEnd/>
                          <a:tailEnd/>
                        </a:ln>
                      </wps:spPr>
                      <wps:txbx>
                        <w:txbxContent>
                          <w:p w14:paraId="3F4E0BB2" w14:textId="37C09A04" w:rsidR="005D7A2D" w:rsidRPr="00C66DB4" w:rsidRDefault="00C66DB4" w:rsidP="00A634DA">
                            <w:pPr>
                              <w:pStyle w:val="tekstzboku"/>
                              <w:spacing w:before="0"/>
                              <w:rPr>
                                <w:rFonts w:eastAsia="Calibri"/>
                                <w:szCs w:val="19"/>
                              </w:rPr>
                            </w:pPr>
                            <w:r w:rsidRPr="00C66DB4">
                              <w:rPr>
                                <w:rFonts w:eastAsia="Calibri"/>
                                <w:szCs w:val="19"/>
                              </w:rPr>
                              <w:t>Liczba spółek z kapitałem zagranicznym działających w 202</w:t>
                            </w:r>
                            <w:r w:rsidR="00444618">
                              <w:rPr>
                                <w:rFonts w:eastAsia="Calibri"/>
                                <w:szCs w:val="19"/>
                              </w:rPr>
                              <w:t>5</w:t>
                            </w:r>
                            <w:r w:rsidRPr="00C66DB4">
                              <w:rPr>
                                <w:rFonts w:eastAsia="Calibri"/>
                                <w:szCs w:val="19"/>
                              </w:rPr>
                              <w:t xml:space="preserve"> r. na obszarach przy-granicznych stanowiła 1</w:t>
                            </w:r>
                            <w:r w:rsidR="00B4674A">
                              <w:rPr>
                                <w:rFonts w:eastAsia="Calibri"/>
                                <w:szCs w:val="19"/>
                              </w:rPr>
                              <w:t>1</w:t>
                            </w:r>
                            <w:r w:rsidR="001F2227">
                              <w:rPr>
                                <w:rFonts w:eastAsia="Calibri"/>
                                <w:szCs w:val="19"/>
                              </w:rPr>
                              <w:t>,</w:t>
                            </w:r>
                            <w:r w:rsidR="00B4674A">
                              <w:rPr>
                                <w:rFonts w:eastAsia="Calibri"/>
                                <w:szCs w:val="19"/>
                              </w:rPr>
                              <w:t>8</w:t>
                            </w:r>
                            <w:r w:rsidRPr="00C66DB4">
                              <w:rPr>
                                <w:rFonts w:eastAsia="Calibri"/>
                                <w:szCs w:val="19"/>
                              </w:rPr>
                              <w:t>% ogółu spółek handlowych strefy</w:t>
                            </w:r>
                          </w:p>
                        </w:txbxContent>
                      </wps:txbx>
                      <wps:bodyPr rot="0" vert="horz" wrap="square" lIns="9000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658A3" id="Pole tekstowe 13" o:spid="_x0000_s1030" type="#_x0000_t202" alt="Liczba spółek z kapitałem zagranicznym działających w 2025 r. na obszarach przygranicznych stanowiła 11,8% ogółu spółek handlowych strefy" style="position:absolute;margin-left:447.15pt;margin-top:98.25pt;width:137pt;height:82.7pt;z-index:-251572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Vy/QEAANUDAAAOAAAAZHJzL2Uyb0RvYy54bWysU9tu2zAMfR+wfxD0vtjxmrUxohRduw4D&#10;ugvQ7QNkWY6FSaImKbGzry8lu2mwvQ3zg0Ca4iHPIbW5Ho0mB+mDAsvoclFSIq2AVtkdoz++37+5&#10;oiREbluuwUpGjzLQ6+3rV5vB1bKCHnQrPUEQG+rBMdrH6OqiCKKXhocFOGkx2IE3PKLrd0Xr+YDo&#10;RhdVWb4rBvCt8yBkCPj3bgrSbcbvOini164LMhLNKPYW8+nz2aSz2G54vfPc9UrMbfB/6MJwZbHo&#10;CeqOR072Xv0FZZTwEKCLCwGmgK5TQmYOyGZZ/sHmsedOZi4oTnAnmcL/gxVfDo/umydxfA8jDjCT&#10;CO4BxM9ALNz23O7kjfcw9JK3WHiZJCsGF+o5NUkd6pBAmuEztDhkvo+QgcbOm6QK8iSIjgM4nkSX&#10;YyQilbx8u16XGBIYW5arslrnsRS8fk53PsSPEgxJBqMep5rh+eEhxNQOr5+vpGoW7pXWebLakoHR&#10;9apa5YSziFERF08rw+hVmb5pFRLLD7bNyZErPdlYQNuZdmI6cY5jMxLVMnqRcpMKDbRH1MHDtGf4&#10;LtDowf+mZMAdYzT82nMvKdGfLGqJtBPxmJ2L1WWFjs8OminSnEe4FQjFaKRkMm9jXuSJ8g1q3qms&#10;xksnc8u4O1mkec/Tcp77+dbLa9w+AQAA//8DAFBLAwQUAAYACAAAACEAMOfPU+AAAAAMAQAADwAA&#10;AGRycy9kb3ducmV2LnhtbEyPTU+EMBCG7yb+h2ZMvLnlwyWAlM3GqInxoquJ11kYgUinhLYs/nu7&#10;Jz3OvE/eeabarXoUC812MKwg3kQgiBvTDtwp+Hh/vMlBWIfc4miYFPyQhV19eVFh2ZoTv9FycJ0I&#10;JWxLVNA7N5VS2qYnjXZjJuKQfZlZowvj3Ml2xlMo16NMoiiTGgcOF3qc6L6n5vvgtYJl8s+4vOy3&#10;3ib+wT4VafKKn0pdX637OxCOVvcHw1k/qEMdnI7Gc2vFqCAvbtOAhqDItiDORJzlYXVUkGZxAbKu&#10;5P8n6l8AAAD//wMAUEsBAi0AFAAGAAgAAAAhALaDOJL+AAAA4QEAABMAAAAAAAAAAAAAAAAAAAAA&#10;AFtDb250ZW50X1R5cGVzXS54bWxQSwECLQAUAAYACAAAACEAOP0h/9YAAACUAQAACwAAAAAAAAAA&#10;AAAAAAAvAQAAX3JlbHMvLnJlbHNQSwECLQAUAAYACAAAACEAatZ1cv0BAADVAwAADgAAAAAAAAAA&#10;AAAAAAAuAgAAZHJzL2Uyb0RvYy54bWxQSwECLQAUAAYACAAAACEAMOfPU+AAAAAMAQAADwAAAAAA&#10;AAAAAAAAAABXBAAAZHJzL2Rvd25yZXYueG1sUEsFBgAAAAAEAAQA8wAAAGQFAAAAAA==&#10;" filled="f" stroked="f">
                <v:textbox inset="2.5mm,,2mm">
                  <w:txbxContent>
                    <w:p w14:paraId="3F4E0BB2" w14:textId="37C09A04" w:rsidR="005D7A2D" w:rsidRPr="00C66DB4" w:rsidRDefault="00C66DB4" w:rsidP="00A634DA">
                      <w:pPr>
                        <w:pStyle w:val="tekstzboku"/>
                        <w:spacing w:before="0"/>
                        <w:rPr>
                          <w:rFonts w:eastAsia="Calibri"/>
                          <w:szCs w:val="19"/>
                        </w:rPr>
                      </w:pPr>
                      <w:r w:rsidRPr="00C66DB4">
                        <w:rPr>
                          <w:rFonts w:eastAsia="Calibri"/>
                          <w:szCs w:val="19"/>
                        </w:rPr>
                        <w:t>Liczba spółek z kapitałem zagranicznym działających w 202</w:t>
                      </w:r>
                      <w:r w:rsidR="00444618">
                        <w:rPr>
                          <w:rFonts w:eastAsia="Calibri"/>
                          <w:szCs w:val="19"/>
                        </w:rPr>
                        <w:t>5</w:t>
                      </w:r>
                      <w:r w:rsidRPr="00C66DB4">
                        <w:rPr>
                          <w:rFonts w:eastAsia="Calibri"/>
                          <w:szCs w:val="19"/>
                        </w:rPr>
                        <w:t xml:space="preserve"> r. na obszarach przy-granicznych stanowiła 1</w:t>
                      </w:r>
                      <w:r w:rsidR="00B4674A">
                        <w:rPr>
                          <w:rFonts w:eastAsia="Calibri"/>
                          <w:szCs w:val="19"/>
                        </w:rPr>
                        <w:t>1</w:t>
                      </w:r>
                      <w:r w:rsidR="001F2227">
                        <w:rPr>
                          <w:rFonts w:eastAsia="Calibri"/>
                          <w:szCs w:val="19"/>
                        </w:rPr>
                        <w:t>,</w:t>
                      </w:r>
                      <w:r w:rsidR="00B4674A">
                        <w:rPr>
                          <w:rFonts w:eastAsia="Calibri"/>
                          <w:szCs w:val="19"/>
                        </w:rPr>
                        <w:t>8</w:t>
                      </w:r>
                      <w:r w:rsidRPr="00C66DB4">
                        <w:rPr>
                          <w:rFonts w:eastAsia="Calibri"/>
                          <w:szCs w:val="19"/>
                        </w:rPr>
                        <w:t>% ogółu spółek handlowych strefy</w:t>
                      </w:r>
                    </w:p>
                  </w:txbxContent>
                </v:textbox>
                <w10:wrap type="tight" anchorx="page"/>
              </v:shape>
            </w:pict>
          </mc:Fallback>
        </mc:AlternateContent>
      </w:r>
      <w:r w:rsidR="00BD7280" w:rsidRPr="00BE7D12">
        <w:rPr>
          <w:rFonts w:eastAsia="Calibri" w:cs="Times New Roman"/>
          <w:spacing w:val="-2"/>
          <w:szCs w:val="19"/>
        </w:rPr>
        <w:t>Liczba spółek handlowych zwiększyła się w porównaniu z 202</w:t>
      </w:r>
      <w:r w:rsidR="007C242A" w:rsidRPr="00BE7D12">
        <w:rPr>
          <w:rFonts w:eastAsia="Calibri" w:cs="Times New Roman"/>
          <w:spacing w:val="-2"/>
          <w:szCs w:val="19"/>
        </w:rPr>
        <w:t>4</w:t>
      </w:r>
      <w:r w:rsidR="00BD7280" w:rsidRPr="00BE7D12">
        <w:rPr>
          <w:rFonts w:eastAsia="Calibri" w:cs="Times New Roman"/>
          <w:spacing w:val="-2"/>
          <w:szCs w:val="19"/>
        </w:rPr>
        <w:t xml:space="preserve"> r</w:t>
      </w:r>
      <w:r w:rsidR="00114DB4" w:rsidRPr="00BE7D12">
        <w:rPr>
          <w:rFonts w:eastAsia="Calibri" w:cs="Times New Roman"/>
          <w:spacing w:val="-2"/>
          <w:szCs w:val="19"/>
        </w:rPr>
        <w:t>.</w:t>
      </w:r>
      <w:r w:rsidR="00BD7280" w:rsidRPr="00BE7D12">
        <w:rPr>
          <w:rFonts w:eastAsia="Calibri" w:cs="Times New Roman"/>
          <w:spacing w:val="-2"/>
          <w:szCs w:val="19"/>
        </w:rPr>
        <w:t xml:space="preserve"> zarówno w poszczególnych częściach strefy analizowanych </w:t>
      </w:r>
      <w:r w:rsidR="00BD7280" w:rsidRPr="00CD0671">
        <w:rPr>
          <w:rFonts w:eastAsia="Calibri" w:cs="Times New Roman"/>
          <w:spacing w:val="-2"/>
          <w:szCs w:val="19"/>
        </w:rPr>
        <w:t>według krajów sąsiadujących, jak i według województw. Największy wzrost wystąpił przy granicy z Czechami – o 1</w:t>
      </w:r>
      <w:r w:rsidR="00BE7D12" w:rsidRPr="00CD0671">
        <w:rPr>
          <w:rFonts w:eastAsia="Calibri" w:cs="Times New Roman"/>
          <w:spacing w:val="-2"/>
          <w:szCs w:val="19"/>
        </w:rPr>
        <w:t>317</w:t>
      </w:r>
      <w:r w:rsidR="00BD7280" w:rsidRPr="00CD0671">
        <w:rPr>
          <w:rFonts w:eastAsia="Calibri" w:cs="Times New Roman"/>
          <w:spacing w:val="-2"/>
          <w:szCs w:val="19"/>
        </w:rPr>
        <w:t xml:space="preserve"> jednostek (</w:t>
      </w:r>
      <w:r w:rsidR="00B04A4F" w:rsidRPr="00CD0671">
        <w:rPr>
          <w:rFonts w:eastAsia="Calibri" w:cs="Times New Roman"/>
          <w:spacing w:val="-2"/>
          <w:szCs w:val="19"/>
        </w:rPr>
        <w:t xml:space="preserve">o </w:t>
      </w:r>
      <w:r w:rsidR="0052670F" w:rsidRPr="00CD0671">
        <w:rPr>
          <w:rFonts w:eastAsia="Calibri" w:cs="Times New Roman"/>
          <w:spacing w:val="-2"/>
          <w:szCs w:val="19"/>
        </w:rPr>
        <w:t>4,7</w:t>
      </w:r>
      <w:r w:rsidR="00BD7280" w:rsidRPr="00CD0671">
        <w:rPr>
          <w:rFonts w:eastAsia="Calibri" w:cs="Times New Roman"/>
          <w:spacing w:val="-2"/>
          <w:szCs w:val="19"/>
        </w:rPr>
        <w:t xml:space="preserve">%), a najmniejszy przy granicy z Litwą – o </w:t>
      </w:r>
      <w:r w:rsidR="00CD0671" w:rsidRPr="00CD0671">
        <w:rPr>
          <w:rFonts w:eastAsia="Calibri" w:cs="Times New Roman"/>
          <w:spacing w:val="-2"/>
          <w:szCs w:val="19"/>
        </w:rPr>
        <w:t>59</w:t>
      </w:r>
      <w:r w:rsidR="00BD7280" w:rsidRPr="00CD0671">
        <w:rPr>
          <w:rFonts w:eastAsia="Calibri" w:cs="Times New Roman"/>
          <w:spacing w:val="-2"/>
          <w:szCs w:val="19"/>
        </w:rPr>
        <w:t xml:space="preserve"> jednostek (</w:t>
      </w:r>
      <w:r w:rsidR="00B04A4F" w:rsidRPr="00CD0671">
        <w:rPr>
          <w:rFonts w:eastAsia="Calibri" w:cs="Times New Roman"/>
          <w:spacing w:val="-2"/>
          <w:szCs w:val="19"/>
        </w:rPr>
        <w:t xml:space="preserve">o </w:t>
      </w:r>
      <w:r w:rsidR="00CD0671" w:rsidRPr="00CD0671">
        <w:rPr>
          <w:rFonts w:eastAsia="Calibri" w:cs="Times New Roman"/>
          <w:spacing w:val="-2"/>
          <w:szCs w:val="19"/>
        </w:rPr>
        <w:t>4</w:t>
      </w:r>
      <w:r w:rsidR="0052670F" w:rsidRPr="00CD0671">
        <w:rPr>
          <w:rFonts w:eastAsia="Calibri" w:cs="Times New Roman"/>
          <w:spacing w:val="-2"/>
          <w:szCs w:val="19"/>
        </w:rPr>
        <w:t>,</w:t>
      </w:r>
      <w:r w:rsidR="00CD0671" w:rsidRPr="00CD0671">
        <w:rPr>
          <w:rFonts w:eastAsia="Calibri" w:cs="Times New Roman"/>
          <w:spacing w:val="-2"/>
          <w:szCs w:val="19"/>
        </w:rPr>
        <w:t>1</w:t>
      </w:r>
      <w:r w:rsidR="00BD7280" w:rsidRPr="00CD0671">
        <w:rPr>
          <w:rFonts w:eastAsia="Calibri" w:cs="Times New Roman"/>
          <w:spacing w:val="-2"/>
          <w:szCs w:val="19"/>
        </w:rPr>
        <w:t xml:space="preserve">%). W przypadku województw, największy wzrost odnotowano w strefie przygranicznej województw śląskiego – o </w:t>
      </w:r>
      <w:r w:rsidR="00CD0671" w:rsidRPr="00CD0671">
        <w:rPr>
          <w:rFonts w:eastAsia="Calibri" w:cs="Times New Roman"/>
          <w:spacing w:val="-2"/>
          <w:szCs w:val="19"/>
        </w:rPr>
        <w:t>648</w:t>
      </w:r>
      <w:r w:rsidR="00BD7280" w:rsidRPr="00CD0671">
        <w:rPr>
          <w:rFonts w:eastAsia="Calibri" w:cs="Times New Roman"/>
          <w:spacing w:val="-2"/>
          <w:szCs w:val="19"/>
        </w:rPr>
        <w:t xml:space="preserve"> jednostek (</w:t>
      </w:r>
      <w:r w:rsidR="006E757D" w:rsidRPr="00CD0671">
        <w:rPr>
          <w:rFonts w:eastAsia="Calibri" w:cs="Times New Roman"/>
          <w:spacing w:val="-2"/>
          <w:szCs w:val="19"/>
        </w:rPr>
        <w:t xml:space="preserve">o </w:t>
      </w:r>
      <w:r w:rsidR="003B52DE" w:rsidRPr="00CD0671">
        <w:rPr>
          <w:rFonts w:eastAsia="Calibri" w:cs="Times New Roman"/>
          <w:spacing w:val="-2"/>
          <w:szCs w:val="19"/>
        </w:rPr>
        <w:t>4,</w:t>
      </w:r>
      <w:r w:rsidR="00CD0671" w:rsidRPr="00CD0671">
        <w:rPr>
          <w:rFonts w:eastAsia="Calibri" w:cs="Times New Roman"/>
          <w:spacing w:val="-2"/>
          <w:szCs w:val="19"/>
        </w:rPr>
        <w:t>0</w:t>
      </w:r>
      <w:r w:rsidR="00BD7280" w:rsidRPr="00CD0671">
        <w:rPr>
          <w:rFonts w:eastAsia="Calibri" w:cs="Times New Roman"/>
          <w:spacing w:val="-2"/>
          <w:szCs w:val="19"/>
        </w:rPr>
        <w:t>%)</w:t>
      </w:r>
      <w:r w:rsidR="008A7C95" w:rsidRPr="00CD0671">
        <w:rPr>
          <w:rFonts w:eastAsia="Calibri" w:cs="Times New Roman"/>
          <w:spacing w:val="-2"/>
          <w:szCs w:val="19"/>
        </w:rPr>
        <w:t>, a następnie</w:t>
      </w:r>
      <w:r w:rsidR="003B52DE" w:rsidRPr="00CD0671">
        <w:rPr>
          <w:rFonts w:eastAsia="Calibri" w:cs="Times New Roman"/>
          <w:spacing w:val="-2"/>
          <w:szCs w:val="19"/>
        </w:rPr>
        <w:t xml:space="preserve"> podlaskiego – o</w:t>
      </w:r>
      <w:r w:rsidR="00A0296D" w:rsidRPr="00CD0671">
        <w:rPr>
          <w:rFonts w:eastAsia="Calibri" w:cs="Times New Roman"/>
          <w:spacing w:val="-2"/>
          <w:szCs w:val="19"/>
        </w:rPr>
        <w:t> </w:t>
      </w:r>
      <w:r w:rsidR="00CD0671" w:rsidRPr="00CD0671">
        <w:rPr>
          <w:rFonts w:eastAsia="Calibri" w:cs="Times New Roman"/>
          <w:spacing w:val="-2"/>
          <w:szCs w:val="19"/>
        </w:rPr>
        <w:t>558</w:t>
      </w:r>
      <w:r w:rsidR="003B52DE" w:rsidRPr="00CD0671">
        <w:rPr>
          <w:rFonts w:eastAsia="Calibri" w:cs="Times New Roman"/>
          <w:spacing w:val="-2"/>
          <w:szCs w:val="19"/>
        </w:rPr>
        <w:t xml:space="preserve"> jednostek (</w:t>
      </w:r>
      <w:r w:rsidR="006E757D" w:rsidRPr="00CD0671">
        <w:rPr>
          <w:rFonts w:eastAsia="Calibri" w:cs="Times New Roman"/>
          <w:spacing w:val="-2"/>
          <w:szCs w:val="19"/>
        </w:rPr>
        <w:t xml:space="preserve">o </w:t>
      </w:r>
      <w:r w:rsidR="00CD0671" w:rsidRPr="00CD0671">
        <w:rPr>
          <w:rFonts w:eastAsia="Calibri" w:cs="Times New Roman"/>
          <w:spacing w:val="-2"/>
          <w:szCs w:val="19"/>
        </w:rPr>
        <w:t>5</w:t>
      </w:r>
      <w:r w:rsidR="003B52DE" w:rsidRPr="00CD0671">
        <w:rPr>
          <w:rFonts w:eastAsia="Calibri" w:cs="Times New Roman"/>
          <w:spacing w:val="-2"/>
          <w:szCs w:val="19"/>
        </w:rPr>
        <w:t>,</w:t>
      </w:r>
      <w:r w:rsidR="00CD0671" w:rsidRPr="00CD0671">
        <w:rPr>
          <w:rFonts w:eastAsia="Calibri" w:cs="Times New Roman"/>
          <w:spacing w:val="-2"/>
          <w:szCs w:val="19"/>
        </w:rPr>
        <w:t>4</w:t>
      </w:r>
      <w:r w:rsidR="003B52DE" w:rsidRPr="00CD0671">
        <w:rPr>
          <w:rFonts w:eastAsia="Calibri" w:cs="Times New Roman"/>
          <w:spacing w:val="-2"/>
          <w:szCs w:val="19"/>
        </w:rPr>
        <w:t>%)</w:t>
      </w:r>
      <w:r w:rsidR="00BD7280" w:rsidRPr="00CD0671">
        <w:rPr>
          <w:rFonts w:eastAsia="Calibri" w:cs="Times New Roman"/>
          <w:spacing w:val="-2"/>
          <w:szCs w:val="19"/>
        </w:rPr>
        <w:t xml:space="preserve">, </w:t>
      </w:r>
      <w:r w:rsidR="008A7C95" w:rsidRPr="00CD0671">
        <w:rPr>
          <w:rFonts w:eastAsia="Calibri" w:cs="Times New Roman"/>
          <w:spacing w:val="-2"/>
          <w:szCs w:val="19"/>
        </w:rPr>
        <w:t>zaś</w:t>
      </w:r>
      <w:r w:rsidR="00BD7280" w:rsidRPr="00CD0671">
        <w:rPr>
          <w:rFonts w:eastAsia="Calibri" w:cs="Times New Roman"/>
          <w:spacing w:val="-2"/>
          <w:szCs w:val="19"/>
        </w:rPr>
        <w:t xml:space="preserve"> najmniejszy w</w:t>
      </w:r>
      <w:r w:rsidR="00CD6BD6" w:rsidRPr="00CD0671">
        <w:rPr>
          <w:rFonts w:eastAsia="Calibri" w:cs="Times New Roman"/>
          <w:spacing w:val="-2"/>
          <w:szCs w:val="19"/>
        </w:rPr>
        <w:t> </w:t>
      </w:r>
      <w:r w:rsidR="00BD7280" w:rsidRPr="00CD0671">
        <w:rPr>
          <w:rFonts w:eastAsia="Calibri" w:cs="Times New Roman"/>
          <w:spacing w:val="-2"/>
          <w:szCs w:val="19"/>
        </w:rPr>
        <w:t xml:space="preserve">strefie województwa mazowieckiego – o </w:t>
      </w:r>
      <w:r w:rsidR="00CD0671" w:rsidRPr="00CD0671">
        <w:rPr>
          <w:rFonts w:eastAsia="Calibri" w:cs="Times New Roman"/>
          <w:spacing w:val="-2"/>
          <w:szCs w:val="19"/>
        </w:rPr>
        <w:t>6</w:t>
      </w:r>
      <w:r w:rsidR="00BD7280" w:rsidRPr="00CD0671">
        <w:rPr>
          <w:rFonts w:eastAsia="Calibri" w:cs="Times New Roman"/>
          <w:spacing w:val="-2"/>
          <w:szCs w:val="19"/>
        </w:rPr>
        <w:t xml:space="preserve"> </w:t>
      </w:r>
      <w:r w:rsidR="009D6788" w:rsidRPr="00CD0671">
        <w:rPr>
          <w:rFonts w:eastAsia="Calibri" w:cs="Times New Roman"/>
          <w:spacing w:val="-2"/>
          <w:szCs w:val="19"/>
        </w:rPr>
        <w:t>jednost</w:t>
      </w:r>
      <w:r w:rsidR="00BD7280" w:rsidRPr="00CD0671">
        <w:rPr>
          <w:rFonts w:eastAsia="Calibri" w:cs="Times New Roman"/>
          <w:spacing w:val="-2"/>
          <w:szCs w:val="19"/>
        </w:rPr>
        <w:t>ek (</w:t>
      </w:r>
      <w:r w:rsidR="006E757D" w:rsidRPr="00CD0671">
        <w:rPr>
          <w:rFonts w:eastAsia="Calibri" w:cs="Times New Roman"/>
          <w:spacing w:val="-2"/>
          <w:szCs w:val="19"/>
        </w:rPr>
        <w:t xml:space="preserve">o </w:t>
      </w:r>
      <w:r w:rsidR="00CD0671" w:rsidRPr="00CD0671">
        <w:rPr>
          <w:rFonts w:eastAsia="Calibri" w:cs="Times New Roman"/>
          <w:spacing w:val="-2"/>
          <w:szCs w:val="19"/>
        </w:rPr>
        <w:t>3</w:t>
      </w:r>
      <w:r w:rsidR="003B52DE" w:rsidRPr="00CD0671">
        <w:rPr>
          <w:rFonts w:eastAsia="Calibri" w:cs="Times New Roman"/>
          <w:spacing w:val="-2"/>
          <w:szCs w:val="19"/>
        </w:rPr>
        <w:t>,</w:t>
      </w:r>
      <w:r w:rsidR="00CD0671" w:rsidRPr="00CD0671">
        <w:rPr>
          <w:rFonts w:eastAsia="Calibri" w:cs="Times New Roman"/>
          <w:spacing w:val="-2"/>
          <w:szCs w:val="19"/>
        </w:rPr>
        <w:t>9</w:t>
      </w:r>
      <w:r w:rsidR="00BD7280" w:rsidRPr="00CD0671">
        <w:rPr>
          <w:rFonts w:eastAsia="Calibri" w:cs="Times New Roman"/>
          <w:spacing w:val="-2"/>
          <w:szCs w:val="19"/>
        </w:rPr>
        <w:t>%).</w:t>
      </w:r>
    </w:p>
    <w:p w14:paraId="295140CA" w14:textId="1696BD66" w:rsidR="00BD7280" w:rsidRPr="00933A0A" w:rsidRDefault="00BD7280" w:rsidP="00714F88">
      <w:pPr>
        <w:spacing w:before="0" w:line="288" w:lineRule="auto"/>
        <w:rPr>
          <w:rFonts w:eastAsia="Calibri" w:cs="Times New Roman"/>
          <w:szCs w:val="19"/>
        </w:rPr>
      </w:pPr>
      <w:r w:rsidRPr="001F790B">
        <w:rPr>
          <w:rFonts w:eastAsia="Calibri" w:cs="Times New Roman"/>
          <w:szCs w:val="19"/>
        </w:rPr>
        <w:t>W grupie spółek handlowych istotną rolę odgrywają spółki z udziałem kapitału zagranicznego, których obecność może świadczyć o atrakcyjności inwestycyjnej danego regionu. Liczba podmiotów gospodarki narodowej działających w 202</w:t>
      </w:r>
      <w:r w:rsidR="007C242A" w:rsidRPr="001F790B">
        <w:rPr>
          <w:rFonts w:eastAsia="Calibri" w:cs="Times New Roman"/>
          <w:szCs w:val="19"/>
        </w:rPr>
        <w:t>5</w:t>
      </w:r>
      <w:r w:rsidRPr="001F790B">
        <w:rPr>
          <w:rFonts w:eastAsia="Calibri" w:cs="Times New Roman"/>
          <w:szCs w:val="19"/>
        </w:rPr>
        <w:t xml:space="preserve"> r. na obszarach przygranicznych w formie spółek z udziałem kapitału zagranicznego (</w:t>
      </w:r>
      <w:r w:rsidR="001F790B" w:rsidRPr="001F790B">
        <w:rPr>
          <w:rFonts w:eastAsia="Calibri" w:cs="Times New Roman"/>
          <w:szCs w:val="19"/>
        </w:rPr>
        <w:t>8875</w:t>
      </w:r>
      <w:r w:rsidR="001F2227" w:rsidRPr="001F790B">
        <w:rPr>
          <w:rFonts w:eastAsia="Calibri" w:cs="Times New Roman"/>
          <w:szCs w:val="19"/>
        </w:rPr>
        <w:t xml:space="preserve"> </w:t>
      </w:r>
      <w:r w:rsidR="001F2227" w:rsidRPr="00B643F0">
        <w:rPr>
          <w:rFonts w:eastAsia="Calibri" w:cs="Times New Roman"/>
          <w:szCs w:val="19"/>
        </w:rPr>
        <w:t>jednostek</w:t>
      </w:r>
      <w:r w:rsidRPr="00B643F0">
        <w:rPr>
          <w:rFonts w:eastAsia="Calibri" w:cs="Times New Roman"/>
          <w:szCs w:val="19"/>
        </w:rPr>
        <w:t>) stanowiła 1</w:t>
      </w:r>
      <w:r w:rsidR="001F790B" w:rsidRPr="00B643F0">
        <w:rPr>
          <w:rFonts w:eastAsia="Calibri" w:cs="Times New Roman"/>
          <w:szCs w:val="19"/>
        </w:rPr>
        <w:t>1</w:t>
      </w:r>
      <w:r w:rsidR="001F2227" w:rsidRPr="00B643F0">
        <w:rPr>
          <w:rFonts w:eastAsia="Calibri" w:cs="Times New Roman"/>
          <w:szCs w:val="19"/>
        </w:rPr>
        <w:t>,</w:t>
      </w:r>
      <w:r w:rsidR="001F790B" w:rsidRPr="00B643F0">
        <w:rPr>
          <w:rFonts w:eastAsia="Calibri" w:cs="Times New Roman"/>
          <w:szCs w:val="19"/>
        </w:rPr>
        <w:t>8</w:t>
      </w:r>
      <w:r w:rsidRPr="00B643F0">
        <w:rPr>
          <w:rFonts w:eastAsia="Calibri" w:cs="Times New Roman"/>
          <w:szCs w:val="19"/>
        </w:rPr>
        <w:t>% ogółu spółek handlowych strefy (w kraju odsetek ten wyniósł 1</w:t>
      </w:r>
      <w:r w:rsidR="001F790B" w:rsidRPr="00B643F0">
        <w:rPr>
          <w:rFonts w:eastAsia="Calibri" w:cs="Times New Roman"/>
          <w:szCs w:val="19"/>
        </w:rPr>
        <w:t>2</w:t>
      </w:r>
      <w:r w:rsidRPr="00B643F0">
        <w:rPr>
          <w:rFonts w:eastAsia="Calibri" w:cs="Times New Roman"/>
          <w:szCs w:val="19"/>
        </w:rPr>
        <w:t>,</w:t>
      </w:r>
      <w:r w:rsidR="001F790B" w:rsidRPr="00B643F0">
        <w:rPr>
          <w:rFonts w:eastAsia="Calibri" w:cs="Times New Roman"/>
          <w:szCs w:val="19"/>
        </w:rPr>
        <w:t>6</w:t>
      </w:r>
      <w:r w:rsidRPr="00B643F0">
        <w:rPr>
          <w:rFonts w:eastAsia="Calibri" w:cs="Times New Roman"/>
          <w:szCs w:val="19"/>
        </w:rPr>
        <w:t>%). Ich liczba z</w:t>
      </w:r>
      <w:r w:rsidR="00B643F0" w:rsidRPr="00B643F0">
        <w:rPr>
          <w:rFonts w:eastAsia="Calibri" w:cs="Times New Roman"/>
          <w:szCs w:val="19"/>
        </w:rPr>
        <w:t>mn</w:t>
      </w:r>
      <w:r w:rsidRPr="00B643F0">
        <w:rPr>
          <w:rFonts w:eastAsia="Calibri" w:cs="Times New Roman"/>
          <w:szCs w:val="19"/>
        </w:rPr>
        <w:t>i</w:t>
      </w:r>
      <w:r w:rsidR="00B643F0" w:rsidRPr="00B643F0">
        <w:rPr>
          <w:rFonts w:eastAsia="Calibri" w:cs="Times New Roman"/>
          <w:szCs w:val="19"/>
        </w:rPr>
        <w:t>ej</w:t>
      </w:r>
      <w:r w:rsidRPr="00B643F0">
        <w:rPr>
          <w:rFonts w:eastAsia="Calibri" w:cs="Times New Roman"/>
          <w:szCs w:val="19"/>
        </w:rPr>
        <w:t>szyła się w</w:t>
      </w:r>
      <w:r w:rsidR="00CC3C2F" w:rsidRPr="00B643F0">
        <w:rPr>
          <w:rFonts w:eastAsia="Calibri" w:cs="Times New Roman"/>
          <w:szCs w:val="19"/>
        </w:rPr>
        <w:t> </w:t>
      </w:r>
      <w:r w:rsidRPr="00B643F0">
        <w:rPr>
          <w:rFonts w:eastAsia="Calibri" w:cs="Times New Roman"/>
          <w:szCs w:val="19"/>
        </w:rPr>
        <w:t xml:space="preserve">porównaniu z poprzednim rokiem o </w:t>
      </w:r>
      <w:r w:rsidR="00B643F0" w:rsidRPr="00B643F0">
        <w:rPr>
          <w:rFonts w:eastAsia="Calibri" w:cs="Times New Roman"/>
          <w:szCs w:val="19"/>
        </w:rPr>
        <w:t>140</w:t>
      </w:r>
      <w:r w:rsidRPr="00B643F0">
        <w:rPr>
          <w:rFonts w:eastAsia="Calibri" w:cs="Times New Roman"/>
          <w:szCs w:val="19"/>
        </w:rPr>
        <w:t xml:space="preserve"> jednostek, tj. o </w:t>
      </w:r>
      <w:r w:rsidR="00B643F0" w:rsidRPr="00B643F0">
        <w:rPr>
          <w:rFonts w:eastAsia="Calibri" w:cs="Times New Roman"/>
          <w:szCs w:val="19"/>
        </w:rPr>
        <w:t>1</w:t>
      </w:r>
      <w:r w:rsidR="006139B6" w:rsidRPr="00B643F0">
        <w:rPr>
          <w:rFonts w:eastAsia="Calibri" w:cs="Times New Roman"/>
          <w:szCs w:val="19"/>
        </w:rPr>
        <w:t>,</w:t>
      </w:r>
      <w:r w:rsidR="00B643F0" w:rsidRPr="00B643F0">
        <w:rPr>
          <w:rFonts w:eastAsia="Calibri" w:cs="Times New Roman"/>
          <w:szCs w:val="19"/>
        </w:rPr>
        <w:t>6</w:t>
      </w:r>
      <w:r w:rsidRPr="00B643F0">
        <w:rPr>
          <w:rFonts w:eastAsia="Calibri" w:cs="Times New Roman"/>
          <w:szCs w:val="19"/>
        </w:rPr>
        <w:t xml:space="preserve">% (w kraju </w:t>
      </w:r>
      <w:r w:rsidR="00B643F0" w:rsidRPr="00B643F0">
        <w:rPr>
          <w:rFonts w:eastAsia="Calibri" w:cs="Times New Roman"/>
          <w:szCs w:val="19"/>
        </w:rPr>
        <w:t>zwiększyła się</w:t>
      </w:r>
      <w:r w:rsidR="00B643F0" w:rsidRPr="00E44D00">
        <w:rPr>
          <w:rFonts w:eastAsia="Calibri" w:cs="Times New Roman"/>
          <w:szCs w:val="19"/>
        </w:rPr>
        <w:t xml:space="preserve"> </w:t>
      </w:r>
      <w:r w:rsidRPr="00E44D00">
        <w:rPr>
          <w:rFonts w:eastAsia="Calibri" w:cs="Times New Roman"/>
          <w:szCs w:val="19"/>
        </w:rPr>
        <w:t xml:space="preserve">o </w:t>
      </w:r>
      <w:r w:rsidR="00B643F0" w:rsidRPr="00E44D00">
        <w:rPr>
          <w:rFonts w:eastAsia="Calibri" w:cs="Times New Roman"/>
          <w:szCs w:val="19"/>
        </w:rPr>
        <w:t>1</w:t>
      </w:r>
      <w:r w:rsidR="006139B6" w:rsidRPr="00E44D00">
        <w:rPr>
          <w:rFonts w:eastAsia="Calibri" w:cs="Times New Roman"/>
          <w:szCs w:val="19"/>
        </w:rPr>
        <w:t>,</w:t>
      </w:r>
      <w:r w:rsidR="00B643F0" w:rsidRPr="00E44D00">
        <w:rPr>
          <w:rFonts w:eastAsia="Calibri" w:cs="Times New Roman"/>
          <w:szCs w:val="19"/>
        </w:rPr>
        <w:t>6</w:t>
      </w:r>
      <w:r w:rsidRPr="00E44D00">
        <w:rPr>
          <w:rFonts w:eastAsia="Calibri" w:cs="Times New Roman"/>
          <w:szCs w:val="19"/>
        </w:rPr>
        <w:t xml:space="preserve">%). W </w:t>
      </w:r>
      <w:r w:rsidR="001C1FD7" w:rsidRPr="00E44D00">
        <w:rPr>
          <w:rFonts w:eastAsia="Calibri" w:cs="Times New Roman"/>
          <w:szCs w:val="19"/>
        </w:rPr>
        <w:t>sześ</w:t>
      </w:r>
      <w:r w:rsidRPr="00E44D00">
        <w:rPr>
          <w:rFonts w:eastAsia="Calibri" w:cs="Times New Roman"/>
          <w:szCs w:val="19"/>
        </w:rPr>
        <w:t xml:space="preserve">ciu częściach strefy przygranicznej (analizowanych według krajów sąsiadujących) odnotowano </w:t>
      </w:r>
      <w:r w:rsidR="00190FB4" w:rsidRPr="00E44D00">
        <w:rPr>
          <w:rFonts w:eastAsia="Calibri" w:cs="Times New Roman"/>
          <w:szCs w:val="19"/>
        </w:rPr>
        <w:t>spadki</w:t>
      </w:r>
      <w:r w:rsidRPr="00E44D00">
        <w:rPr>
          <w:rFonts w:eastAsia="Calibri" w:cs="Times New Roman"/>
          <w:szCs w:val="19"/>
        </w:rPr>
        <w:t xml:space="preserve"> – największy przy granicy z </w:t>
      </w:r>
      <w:r w:rsidR="00E44D00" w:rsidRPr="00E44D00">
        <w:rPr>
          <w:rFonts w:eastAsia="Calibri" w:cs="Times New Roman"/>
          <w:szCs w:val="19"/>
        </w:rPr>
        <w:t>Ukrainą</w:t>
      </w:r>
      <w:r w:rsidRPr="00E44D00">
        <w:rPr>
          <w:rFonts w:eastAsia="Calibri" w:cs="Times New Roman"/>
          <w:szCs w:val="19"/>
        </w:rPr>
        <w:t xml:space="preserve"> (o </w:t>
      </w:r>
      <w:r w:rsidR="00E44D00" w:rsidRPr="00E44D00">
        <w:rPr>
          <w:rFonts w:eastAsia="Calibri" w:cs="Times New Roman"/>
          <w:szCs w:val="19"/>
        </w:rPr>
        <w:t>81</w:t>
      </w:r>
      <w:r w:rsidRPr="00E44D00">
        <w:rPr>
          <w:rFonts w:eastAsia="Calibri" w:cs="Times New Roman"/>
          <w:szCs w:val="19"/>
        </w:rPr>
        <w:t xml:space="preserve"> spółek)</w:t>
      </w:r>
      <w:r w:rsidR="00190FB4" w:rsidRPr="00E44D00">
        <w:rPr>
          <w:rFonts w:eastAsia="Calibri" w:cs="Times New Roman"/>
          <w:szCs w:val="19"/>
        </w:rPr>
        <w:t>. Jedynie przy granicy</w:t>
      </w:r>
      <w:r w:rsidR="000A40F5">
        <w:rPr>
          <w:rFonts w:eastAsia="Calibri" w:cs="Times New Roman"/>
          <w:szCs w:val="19"/>
        </w:rPr>
        <w:t xml:space="preserve"> </w:t>
      </w:r>
      <w:r w:rsidR="00190FB4" w:rsidRPr="00E44D00">
        <w:rPr>
          <w:rFonts w:eastAsia="Calibri" w:cs="Times New Roman"/>
          <w:szCs w:val="19"/>
        </w:rPr>
        <w:t>z</w:t>
      </w:r>
      <w:r w:rsidR="000A40F5">
        <w:rPr>
          <w:rFonts w:eastAsia="Calibri" w:cs="Times New Roman"/>
          <w:szCs w:val="19"/>
        </w:rPr>
        <w:t xml:space="preserve"> </w:t>
      </w:r>
      <w:r w:rsidR="00190FB4" w:rsidRPr="00933A0A">
        <w:rPr>
          <w:rFonts w:eastAsia="Calibri" w:cs="Times New Roman"/>
          <w:szCs w:val="19"/>
        </w:rPr>
        <w:t xml:space="preserve">Białorusią </w:t>
      </w:r>
      <w:r w:rsidRPr="00933A0A">
        <w:rPr>
          <w:rFonts w:eastAsia="Calibri" w:cs="Times New Roman"/>
          <w:szCs w:val="19"/>
        </w:rPr>
        <w:lastRenderedPageBreak/>
        <w:t>liczba spółek z</w:t>
      </w:r>
      <w:r w:rsidR="00190FB4" w:rsidRPr="00933A0A">
        <w:rPr>
          <w:rFonts w:eastAsia="Calibri" w:cs="Times New Roman"/>
          <w:szCs w:val="19"/>
        </w:rPr>
        <w:t xml:space="preserve"> </w:t>
      </w:r>
      <w:r w:rsidRPr="00933A0A">
        <w:rPr>
          <w:rFonts w:eastAsia="Calibri" w:cs="Times New Roman"/>
          <w:szCs w:val="19"/>
        </w:rPr>
        <w:t>udziałem kapitału zagranicznego</w:t>
      </w:r>
      <w:r w:rsidR="00190FB4" w:rsidRPr="00933A0A">
        <w:rPr>
          <w:rFonts w:eastAsia="Calibri" w:cs="Times New Roman"/>
          <w:szCs w:val="19"/>
        </w:rPr>
        <w:t xml:space="preserve"> zwięk</w:t>
      </w:r>
      <w:r w:rsidRPr="00933A0A">
        <w:rPr>
          <w:rFonts w:eastAsia="Calibri" w:cs="Times New Roman"/>
          <w:szCs w:val="19"/>
        </w:rPr>
        <w:t xml:space="preserve">szyła się </w:t>
      </w:r>
      <w:r w:rsidR="00190FB4" w:rsidRPr="00933A0A">
        <w:rPr>
          <w:rFonts w:eastAsia="Calibri" w:cs="Times New Roman"/>
          <w:szCs w:val="19"/>
        </w:rPr>
        <w:t xml:space="preserve">o </w:t>
      </w:r>
      <w:r w:rsidR="00E44D00" w:rsidRPr="00933A0A">
        <w:rPr>
          <w:rFonts w:eastAsia="Calibri" w:cs="Times New Roman"/>
          <w:szCs w:val="19"/>
        </w:rPr>
        <w:t>10</w:t>
      </w:r>
      <w:r w:rsidR="00190FB4" w:rsidRPr="00933A0A">
        <w:rPr>
          <w:rFonts w:eastAsia="Calibri" w:cs="Times New Roman"/>
          <w:szCs w:val="19"/>
        </w:rPr>
        <w:t xml:space="preserve"> jednost</w:t>
      </w:r>
      <w:r w:rsidR="00E44D00" w:rsidRPr="00933A0A">
        <w:rPr>
          <w:rFonts w:eastAsia="Calibri" w:cs="Times New Roman"/>
          <w:szCs w:val="19"/>
        </w:rPr>
        <w:t>ek</w:t>
      </w:r>
      <w:r w:rsidR="00190FB4" w:rsidRPr="00933A0A">
        <w:rPr>
          <w:rFonts w:eastAsia="Calibri" w:cs="Times New Roman"/>
          <w:szCs w:val="19"/>
        </w:rPr>
        <w:t xml:space="preserve"> w</w:t>
      </w:r>
      <w:r w:rsidR="00A0296D" w:rsidRPr="00933A0A">
        <w:rPr>
          <w:rFonts w:eastAsia="Calibri" w:cs="Times New Roman"/>
          <w:szCs w:val="19"/>
        </w:rPr>
        <w:t> </w:t>
      </w:r>
      <w:r w:rsidR="00190FB4" w:rsidRPr="00933A0A">
        <w:rPr>
          <w:rFonts w:eastAsia="Calibri" w:cs="Times New Roman"/>
          <w:szCs w:val="19"/>
        </w:rPr>
        <w:t>porównaniu z 202</w:t>
      </w:r>
      <w:r w:rsidR="007C242A" w:rsidRPr="00933A0A">
        <w:rPr>
          <w:rFonts w:eastAsia="Calibri" w:cs="Times New Roman"/>
          <w:szCs w:val="19"/>
        </w:rPr>
        <w:t>4</w:t>
      </w:r>
      <w:r w:rsidR="00190FB4" w:rsidRPr="00933A0A">
        <w:rPr>
          <w:rFonts w:eastAsia="Calibri" w:cs="Times New Roman"/>
          <w:szCs w:val="19"/>
        </w:rPr>
        <w:t xml:space="preserve"> r</w:t>
      </w:r>
      <w:r w:rsidRPr="00933A0A">
        <w:rPr>
          <w:rFonts w:eastAsia="Calibri" w:cs="Times New Roman"/>
          <w:szCs w:val="19"/>
        </w:rPr>
        <w:t>.</w:t>
      </w:r>
    </w:p>
    <w:p w14:paraId="79D210EE" w14:textId="0CF89799" w:rsidR="00FD2286" w:rsidRPr="007E36A0" w:rsidRDefault="003D53CF" w:rsidP="00714F88">
      <w:pPr>
        <w:spacing w:before="0" w:after="0" w:line="288" w:lineRule="auto"/>
        <w:rPr>
          <w:rFonts w:eastAsia="Calibri" w:cs="Times New Roman"/>
          <w:szCs w:val="19"/>
        </w:rPr>
      </w:pPr>
      <w:r w:rsidRPr="007E36A0">
        <w:rPr>
          <w:spacing w:val="-2"/>
        </w:rPr>
        <w:t>Analizu</w:t>
      </w:r>
      <w:r w:rsidR="00BD7280" w:rsidRPr="007E36A0">
        <w:rPr>
          <w:spacing w:val="-2"/>
        </w:rPr>
        <w:t>jąc liczbę wpisanych w rejestrze REGON spółek z udziałem kapitału zagranicznego, według 12 województw</w:t>
      </w:r>
      <w:r w:rsidR="002A35BF" w:rsidRPr="007E36A0">
        <w:rPr>
          <w:spacing w:val="-2"/>
        </w:rPr>
        <w:t>,</w:t>
      </w:r>
      <w:r w:rsidR="00BD7280" w:rsidRPr="007E36A0">
        <w:rPr>
          <w:spacing w:val="-2"/>
        </w:rPr>
        <w:t xml:space="preserve"> na obszarze których znajduje się strefa przygraniczna, można zauważyć</w:t>
      </w:r>
      <w:r w:rsidR="00BD7280" w:rsidRPr="007E36A0">
        <w:t>,</w:t>
      </w:r>
      <w:r w:rsidR="000A40F5">
        <w:t xml:space="preserve"> </w:t>
      </w:r>
      <w:r w:rsidR="00BD7280" w:rsidRPr="007E36A0">
        <w:t xml:space="preserve">że w </w:t>
      </w:r>
      <w:r w:rsidR="007E36A0" w:rsidRPr="007E36A0">
        <w:t>2</w:t>
      </w:r>
      <w:r w:rsidR="00BD7280" w:rsidRPr="007E36A0">
        <w:t xml:space="preserve"> z nich liczba podmiotów zlokalizowanych w strefie przygranicznej była większa niż w</w:t>
      </w:r>
      <w:r w:rsidR="007D263B" w:rsidRPr="007E36A0">
        <w:t> </w:t>
      </w:r>
      <w:r w:rsidR="00BD7280" w:rsidRPr="007E36A0">
        <w:t>202</w:t>
      </w:r>
      <w:r w:rsidR="007C242A" w:rsidRPr="007E36A0">
        <w:t>4</w:t>
      </w:r>
      <w:r w:rsidR="007D263B" w:rsidRPr="007E36A0">
        <w:t> </w:t>
      </w:r>
      <w:r w:rsidR="00BD7280" w:rsidRPr="007E36A0">
        <w:t>r</w:t>
      </w:r>
      <w:r w:rsidR="00114DB4" w:rsidRPr="007E36A0">
        <w:t>.</w:t>
      </w:r>
      <w:r w:rsidR="00BD7280" w:rsidRPr="007E36A0">
        <w:t xml:space="preserve"> (największy wzrost odnotowano w strefie województwa podlaskiego</w:t>
      </w:r>
      <w:r w:rsidR="002A35BF" w:rsidRPr="007E36A0">
        <w:t xml:space="preserve"> – </w:t>
      </w:r>
      <w:r w:rsidR="00BD7280" w:rsidRPr="007E36A0">
        <w:t xml:space="preserve">o </w:t>
      </w:r>
      <w:r w:rsidR="007E36A0" w:rsidRPr="007E36A0">
        <w:t>22</w:t>
      </w:r>
      <w:r w:rsidR="00BD7280" w:rsidRPr="007E36A0">
        <w:t xml:space="preserve"> jednos</w:t>
      </w:r>
      <w:r w:rsidR="002A7EB8" w:rsidRPr="007E36A0">
        <w:t>tk</w:t>
      </w:r>
      <w:r w:rsidR="007E36A0" w:rsidRPr="007E36A0">
        <w:t>i</w:t>
      </w:r>
      <w:r w:rsidR="00BD7280" w:rsidRPr="007E36A0">
        <w:t>). Na obszarze przygranicznym województw</w:t>
      </w:r>
      <w:r w:rsidR="007E36A0" w:rsidRPr="007E36A0">
        <w:t>a</w:t>
      </w:r>
      <w:r w:rsidR="00BD7280" w:rsidRPr="007E36A0">
        <w:t xml:space="preserve"> pomorskiego liczba działających spółek z</w:t>
      </w:r>
      <w:r w:rsidR="007E36A0" w:rsidRPr="007E36A0">
        <w:t> </w:t>
      </w:r>
      <w:r w:rsidR="00BD7280" w:rsidRPr="007E36A0">
        <w:t xml:space="preserve">kapitałem zagranicznym nie uległa zmianie </w:t>
      </w:r>
      <w:r w:rsidR="007E36A0" w:rsidRPr="007E36A0">
        <w:t xml:space="preserve">i wyniosła </w:t>
      </w:r>
      <w:r w:rsidR="00BD7280" w:rsidRPr="007E36A0">
        <w:t xml:space="preserve">10 jednostek, </w:t>
      </w:r>
      <w:r w:rsidR="00BD7280" w:rsidRPr="007E36A0">
        <w:rPr>
          <w:spacing w:val="-2"/>
        </w:rPr>
        <w:t>a</w:t>
      </w:r>
      <w:r w:rsidR="00CC3C2F" w:rsidRPr="007E36A0">
        <w:rPr>
          <w:spacing w:val="-2"/>
        </w:rPr>
        <w:t> </w:t>
      </w:r>
      <w:r w:rsidR="00BD7280" w:rsidRPr="007E36A0">
        <w:rPr>
          <w:spacing w:val="-2"/>
        </w:rPr>
        <w:t>w</w:t>
      </w:r>
      <w:r w:rsidR="005A53AA" w:rsidRPr="007E36A0">
        <w:rPr>
          <w:spacing w:val="-2"/>
        </w:rPr>
        <w:t> </w:t>
      </w:r>
      <w:r w:rsidR="007E36A0" w:rsidRPr="007E36A0">
        <w:rPr>
          <w:spacing w:val="-2"/>
        </w:rPr>
        <w:t>9</w:t>
      </w:r>
      <w:r w:rsidR="00567FC9" w:rsidRPr="007E36A0">
        <w:rPr>
          <w:spacing w:val="-2"/>
        </w:rPr>
        <w:t> </w:t>
      </w:r>
      <w:r w:rsidR="00BD7280" w:rsidRPr="007E36A0">
        <w:rPr>
          <w:spacing w:val="-2"/>
        </w:rPr>
        <w:t>województwach</w:t>
      </w:r>
      <w:r w:rsidR="00BD7280" w:rsidRPr="007E36A0">
        <w:t xml:space="preserve"> ich liczba zmniejszyła się (największy spadek wystąpił w strefie przygranicznej województwa </w:t>
      </w:r>
      <w:r w:rsidR="007E36A0" w:rsidRPr="007E36A0">
        <w:t>podkarpackiego</w:t>
      </w:r>
      <w:r w:rsidR="00BD7280" w:rsidRPr="007E36A0">
        <w:t xml:space="preserve"> – o </w:t>
      </w:r>
      <w:r w:rsidR="007E36A0" w:rsidRPr="007E36A0">
        <w:t>81</w:t>
      </w:r>
      <w:r w:rsidR="00BD7280" w:rsidRPr="007E36A0">
        <w:t xml:space="preserve"> jednostek).</w:t>
      </w:r>
    </w:p>
    <w:p w14:paraId="0310280E" w14:textId="5AA125A1" w:rsidR="00370628" w:rsidRPr="00BD38D1" w:rsidRDefault="00370628" w:rsidP="00A7731D">
      <w:pPr>
        <w:pStyle w:val="LID"/>
        <w:rPr>
          <w:shd w:val="clear" w:color="auto" w:fill="FFFFFF"/>
        </w:rPr>
      </w:pPr>
      <w:r w:rsidRPr="00BD38D1">
        <w:t>Mapa 2.</w:t>
      </w:r>
      <w:r w:rsidRPr="00BD38D1">
        <w:rPr>
          <w:shd w:val="clear" w:color="auto" w:fill="FFFFFF"/>
        </w:rPr>
        <w:t xml:space="preserve"> Spółki z udziałem kapitału zagranicznego w 20</w:t>
      </w:r>
      <w:r w:rsidR="00392A0B" w:rsidRPr="00BD38D1">
        <w:rPr>
          <w:shd w:val="clear" w:color="auto" w:fill="FFFFFF"/>
        </w:rPr>
        <w:t>2</w:t>
      </w:r>
      <w:r w:rsidR="00417A8A" w:rsidRPr="00BD38D1">
        <w:rPr>
          <w:shd w:val="clear" w:color="auto" w:fill="FFFFFF"/>
        </w:rPr>
        <w:t>5</w:t>
      </w:r>
      <w:r w:rsidR="003B4809" w:rsidRPr="00BD38D1">
        <w:rPr>
          <w:shd w:val="clear" w:color="auto" w:fill="FFFFFF"/>
        </w:rPr>
        <w:t xml:space="preserve"> r</w:t>
      </w:r>
      <w:r w:rsidR="002F45F6" w:rsidRPr="00BD38D1">
        <w:rPr>
          <w:shd w:val="clear" w:color="auto" w:fill="FFFFFF"/>
        </w:rPr>
        <w:t>.</w:t>
      </w:r>
    </w:p>
    <w:p w14:paraId="07CDCF2E" w14:textId="04EE0173" w:rsidR="004E08D0" w:rsidRDefault="00A85CA6" w:rsidP="00DC2DC6">
      <w:pPr>
        <w:spacing w:after="0" w:line="240" w:lineRule="auto"/>
        <w:jc w:val="center"/>
        <w:rPr>
          <w:sz w:val="18"/>
        </w:rPr>
      </w:pPr>
      <w:r>
        <w:rPr>
          <w:noProof/>
          <w:sz w:val="18"/>
        </w:rPr>
        <w:drawing>
          <wp:inline distT="0" distB="0" distL="0" distR="0" wp14:anchorId="39BA3ED7" wp14:editId="25A24E14">
            <wp:extent cx="5165635" cy="3600000"/>
            <wp:effectExtent l="0" t="0" r="0" b="635"/>
            <wp:docPr id="25" name="Obraz 25" descr="Mapa 2. Spółki z udziałem kapitału zagranicznego na 10 tysięcy ludności w 2025 roku dla województw przy granicy Polski ogółem, dla strefy przygranicznej w tych województwach oraz dla powiatów w strefie przygranicznej.&#10;Dane do mapy dostępne są w załączonym pliku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Mapa 2. Spółki z udziałem kapitału zagranicznego na 10 tysięcy ludności w 2025 roku dla województw przy granicy Polski ogółem, dla strefy przygranicznej w tych województwach oraz dla powiatów w strefie przygranicznej.&#10;Dane do mapy dostępne są w załączonym pliku Exce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5635" cy="3600000"/>
                    </a:xfrm>
                    <a:prstGeom prst="rect">
                      <a:avLst/>
                    </a:prstGeom>
                  </pic:spPr>
                </pic:pic>
              </a:graphicData>
            </a:graphic>
          </wp:inline>
        </w:drawing>
      </w:r>
    </w:p>
    <w:p w14:paraId="52242A98" w14:textId="2CFD1E4A" w:rsidR="00212DDE" w:rsidRPr="00AA1552" w:rsidRDefault="00BD6074" w:rsidP="00BD38D1">
      <w:pPr>
        <w:pStyle w:val="Nagwek1"/>
        <w:rPr>
          <w:rFonts w:eastAsia="Myriad Pro"/>
          <w:lang w:bidi="pl-PL"/>
        </w:rPr>
      </w:pPr>
      <w:r w:rsidRPr="009324CB">
        <w:rPr>
          <w:b/>
          <w:noProof/>
          <w:spacing w:val="-2"/>
        </w:rPr>
        <mc:AlternateContent>
          <mc:Choice Requires="wps">
            <w:drawing>
              <wp:anchor distT="45720" distB="45720" distL="114300" distR="114300" simplePos="0" relativeHeight="251746304" behindDoc="1" locked="0" layoutInCell="1" allowOverlap="1" wp14:anchorId="6FC712A6" wp14:editId="0A99909E">
                <wp:simplePos x="0" y="0"/>
                <wp:positionH relativeFrom="page">
                  <wp:posOffset>5673725</wp:posOffset>
                </wp:positionH>
                <wp:positionV relativeFrom="paragraph">
                  <wp:posOffset>383210</wp:posOffset>
                </wp:positionV>
                <wp:extent cx="1736090" cy="1145540"/>
                <wp:effectExtent l="0" t="0" r="0" b="0"/>
                <wp:wrapTight wrapText="bothSides">
                  <wp:wrapPolygon edited="0">
                    <wp:start x="711" y="0"/>
                    <wp:lineTo x="711" y="21193"/>
                    <wp:lineTo x="20857" y="21193"/>
                    <wp:lineTo x="20857" y="0"/>
                    <wp:lineTo x="711" y="0"/>
                  </wp:wrapPolygon>
                </wp:wrapTight>
                <wp:docPr id="14" name="Pole tekstowe 14" descr="Handel; naprawa pojazdów samochodowych to dominująca działalność na obszarach przygranicznych (18,4% z ogółu podmiotów w strefie) i w Polsce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145540"/>
                        </a:xfrm>
                        <a:prstGeom prst="rect">
                          <a:avLst/>
                        </a:prstGeom>
                        <a:noFill/>
                        <a:ln w="9525">
                          <a:noFill/>
                          <a:miter lim="800000"/>
                          <a:headEnd/>
                          <a:tailEnd/>
                        </a:ln>
                      </wps:spPr>
                      <wps:txbx>
                        <w:txbxContent>
                          <w:p w14:paraId="263CC8DA" w14:textId="095D269A" w:rsidR="008312AF" w:rsidRPr="00401CD7" w:rsidRDefault="00401CD7" w:rsidP="00BD6074">
                            <w:pPr>
                              <w:pStyle w:val="tekstzboku"/>
                              <w:spacing w:before="0"/>
                              <w:rPr>
                                <w:shd w:val="clear" w:color="auto" w:fill="FFFFFF"/>
                              </w:rPr>
                            </w:pPr>
                            <w:r w:rsidRPr="00401CD7">
                              <w:rPr>
                                <w:rFonts w:cs="Arial"/>
                                <w:szCs w:val="19"/>
                              </w:rPr>
                              <w:t xml:space="preserve">Handel; naprawa pojazdów samochodowych to dominująca działalność na </w:t>
                            </w:r>
                            <w:proofErr w:type="spellStart"/>
                            <w:r w:rsidRPr="00401CD7">
                              <w:rPr>
                                <w:rFonts w:cs="Arial"/>
                                <w:szCs w:val="19"/>
                              </w:rPr>
                              <w:t>obsza-rach</w:t>
                            </w:r>
                            <w:proofErr w:type="spellEnd"/>
                            <w:r w:rsidRPr="00401CD7">
                              <w:rPr>
                                <w:rFonts w:cs="Arial"/>
                                <w:szCs w:val="19"/>
                              </w:rPr>
                              <w:t xml:space="preserve"> przygranicznych</w:t>
                            </w:r>
                            <w:r w:rsidR="000277D5" w:rsidRPr="00401CD7">
                              <w:rPr>
                                <w:rFonts w:cs="Arial"/>
                                <w:szCs w:val="19"/>
                              </w:rPr>
                              <w:t xml:space="preserve"> </w:t>
                            </w:r>
                            <w:r w:rsidRPr="00401CD7">
                              <w:rPr>
                                <w:rFonts w:cs="Arial"/>
                                <w:szCs w:val="19"/>
                              </w:rPr>
                              <w:t>(</w:t>
                            </w:r>
                            <w:r w:rsidR="000277D5">
                              <w:rPr>
                                <w:rFonts w:cs="Arial"/>
                                <w:szCs w:val="19"/>
                              </w:rPr>
                              <w:t>1</w:t>
                            </w:r>
                            <w:r w:rsidR="007C17EC">
                              <w:rPr>
                                <w:rFonts w:cs="Arial"/>
                                <w:szCs w:val="19"/>
                              </w:rPr>
                              <w:t>8</w:t>
                            </w:r>
                            <w:r w:rsidRPr="00401CD7">
                              <w:rPr>
                                <w:rFonts w:cs="Arial"/>
                                <w:szCs w:val="19"/>
                              </w:rPr>
                              <w:t>,</w:t>
                            </w:r>
                            <w:r w:rsidR="007C17EC">
                              <w:rPr>
                                <w:rFonts w:cs="Arial"/>
                                <w:szCs w:val="19"/>
                              </w:rPr>
                              <w:t>4</w:t>
                            </w:r>
                            <w:r w:rsidRPr="00401CD7">
                              <w:rPr>
                                <w:rFonts w:cs="Arial"/>
                                <w:szCs w:val="19"/>
                              </w:rPr>
                              <w:t>% z ogółu podmiotów w strefie</w:t>
                            </w:r>
                            <w:r w:rsidR="007C17EC">
                              <w:rPr>
                                <w:rFonts w:cs="Arial"/>
                                <w:szCs w:val="19"/>
                              </w:rPr>
                              <w:t>) i w Polsce</w:t>
                            </w:r>
                            <w:r w:rsidR="000277D5">
                              <w:rPr>
                                <w:rFonts w:cs="Arial"/>
                                <w:szCs w:val="19"/>
                              </w:rPr>
                              <w:t xml:space="preserve"> </w:t>
                            </w:r>
                            <w:r w:rsidR="007C17EC">
                              <w:rPr>
                                <w:rFonts w:cs="Arial"/>
                                <w:szCs w:val="19"/>
                              </w:rPr>
                              <w:t>(18,2%)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712A6" id="Pole tekstowe 14" o:spid="_x0000_s1031" type="#_x0000_t202" alt="Handel; naprawa pojazdów samochodowych to dominująca działalność na obszarach przygranicznych (18,4% z ogółu podmiotów w strefie) i w Polsce (18,2%)" style="position:absolute;margin-left:446.75pt;margin-top:30.15pt;width:136.7pt;height:90.2pt;z-index:-251570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zV/QEAANUDAAAOAAAAZHJzL2Uyb0RvYy54bWysU9tu2zAMfR+wfxD0vtjO4rYxohRduw4D&#10;ugvQ7gMUWY6FSaImKbGzrx8lp2mwvRXzg0Ca4iHPIbW6Ho0me+mDAstoNSspkVZAq+yW0R9P9++u&#10;KAmR25ZrsJLRgwz0ev32zWpwjZxDD7qVniCIDc3gGO1jdE1RBNFLw8MMnLQY7MAbHtH126L1fEB0&#10;o4t5WV4UA/jWeRAyBPx7NwXpOuN3nRTxW9cFGYlmFHuL+fT53KSzWK94s/Xc9Uoc2+Cv6MJwZbHo&#10;CeqOR052Xv0DZZTwEKCLMwGmgK5TQmYOyKYq/2Lz2HMnMxcUJ7iTTOH/wYqv+0f33ZM4foARB5hJ&#10;BPcA4mcgFm57brfyxnsYeslbLFwlyYrBheaYmqQOTUggm+ELtDhkvouQgcbOm6QK8iSIjgM4nESX&#10;YyQilbx8f1EuMSQwVlWLul7ksRS8eU53PsRPEgxJBqMep5rh+f4hxNQOb56vpGoW7pXWebLakoHR&#10;ZT2vc8JZxKiIi6eVYfSqTN+0ConlR9vm5MiVnmwsoO2RdmI6cY7jZiSqZbROuUmFDbQH1MHDtGf4&#10;LtDowf+mZMAdYzT82nEvKdGfLWq5rBbIlcTsLOrLOTr+PLI5j3ArEIrRSMlk3sa8yBPlG9S8U1mN&#10;l06OLePuZJGOe56W89zPt15e4/oPAAAA//8DAFBLAwQUAAYACAAAACEA37mnEt8AAAALAQAADwAA&#10;AGRycy9kb3ducmV2LnhtbEyPy07DMBBF90j9B2uQ2FG7r9CETCoEYguiLUjs3HiaRI3HUew24e9x&#10;V7Ac3aN7z+Sb0bbiQr1vHCPMpgoEcelMwxXCfvd6vwbhg2ajW8eE8EMeNsXkJteZcQN/0GUbKhFL&#10;2GcaoQ6hy6T0ZU1W+6nriGN2dL3VIZ59JU2vh1huWzlXKpFWNxwXat3Rc03laXu2CJ9vx++vpXqv&#10;XuyqG9yoJNtUIt7djk+PIAKN4Q+Gq35UhyI6HdyZjRctwjpdrCKKkKgFiCswS5IUxAFhvlQPIItc&#10;/v+h+AUAAP//AwBQSwECLQAUAAYACAAAACEAtoM4kv4AAADhAQAAEwAAAAAAAAAAAAAAAAAAAAAA&#10;W0NvbnRlbnRfVHlwZXNdLnhtbFBLAQItABQABgAIAAAAIQA4/SH/1gAAAJQBAAALAAAAAAAAAAAA&#10;AAAAAC8BAABfcmVscy8ucmVsc1BLAQItABQABgAIAAAAIQBNFhzV/QEAANUDAAAOAAAAAAAAAAAA&#10;AAAAAC4CAABkcnMvZTJvRG9jLnhtbFBLAQItABQABgAIAAAAIQDfuacS3wAAAAsBAAAPAAAAAAAA&#10;AAAAAAAAAFcEAABkcnMvZG93bnJldi54bWxQSwUGAAAAAAQABADzAAAAYwUAAAAA&#10;" filled="f" stroked="f">
                <v:textbox>
                  <w:txbxContent>
                    <w:p w14:paraId="263CC8DA" w14:textId="095D269A" w:rsidR="008312AF" w:rsidRPr="00401CD7" w:rsidRDefault="00401CD7" w:rsidP="00BD6074">
                      <w:pPr>
                        <w:pStyle w:val="tekstzboku"/>
                        <w:spacing w:before="0"/>
                        <w:rPr>
                          <w:shd w:val="clear" w:color="auto" w:fill="FFFFFF"/>
                        </w:rPr>
                      </w:pPr>
                      <w:r w:rsidRPr="00401CD7">
                        <w:rPr>
                          <w:rFonts w:cs="Arial"/>
                          <w:szCs w:val="19"/>
                        </w:rPr>
                        <w:t xml:space="preserve">Handel; naprawa pojazdów samochodowych to dominująca działalność na </w:t>
                      </w:r>
                      <w:proofErr w:type="spellStart"/>
                      <w:r w:rsidRPr="00401CD7">
                        <w:rPr>
                          <w:rFonts w:cs="Arial"/>
                          <w:szCs w:val="19"/>
                        </w:rPr>
                        <w:t>obsza-rach</w:t>
                      </w:r>
                      <w:proofErr w:type="spellEnd"/>
                      <w:r w:rsidRPr="00401CD7">
                        <w:rPr>
                          <w:rFonts w:cs="Arial"/>
                          <w:szCs w:val="19"/>
                        </w:rPr>
                        <w:t xml:space="preserve"> przygranicznych</w:t>
                      </w:r>
                      <w:r w:rsidR="000277D5" w:rsidRPr="00401CD7">
                        <w:rPr>
                          <w:rFonts w:cs="Arial"/>
                          <w:szCs w:val="19"/>
                        </w:rPr>
                        <w:t xml:space="preserve"> </w:t>
                      </w:r>
                      <w:r w:rsidRPr="00401CD7">
                        <w:rPr>
                          <w:rFonts w:cs="Arial"/>
                          <w:szCs w:val="19"/>
                        </w:rPr>
                        <w:t>(</w:t>
                      </w:r>
                      <w:r w:rsidR="000277D5">
                        <w:rPr>
                          <w:rFonts w:cs="Arial"/>
                          <w:szCs w:val="19"/>
                        </w:rPr>
                        <w:t>1</w:t>
                      </w:r>
                      <w:r w:rsidR="007C17EC">
                        <w:rPr>
                          <w:rFonts w:cs="Arial"/>
                          <w:szCs w:val="19"/>
                        </w:rPr>
                        <w:t>8</w:t>
                      </w:r>
                      <w:r w:rsidRPr="00401CD7">
                        <w:rPr>
                          <w:rFonts w:cs="Arial"/>
                          <w:szCs w:val="19"/>
                        </w:rPr>
                        <w:t>,</w:t>
                      </w:r>
                      <w:r w:rsidR="007C17EC">
                        <w:rPr>
                          <w:rFonts w:cs="Arial"/>
                          <w:szCs w:val="19"/>
                        </w:rPr>
                        <w:t>4</w:t>
                      </w:r>
                      <w:r w:rsidRPr="00401CD7">
                        <w:rPr>
                          <w:rFonts w:cs="Arial"/>
                          <w:szCs w:val="19"/>
                        </w:rPr>
                        <w:t>% z ogółu podmiotów w strefie</w:t>
                      </w:r>
                      <w:r w:rsidR="007C17EC">
                        <w:rPr>
                          <w:rFonts w:cs="Arial"/>
                          <w:szCs w:val="19"/>
                        </w:rPr>
                        <w:t>) i w Polsce</w:t>
                      </w:r>
                      <w:r w:rsidR="000277D5">
                        <w:rPr>
                          <w:rFonts w:cs="Arial"/>
                          <w:szCs w:val="19"/>
                        </w:rPr>
                        <w:t xml:space="preserve"> </w:t>
                      </w:r>
                      <w:r w:rsidR="007C17EC">
                        <w:rPr>
                          <w:rFonts w:cs="Arial"/>
                          <w:szCs w:val="19"/>
                        </w:rPr>
                        <w:t>(18,2%)</w:t>
                      </w:r>
                    </w:p>
                  </w:txbxContent>
                </v:textbox>
                <w10:wrap type="tight" anchorx="page"/>
              </v:shape>
            </w:pict>
          </mc:Fallback>
        </mc:AlternateContent>
      </w:r>
      <w:r w:rsidR="00212DDE" w:rsidRPr="009324CB">
        <w:rPr>
          <w:rFonts w:eastAsia="Myriad Pro"/>
          <w:lang w:bidi="pl-PL"/>
        </w:rPr>
        <w:t>Podmioty gospodarki narodowej według rodzaju prowadzonej działalności</w:t>
      </w:r>
      <w:r w:rsidR="0098230C" w:rsidRPr="009324CB">
        <w:rPr>
          <w:rFonts w:eastAsia="Myriad Pro"/>
          <w:lang w:bidi="pl-PL"/>
        </w:rPr>
        <w:t xml:space="preserve"> gospodarczej</w:t>
      </w:r>
    </w:p>
    <w:p w14:paraId="48B7C2B5" w14:textId="11A256D3" w:rsidR="00401CD7" w:rsidRPr="00933A0A" w:rsidRDefault="00401CD7" w:rsidP="00714F88">
      <w:pPr>
        <w:spacing w:line="288" w:lineRule="auto"/>
        <w:rPr>
          <w:rFonts w:cs="Arial"/>
          <w:spacing w:val="-2"/>
          <w:szCs w:val="19"/>
        </w:rPr>
      </w:pPr>
      <w:r w:rsidRPr="00710102">
        <w:rPr>
          <w:rFonts w:cs="Arial"/>
          <w:spacing w:val="-2"/>
          <w:szCs w:val="19"/>
        </w:rPr>
        <w:t xml:space="preserve">Wśród podmiotów gospodarki narodowej wpisanych do rejestru REGON i prowadzących działalność na terenie strefy przygranicznej Polski znaczny odsetek </w:t>
      </w:r>
      <w:r w:rsidR="00BF7CBC" w:rsidRPr="00710102">
        <w:rPr>
          <w:rFonts w:cs="Arial"/>
          <w:spacing w:val="-2"/>
          <w:szCs w:val="19"/>
        </w:rPr>
        <w:t>s</w:t>
      </w:r>
      <w:r w:rsidRPr="00710102">
        <w:rPr>
          <w:rFonts w:cs="Arial"/>
          <w:spacing w:val="-2"/>
          <w:szCs w:val="19"/>
        </w:rPr>
        <w:t>tanowiły podmioty gospodarki narodowej należące do sekcji</w:t>
      </w:r>
      <w:r w:rsidRPr="00710102">
        <w:rPr>
          <w:rFonts w:cs="Arial"/>
          <w:spacing w:val="-2"/>
          <w:szCs w:val="19"/>
          <w:vertAlign w:val="superscript"/>
        </w:rPr>
        <w:t> </w:t>
      </w:r>
      <w:r w:rsidRPr="00710102">
        <w:rPr>
          <w:rStyle w:val="Odwoanieprzypisudolnego"/>
          <w:rFonts w:cs="Arial"/>
          <w:spacing w:val="-2"/>
          <w:szCs w:val="19"/>
        </w:rPr>
        <w:footnoteReference w:id="2"/>
      </w:r>
      <w:r w:rsidRPr="00710102">
        <w:rPr>
          <w:rFonts w:cs="Arial"/>
          <w:spacing w:val="-2"/>
          <w:szCs w:val="19"/>
        </w:rPr>
        <w:t xml:space="preserve">: handel; naprawa pojazdów samochodowych – </w:t>
      </w:r>
      <w:r w:rsidR="005328B3" w:rsidRPr="00710102">
        <w:rPr>
          <w:rFonts w:cs="Arial"/>
          <w:spacing w:val="-2"/>
          <w:szCs w:val="19"/>
        </w:rPr>
        <w:t>1</w:t>
      </w:r>
      <w:r w:rsidR="00710102" w:rsidRPr="00710102">
        <w:rPr>
          <w:rFonts w:cs="Arial"/>
          <w:spacing w:val="-2"/>
          <w:szCs w:val="19"/>
        </w:rPr>
        <w:t>8</w:t>
      </w:r>
      <w:r w:rsidRPr="00710102">
        <w:rPr>
          <w:rFonts w:cs="Arial"/>
          <w:spacing w:val="-2"/>
          <w:szCs w:val="19"/>
        </w:rPr>
        <w:t>,</w:t>
      </w:r>
      <w:r w:rsidR="00710102" w:rsidRPr="00710102">
        <w:rPr>
          <w:rFonts w:cs="Arial"/>
          <w:spacing w:val="-2"/>
          <w:szCs w:val="19"/>
        </w:rPr>
        <w:t>4</w:t>
      </w:r>
      <w:r w:rsidRPr="00710102">
        <w:rPr>
          <w:rFonts w:cs="Arial"/>
          <w:spacing w:val="-2"/>
          <w:szCs w:val="19"/>
        </w:rPr>
        <w:t xml:space="preserve">% (w kraju </w:t>
      </w:r>
      <w:r w:rsidR="000277D5" w:rsidRPr="00710102">
        <w:rPr>
          <w:rFonts w:cs="Arial"/>
          <w:spacing w:val="-2"/>
          <w:szCs w:val="19"/>
        </w:rPr>
        <w:t>1</w:t>
      </w:r>
      <w:r w:rsidR="00710102" w:rsidRPr="00710102">
        <w:rPr>
          <w:rFonts w:cs="Arial"/>
          <w:spacing w:val="-2"/>
          <w:szCs w:val="19"/>
        </w:rPr>
        <w:t>8</w:t>
      </w:r>
      <w:r w:rsidR="000277D5" w:rsidRPr="00710102">
        <w:rPr>
          <w:rFonts w:cs="Arial"/>
          <w:spacing w:val="-2"/>
          <w:szCs w:val="19"/>
        </w:rPr>
        <w:t>,</w:t>
      </w:r>
      <w:r w:rsidR="00710102" w:rsidRPr="00710102">
        <w:rPr>
          <w:rFonts w:cs="Arial"/>
          <w:spacing w:val="-2"/>
          <w:szCs w:val="19"/>
        </w:rPr>
        <w:t>2</w:t>
      </w:r>
      <w:r w:rsidRPr="00710102">
        <w:rPr>
          <w:rFonts w:cs="Arial"/>
          <w:spacing w:val="-2"/>
          <w:szCs w:val="19"/>
        </w:rPr>
        <w:t>%), budownictwo – 1</w:t>
      </w:r>
      <w:r w:rsidR="000277D5" w:rsidRPr="00710102">
        <w:rPr>
          <w:rFonts w:cs="Arial"/>
          <w:spacing w:val="-2"/>
          <w:szCs w:val="19"/>
        </w:rPr>
        <w:t>6,</w:t>
      </w:r>
      <w:r w:rsidR="00710102" w:rsidRPr="00710102">
        <w:rPr>
          <w:rFonts w:cs="Arial"/>
          <w:spacing w:val="-2"/>
          <w:szCs w:val="19"/>
        </w:rPr>
        <w:t>6</w:t>
      </w:r>
      <w:r w:rsidRPr="00710102">
        <w:rPr>
          <w:rFonts w:cs="Arial"/>
          <w:spacing w:val="-2"/>
          <w:szCs w:val="19"/>
        </w:rPr>
        <w:t>% (w kraju – 1</w:t>
      </w:r>
      <w:r w:rsidR="000277D5" w:rsidRPr="00710102">
        <w:rPr>
          <w:rFonts w:cs="Arial"/>
          <w:spacing w:val="-2"/>
          <w:szCs w:val="19"/>
        </w:rPr>
        <w:t>4,</w:t>
      </w:r>
      <w:r w:rsidR="00710102" w:rsidRPr="00710102">
        <w:rPr>
          <w:rFonts w:cs="Arial"/>
          <w:spacing w:val="-2"/>
          <w:szCs w:val="19"/>
        </w:rPr>
        <w:t>3</w:t>
      </w:r>
      <w:r w:rsidRPr="00710102">
        <w:rPr>
          <w:rFonts w:cs="Arial"/>
          <w:spacing w:val="-2"/>
          <w:szCs w:val="19"/>
        </w:rPr>
        <w:t xml:space="preserve">%), </w:t>
      </w:r>
      <w:r w:rsidR="00505F3F" w:rsidRPr="00710102">
        <w:rPr>
          <w:rFonts w:cs="Arial"/>
          <w:spacing w:val="-2"/>
          <w:szCs w:val="19"/>
        </w:rPr>
        <w:t xml:space="preserve">działalność </w:t>
      </w:r>
      <w:r w:rsidR="00505F3F" w:rsidRPr="00933A0A">
        <w:rPr>
          <w:rFonts w:cs="Arial"/>
          <w:spacing w:val="-2"/>
          <w:szCs w:val="19"/>
        </w:rPr>
        <w:t xml:space="preserve">profesjonalna, naukowa i techniczna – 8,2% (w kraju – 11,1%) </w:t>
      </w:r>
      <w:r w:rsidRPr="00933A0A">
        <w:rPr>
          <w:rFonts w:cs="Arial"/>
          <w:spacing w:val="-2"/>
          <w:szCs w:val="19"/>
        </w:rPr>
        <w:t xml:space="preserve">oraz </w:t>
      </w:r>
      <w:r w:rsidR="00505F3F" w:rsidRPr="00933A0A">
        <w:rPr>
          <w:rFonts w:cs="Arial"/>
          <w:spacing w:val="-2"/>
          <w:szCs w:val="19"/>
        </w:rPr>
        <w:t>przetwórstwo przemysłowe – 7,9% (w kraju – 7,6%)</w:t>
      </w:r>
      <w:r w:rsidRPr="00933A0A">
        <w:rPr>
          <w:rFonts w:cs="Arial"/>
          <w:spacing w:val="-2"/>
          <w:szCs w:val="19"/>
        </w:rPr>
        <w:t>.</w:t>
      </w:r>
    </w:p>
    <w:p w14:paraId="1FEE2506" w14:textId="4284575A" w:rsidR="00212DDE" w:rsidRPr="007409D7" w:rsidRDefault="00361EB0" w:rsidP="00A7731D">
      <w:pPr>
        <w:pStyle w:val="LID"/>
      </w:pPr>
      <w:r>
        <w:br w:type="column"/>
      </w:r>
      <w:r w:rsidR="00212DDE" w:rsidRPr="007409D7">
        <w:lastRenderedPageBreak/>
        <w:t xml:space="preserve">Wykres </w:t>
      </w:r>
      <w:r w:rsidR="005F4943">
        <w:t>2</w:t>
      </w:r>
      <w:r w:rsidR="00212DDE" w:rsidRPr="007409D7">
        <w:t xml:space="preserve">. </w:t>
      </w:r>
      <w:r w:rsidR="00A3590D">
        <w:t>P</w:t>
      </w:r>
      <w:r w:rsidR="00212DDE" w:rsidRPr="007409D7">
        <w:t>odmiot</w:t>
      </w:r>
      <w:r w:rsidR="00A3590D">
        <w:t>y</w:t>
      </w:r>
      <w:r w:rsidR="00212DDE" w:rsidRPr="007409D7">
        <w:t xml:space="preserve"> gospodarki narodowej w strefie przygranicznej według</w:t>
      </w:r>
      <w:r w:rsidR="00A3590D">
        <w:t xml:space="preserve"> </w:t>
      </w:r>
      <w:r w:rsidR="00212DDE" w:rsidRPr="007409D7">
        <w:t>sekcji</w:t>
      </w:r>
      <w:r w:rsidR="00A3590D">
        <w:br/>
      </w:r>
      <w:r w:rsidR="00212DDE" w:rsidRPr="007409D7">
        <w:t>Polskiej Kla</w:t>
      </w:r>
      <w:r w:rsidR="00AA1552" w:rsidRPr="007409D7">
        <w:t>syfikacji Działalności w 20</w:t>
      </w:r>
      <w:r w:rsidR="00606CA6" w:rsidRPr="007409D7">
        <w:t>2</w:t>
      </w:r>
      <w:r w:rsidR="00A83449">
        <w:t>5</w:t>
      </w:r>
      <w:r w:rsidR="00AA1552" w:rsidRPr="007409D7">
        <w:t xml:space="preserve"> r</w:t>
      </w:r>
      <w:r w:rsidR="002F45F6">
        <w:t>.</w:t>
      </w:r>
    </w:p>
    <w:p w14:paraId="2A1F8781" w14:textId="31FABCFB" w:rsidR="00A25F0B" w:rsidRDefault="00B824E4" w:rsidP="00DC2DC6">
      <w:pPr>
        <w:spacing w:before="0" w:after="0" w:line="240" w:lineRule="auto"/>
        <w:jc w:val="center"/>
        <w:rPr>
          <w:sz w:val="18"/>
        </w:rPr>
      </w:pPr>
      <w:r>
        <w:rPr>
          <w:noProof/>
          <w:sz w:val="18"/>
        </w:rPr>
        <w:drawing>
          <wp:inline distT="0" distB="0" distL="0" distR="0" wp14:anchorId="7B30B801" wp14:editId="120EFA31">
            <wp:extent cx="5122545" cy="2326005"/>
            <wp:effectExtent l="0" t="0" r="1905" b="0"/>
            <wp:docPr id="3" name="Obraz 3" descr="Wykres 2. Podmioty gospodarki narodowej w strefie przygranicznej według sekcji Polskiej Klasyfikacji Działalności w 2025 roku.&#10;Dane do wykresu dostępne są w załączonym pliku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Wykres 2. Podmioty gospodarki narodowej w strefie przygranicznej według sekcji Polskiej Klasyfikacji Działalności w 2025 roku.&#10;Dane do wykresu dostępne są w załączonym pliku Exce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2326005"/>
                    </a:xfrm>
                    <a:prstGeom prst="rect">
                      <a:avLst/>
                    </a:prstGeom>
                  </pic:spPr>
                </pic:pic>
              </a:graphicData>
            </a:graphic>
          </wp:inline>
        </w:drawing>
      </w:r>
    </w:p>
    <w:p w14:paraId="44503C1D" w14:textId="424CC1FB" w:rsidR="00756F24" w:rsidRPr="00AC505F" w:rsidRDefault="00756F24" w:rsidP="00322374">
      <w:pPr>
        <w:spacing w:before="240" w:after="0" w:line="288" w:lineRule="auto"/>
        <w:rPr>
          <w:rFonts w:cs="Arial"/>
          <w:szCs w:val="19"/>
        </w:rPr>
      </w:pPr>
      <w:r w:rsidRPr="00972E9A">
        <w:rPr>
          <w:rFonts w:cs="Arial"/>
          <w:szCs w:val="19"/>
        </w:rPr>
        <w:t>Podmioty z sekcji handel; naprawa pojazdów samochodowych oraz budownictwo miały największy udział w każdej z poszczególnych części strefy analizowanej według krajów sąsiadujących</w:t>
      </w:r>
      <w:r w:rsidR="002B11FE" w:rsidRPr="00972E9A">
        <w:rPr>
          <w:rFonts w:cs="Arial"/>
          <w:szCs w:val="19"/>
        </w:rPr>
        <w:t>. Odsetek podmiotów należących do sekcji handel; naprawa pojazdów samochodowych w ogólnej liczbie podmiotów wyniósł w 202</w:t>
      </w:r>
      <w:r w:rsidR="00972E9A" w:rsidRPr="00972E9A">
        <w:rPr>
          <w:rFonts w:cs="Arial"/>
          <w:szCs w:val="19"/>
        </w:rPr>
        <w:t>5</w:t>
      </w:r>
      <w:r w:rsidR="002B11FE" w:rsidRPr="00972E9A">
        <w:rPr>
          <w:rFonts w:cs="Arial"/>
          <w:szCs w:val="19"/>
        </w:rPr>
        <w:t xml:space="preserve"> r. </w:t>
      </w:r>
      <w:r w:rsidR="005B4AC6" w:rsidRPr="00972E9A">
        <w:rPr>
          <w:rFonts w:cs="Arial"/>
          <w:szCs w:val="19"/>
        </w:rPr>
        <w:t>od 1</w:t>
      </w:r>
      <w:r w:rsidR="00972E9A" w:rsidRPr="00972E9A">
        <w:rPr>
          <w:rFonts w:cs="Arial"/>
          <w:szCs w:val="19"/>
        </w:rPr>
        <w:t>6</w:t>
      </w:r>
      <w:r w:rsidR="005B4AC6" w:rsidRPr="00972E9A">
        <w:rPr>
          <w:rFonts w:cs="Arial"/>
          <w:szCs w:val="19"/>
        </w:rPr>
        <w:t>,0% w strefie przygranicznej z Rosją do 2</w:t>
      </w:r>
      <w:r w:rsidR="00972E9A" w:rsidRPr="00972E9A">
        <w:rPr>
          <w:rFonts w:cs="Arial"/>
          <w:szCs w:val="19"/>
        </w:rPr>
        <w:t>0</w:t>
      </w:r>
      <w:r w:rsidR="005B4AC6" w:rsidRPr="00972E9A">
        <w:rPr>
          <w:rFonts w:cs="Arial"/>
          <w:szCs w:val="19"/>
        </w:rPr>
        <w:t>,</w:t>
      </w:r>
      <w:r w:rsidR="00972E9A" w:rsidRPr="00972E9A">
        <w:rPr>
          <w:rFonts w:cs="Arial"/>
          <w:szCs w:val="19"/>
        </w:rPr>
        <w:t>2</w:t>
      </w:r>
      <w:r w:rsidR="005B4AC6" w:rsidRPr="00972E9A">
        <w:rPr>
          <w:rFonts w:cs="Arial"/>
          <w:szCs w:val="19"/>
        </w:rPr>
        <w:t>% w strefie przygranicznej z Ukrainą</w:t>
      </w:r>
      <w:r w:rsidR="005B4AC6" w:rsidRPr="00AC505F">
        <w:rPr>
          <w:rFonts w:cs="Arial"/>
          <w:szCs w:val="19"/>
        </w:rPr>
        <w:t>.</w:t>
      </w:r>
      <w:r w:rsidRPr="00AC505F">
        <w:rPr>
          <w:rFonts w:cs="Arial"/>
          <w:szCs w:val="19"/>
        </w:rPr>
        <w:t xml:space="preserve"> </w:t>
      </w:r>
      <w:r w:rsidR="002B11FE" w:rsidRPr="00AC505F">
        <w:rPr>
          <w:rFonts w:cs="Arial"/>
          <w:szCs w:val="19"/>
        </w:rPr>
        <w:t>Podmioty z sekcji budownictwo stano</w:t>
      </w:r>
      <w:r w:rsidR="003E76D6" w:rsidRPr="00AC505F">
        <w:rPr>
          <w:rFonts w:cs="Arial"/>
          <w:szCs w:val="19"/>
        </w:rPr>
        <w:t>wiły od 15,</w:t>
      </w:r>
      <w:r w:rsidR="00AC505F" w:rsidRPr="00AC505F">
        <w:rPr>
          <w:rFonts w:cs="Arial"/>
          <w:szCs w:val="19"/>
        </w:rPr>
        <w:t>3</w:t>
      </w:r>
      <w:r w:rsidR="003E76D6" w:rsidRPr="00AC505F">
        <w:rPr>
          <w:rFonts w:cs="Arial"/>
          <w:szCs w:val="19"/>
        </w:rPr>
        <w:t>% w strefie przy granicy z Białorusią do 18,</w:t>
      </w:r>
      <w:r w:rsidR="00AC505F" w:rsidRPr="00AC505F">
        <w:rPr>
          <w:rFonts w:cs="Arial"/>
          <w:szCs w:val="19"/>
        </w:rPr>
        <w:t>4</w:t>
      </w:r>
      <w:r w:rsidR="003E76D6" w:rsidRPr="00AC505F">
        <w:rPr>
          <w:rFonts w:cs="Arial"/>
          <w:szCs w:val="19"/>
        </w:rPr>
        <w:t>% w strefie przy granicy ze Słowacją.</w:t>
      </w:r>
    </w:p>
    <w:p w14:paraId="1A3614CE" w14:textId="27C8CFDF" w:rsidR="00474919" w:rsidRPr="003E76D6" w:rsidRDefault="00474919" w:rsidP="00756F24">
      <w:pPr>
        <w:spacing w:after="0" w:line="288" w:lineRule="auto"/>
        <w:rPr>
          <w:rFonts w:cs="Arial"/>
          <w:szCs w:val="19"/>
        </w:rPr>
      </w:pPr>
    </w:p>
    <w:p w14:paraId="217D1C47" w14:textId="45480BDB" w:rsidR="00474919" w:rsidRDefault="00474919" w:rsidP="00756F24">
      <w:pPr>
        <w:spacing w:after="0" w:line="288" w:lineRule="auto"/>
        <w:rPr>
          <w:szCs w:val="19"/>
        </w:rPr>
      </w:pPr>
    </w:p>
    <w:p w14:paraId="77FBA766" w14:textId="77777777" w:rsidR="00DC40A5" w:rsidRDefault="00DC40A5" w:rsidP="00756F24">
      <w:pPr>
        <w:spacing w:after="0" w:line="288" w:lineRule="auto"/>
        <w:rPr>
          <w:szCs w:val="19"/>
        </w:rPr>
      </w:pPr>
    </w:p>
    <w:p w14:paraId="15457A6F" w14:textId="77777777" w:rsidR="00756F24" w:rsidRDefault="00756F24" w:rsidP="00756F24">
      <w:pPr>
        <w:spacing w:before="0" w:after="0" w:line="240" w:lineRule="auto"/>
        <w:rPr>
          <w:sz w:val="18"/>
        </w:rPr>
      </w:pPr>
    </w:p>
    <w:p w14:paraId="306121AB" w14:textId="4DC717DD" w:rsidR="00474919" w:rsidRDefault="00474919" w:rsidP="00756F24">
      <w:pPr>
        <w:spacing w:before="0" w:after="0" w:line="240" w:lineRule="auto"/>
        <w:rPr>
          <w:sz w:val="18"/>
        </w:rPr>
        <w:sectPr w:rsidR="00474919" w:rsidSect="00A9377F">
          <w:headerReference w:type="default" r:id="rId15"/>
          <w:footerReference w:type="default" r:id="rId16"/>
          <w:headerReference w:type="first" r:id="rId17"/>
          <w:footerReference w:type="first" r:id="rId18"/>
          <w:pgSz w:w="11906" w:h="16838"/>
          <w:pgMar w:top="720" w:right="3119" w:bottom="720" w:left="720" w:header="284" w:footer="283" w:gutter="0"/>
          <w:cols w:space="708"/>
          <w:titlePg/>
          <w:docGrid w:linePitch="360"/>
        </w:sectPr>
      </w:pPr>
    </w:p>
    <w:p w14:paraId="0F0E2BF0" w14:textId="43525E8E" w:rsidR="00DD0DB1" w:rsidRPr="00D713D8" w:rsidRDefault="00DD0DB1" w:rsidP="00BD38D1">
      <w:pPr>
        <w:pStyle w:val="Nagwek1"/>
      </w:pPr>
      <w:r w:rsidRPr="009324CB">
        <w:lastRenderedPageBreak/>
        <w:t>Uwagi metodyczne</w:t>
      </w:r>
    </w:p>
    <w:p w14:paraId="1F50DC84" w14:textId="71DFF8B3" w:rsidR="00B7438D" w:rsidRPr="00F61EEB" w:rsidRDefault="00F61EEB" w:rsidP="00F61EEB">
      <w:pPr>
        <w:spacing w:before="0" w:line="288" w:lineRule="auto"/>
        <w:rPr>
          <w:rFonts w:cs="Arial"/>
          <w:szCs w:val="19"/>
        </w:rPr>
      </w:pPr>
      <w:r>
        <w:rPr>
          <w:rFonts w:cs="Arial"/>
          <w:szCs w:val="19"/>
        </w:rPr>
        <w:t xml:space="preserve">1. </w:t>
      </w:r>
      <w:r w:rsidR="00B7438D" w:rsidRPr="00F61EEB">
        <w:rPr>
          <w:rFonts w:cs="Arial"/>
          <w:szCs w:val="19"/>
        </w:rPr>
        <w:t>Obszar przygraniczny (strefa przygraniczna) został określony przy zastosowaniu następujących kryteriów:</w:t>
      </w:r>
    </w:p>
    <w:p w14:paraId="7C287849" w14:textId="23B1F29B" w:rsidR="00B7438D" w:rsidRPr="006D78B8" w:rsidRDefault="00B7438D" w:rsidP="00F61EEB">
      <w:pPr>
        <w:pStyle w:val="Akapitzlist"/>
        <w:numPr>
          <w:ilvl w:val="1"/>
          <w:numId w:val="5"/>
        </w:numPr>
        <w:spacing w:before="0" w:line="288" w:lineRule="auto"/>
        <w:ind w:left="462" w:hanging="252"/>
        <w:rPr>
          <w:rFonts w:cs="Arial"/>
          <w:szCs w:val="19"/>
        </w:rPr>
      </w:pPr>
      <w:r w:rsidRPr="006D78B8">
        <w:rPr>
          <w:rFonts w:cs="Arial"/>
          <w:szCs w:val="19"/>
        </w:rPr>
        <w:t xml:space="preserve">wstępnej delimitacji </w:t>
      </w:r>
      <w:r w:rsidR="00907185" w:rsidRPr="006D78B8">
        <w:rPr>
          <w:rFonts w:cs="Arial"/>
          <w:szCs w:val="19"/>
        </w:rPr>
        <w:t xml:space="preserve">dokonano </w:t>
      </w:r>
      <w:r w:rsidRPr="006D78B8">
        <w:rPr>
          <w:rFonts w:cs="Arial"/>
          <w:szCs w:val="19"/>
        </w:rPr>
        <w:t>w oparciu o kryteri</w:t>
      </w:r>
      <w:r w:rsidR="00CD02E6">
        <w:rPr>
          <w:rFonts w:cs="Arial"/>
          <w:szCs w:val="19"/>
        </w:rPr>
        <w:t>um</w:t>
      </w:r>
      <w:r w:rsidRPr="006D78B8">
        <w:rPr>
          <w:rFonts w:cs="Arial"/>
          <w:szCs w:val="19"/>
        </w:rPr>
        <w:t xml:space="preserve"> </w:t>
      </w:r>
      <w:r w:rsidR="00CD02E6">
        <w:rPr>
          <w:rFonts w:cs="Arial"/>
          <w:szCs w:val="19"/>
        </w:rPr>
        <w:t xml:space="preserve">odległości miejsca </w:t>
      </w:r>
      <w:r w:rsidR="00CD02E6" w:rsidRPr="006D78B8">
        <w:rPr>
          <w:rFonts w:cs="Arial"/>
          <w:szCs w:val="19"/>
        </w:rPr>
        <w:t>dokonania zakupów</w:t>
      </w:r>
      <w:r w:rsidR="00CD02E6">
        <w:rPr>
          <w:rFonts w:cs="Arial"/>
          <w:szCs w:val="19"/>
        </w:rPr>
        <w:t xml:space="preserve"> od przejścia granicznego przez cudzoziemców</w:t>
      </w:r>
      <w:r w:rsidRPr="006D78B8">
        <w:rPr>
          <w:rFonts w:cs="Arial"/>
          <w:szCs w:val="19"/>
        </w:rPr>
        <w:t xml:space="preserve"> </w:t>
      </w:r>
      <w:r w:rsidR="00CD02E6">
        <w:rPr>
          <w:rFonts w:cs="Arial"/>
          <w:szCs w:val="19"/>
        </w:rPr>
        <w:t>oraz</w:t>
      </w:r>
      <w:r w:rsidRPr="006D78B8">
        <w:rPr>
          <w:rFonts w:cs="Arial"/>
          <w:szCs w:val="19"/>
        </w:rPr>
        <w:t xml:space="preserve"> </w:t>
      </w:r>
      <w:r w:rsidR="00CD02E6">
        <w:rPr>
          <w:rFonts w:cs="Arial"/>
          <w:szCs w:val="19"/>
        </w:rPr>
        <w:t>odległości</w:t>
      </w:r>
      <w:r w:rsidR="00CD02E6" w:rsidRPr="006D78B8">
        <w:rPr>
          <w:rFonts w:cs="Arial"/>
          <w:szCs w:val="19"/>
        </w:rPr>
        <w:t xml:space="preserve"> </w:t>
      </w:r>
      <w:r w:rsidR="00CD02E6">
        <w:rPr>
          <w:rFonts w:cs="Arial"/>
          <w:szCs w:val="19"/>
        </w:rPr>
        <w:t>od przejścia granicznego</w:t>
      </w:r>
      <w:r w:rsidR="00CD02E6" w:rsidRPr="006D78B8">
        <w:rPr>
          <w:rFonts w:cs="Arial"/>
          <w:szCs w:val="19"/>
        </w:rPr>
        <w:t xml:space="preserve"> </w:t>
      </w:r>
      <w:r w:rsidRPr="006D78B8">
        <w:rPr>
          <w:rFonts w:cs="Arial"/>
          <w:szCs w:val="19"/>
        </w:rPr>
        <w:t xml:space="preserve">miejsca zamieszkania </w:t>
      </w:r>
      <w:r w:rsidR="00CD02E6">
        <w:rPr>
          <w:rFonts w:cs="Arial"/>
          <w:szCs w:val="19"/>
        </w:rPr>
        <w:t xml:space="preserve">Polaków </w:t>
      </w:r>
      <w:r w:rsidR="00C4728B">
        <w:rPr>
          <w:rFonts w:cs="Arial"/>
          <w:szCs w:val="19"/>
        </w:rPr>
        <w:t>powracających z</w:t>
      </w:r>
      <w:r w:rsidR="001E05EF">
        <w:rPr>
          <w:rFonts w:cs="Arial"/>
          <w:szCs w:val="19"/>
        </w:rPr>
        <w:t> </w:t>
      </w:r>
      <w:r w:rsidR="00C4728B">
        <w:rPr>
          <w:rFonts w:cs="Arial"/>
          <w:szCs w:val="19"/>
        </w:rPr>
        <w:t>zagranicy</w:t>
      </w:r>
      <w:r w:rsidR="002A35BF">
        <w:rPr>
          <w:rFonts w:cs="Arial"/>
          <w:szCs w:val="19"/>
        </w:rPr>
        <w:t>,</w:t>
      </w:r>
      <w:r w:rsidR="00C4728B">
        <w:rPr>
          <w:rFonts w:cs="Arial"/>
          <w:szCs w:val="19"/>
        </w:rPr>
        <w:t xml:space="preserve"> </w:t>
      </w:r>
      <w:r w:rsidRPr="006D78B8">
        <w:rPr>
          <w:rFonts w:cs="Arial"/>
          <w:szCs w:val="19"/>
        </w:rPr>
        <w:t>uzupełniając je o dane z obiektów noclegowych</w:t>
      </w:r>
      <w:r w:rsidR="00CF2B82">
        <w:rPr>
          <w:rFonts w:cs="Arial"/>
          <w:szCs w:val="19"/>
        </w:rPr>
        <w:t>. W tym celu wykorzystano</w:t>
      </w:r>
      <w:r w:rsidR="00C4728B">
        <w:rPr>
          <w:rFonts w:cs="Arial"/>
          <w:szCs w:val="19"/>
        </w:rPr>
        <w:t xml:space="preserve"> wynik</w:t>
      </w:r>
      <w:r w:rsidR="00CF2B82">
        <w:rPr>
          <w:rFonts w:cs="Arial"/>
          <w:szCs w:val="19"/>
        </w:rPr>
        <w:t>i</w:t>
      </w:r>
      <w:r w:rsidR="00C4728B">
        <w:rPr>
          <w:rFonts w:cs="Arial"/>
          <w:szCs w:val="19"/>
        </w:rPr>
        <w:t xml:space="preserve"> badań: </w:t>
      </w:r>
      <w:r w:rsidR="00C4728B" w:rsidRPr="001C138E">
        <w:rPr>
          <w:szCs w:val="19"/>
        </w:rPr>
        <w:t>„</w:t>
      </w:r>
      <w:r w:rsidR="00C4728B" w:rsidRPr="001C138E">
        <w:rPr>
          <w:bCs/>
          <w:szCs w:val="19"/>
        </w:rPr>
        <w:t>Podróże nierezydentów do Polski. Ruch pojazdów i osób na granicy Polski z krajami Unii Europejskiej”</w:t>
      </w:r>
      <w:r w:rsidR="00C4728B" w:rsidRPr="001C138E">
        <w:rPr>
          <w:szCs w:val="19"/>
        </w:rPr>
        <w:t xml:space="preserve"> </w:t>
      </w:r>
      <w:r w:rsidR="00226D17" w:rsidRPr="001C138E">
        <w:rPr>
          <w:szCs w:val="19"/>
        </w:rPr>
        <w:t xml:space="preserve">oraz </w:t>
      </w:r>
      <w:r w:rsidR="00C4728B" w:rsidRPr="001C138E">
        <w:rPr>
          <w:szCs w:val="19"/>
        </w:rPr>
        <w:t>„</w:t>
      </w:r>
      <w:r w:rsidR="00C4728B" w:rsidRPr="001C138E">
        <w:rPr>
          <w:bCs/>
          <w:szCs w:val="19"/>
        </w:rPr>
        <w:t>Uczestnictwo mieszkańców Polski (rezydentów) w podróżach”</w:t>
      </w:r>
      <w:r w:rsidR="00226D17">
        <w:rPr>
          <w:bCs/>
          <w:szCs w:val="19"/>
        </w:rPr>
        <w:t>, a także</w:t>
      </w:r>
      <w:r w:rsidR="00C4728B">
        <w:rPr>
          <w:bCs/>
          <w:szCs w:val="19"/>
        </w:rPr>
        <w:t xml:space="preserve"> „Baza noclegowa turystyki i jej wykorzystanie”</w:t>
      </w:r>
      <w:r w:rsidRPr="006D78B8">
        <w:rPr>
          <w:rFonts w:cs="Arial"/>
          <w:szCs w:val="19"/>
        </w:rPr>
        <w:t>;</w:t>
      </w:r>
    </w:p>
    <w:p w14:paraId="379B7B89" w14:textId="1D68A989" w:rsidR="00B7438D" w:rsidRPr="006D78B8" w:rsidRDefault="00B7438D" w:rsidP="00F61EEB">
      <w:pPr>
        <w:pStyle w:val="Akapitzlist"/>
        <w:numPr>
          <w:ilvl w:val="0"/>
          <w:numId w:val="6"/>
        </w:numPr>
        <w:spacing w:before="0" w:line="288" w:lineRule="auto"/>
        <w:ind w:left="462" w:hanging="252"/>
        <w:rPr>
          <w:rFonts w:cs="Arial"/>
          <w:szCs w:val="19"/>
        </w:rPr>
      </w:pPr>
      <w:r w:rsidRPr="006D78B8">
        <w:rPr>
          <w:rFonts w:cs="Arial"/>
          <w:szCs w:val="19"/>
        </w:rPr>
        <w:t xml:space="preserve">do strefy </w:t>
      </w:r>
      <w:r w:rsidR="00CD02E6">
        <w:rPr>
          <w:rFonts w:cs="Arial"/>
          <w:szCs w:val="19"/>
        </w:rPr>
        <w:t>przygranicznej</w:t>
      </w:r>
      <w:r w:rsidRPr="006D78B8">
        <w:rPr>
          <w:rFonts w:cs="Arial"/>
          <w:szCs w:val="19"/>
        </w:rPr>
        <w:t xml:space="preserve"> zakwalifikowano wszystkie miejscowości znajdujące się na obszarze wyznaczonym przez promień 30 lub 50 km od przejść granicznych;</w:t>
      </w:r>
    </w:p>
    <w:p w14:paraId="09EA5C98" w14:textId="793EB906" w:rsidR="007D270B" w:rsidRDefault="00B7438D" w:rsidP="00F61EEB">
      <w:pPr>
        <w:pStyle w:val="Akapitzlist"/>
        <w:numPr>
          <w:ilvl w:val="0"/>
          <w:numId w:val="6"/>
        </w:numPr>
        <w:spacing w:before="0" w:line="288" w:lineRule="auto"/>
        <w:ind w:left="462" w:hanging="252"/>
        <w:rPr>
          <w:rFonts w:cs="Arial"/>
          <w:szCs w:val="19"/>
        </w:rPr>
      </w:pPr>
      <w:r w:rsidRPr="006D78B8">
        <w:rPr>
          <w:rFonts w:cs="Arial"/>
          <w:szCs w:val="19"/>
        </w:rPr>
        <w:t xml:space="preserve">delimitacji powiatów </w:t>
      </w:r>
      <w:r w:rsidR="00CD02E6">
        <w:rPr>
          <w:rFonts w:cs="Arial"/>
          <w:szCs w:val="19"/>
        </w:rPr>
        <w:t xml:space="preserve">przygranicznych </w:t>
      </w:r>
      <w:r w:rsidRPr="006D78B8">
        <w:rPr>
          <w:rFonts w:cs="Arial"/>
          <w:szCs w:val="19"/>
        </w:rPr>
        <w:t>dokonano na podstawie kryterium powierzchni lub ludności zamieszkującej zdelimitowany obszar.</w:t>
      </w:r>
    </w:p>
    <w:p w14:paraId="4DDB8308" w14:textId="77777777" w:rsidR="000A40F5" w:rsidRDefault="00B7438D" w:rsidP="007D270B">
      <w:pPr>
        <w:pStyle w:val="Akapitzlist"/>
        <w:spacing w:before="0" w:line="288" w:lineRule="auto"/>
        <w:ind w:left="462"/>
        <w:rPr>
          <w:rFonts w:cs="Arial"/>
          <w:szCs w:val="19"/>
        </w:rPr>
      </w:pPr>
      <w:r w:rsidRPr="006D78B8">
        <w:rPr>
          <w:rFonts w:cs="Arial"/>
          <w:szCs w:val="19"/>
        </w:rPr>
        <w:t xml:space="preserve">Jeżeli więcej niż 50% powierzchni powiatu (suma powierzchni zdelimitowanych miejscowości) znajduje się w zdelimitowanej strefie </w:t>
      </w:r>
      <w:r w:rsidR="00CD02E6">
        <w:rPr>
          <w:rFonts w:cs="Arial"/>
          <w:szCs w:val="19"/>
        </w:rPr>
        <w:t>przygranicznej</w:t>
      </w:r>
      <w:r w:rsidR="00F52354">
        <w:rPr>
          <w:rFonts w:cs="Arial"/>
          <w:szCs w:val="19"/>
        </w:rPr>
        <w:t>,</w:t>
      </w:r>
      <w:r w:rsidRPr="006D78B8">
        <w:rPr>
          <w:rFonts w:cs="Arial"/>
          <w:szCs w:val="19"/>
        </w:rPr>
        <w:t xml:space="preserve"> powiat przynależy do strefy </w:t>
      </w:r>
      <w:r w:rsidR="00CD02E6">
        <w:rPr>
          <w:rFonts w:cs="Arial"/>
          <w:szCs w:val="19"/>
        </w:rPr>
        <w:t>przygra</w:t>
      </w:r>
      <w:r w:rsidRPr="006D78B8">
        <w:rPr>
          <w:rFonts w:cs="Arial"/>
          <w:szCs w:val="19"/>
        </w:rPr>
        <w:t>nicznej.</w:t>
      </w:r>
    </w:p>
    <w:p w14:paraId="2E4BA9E1" w14:textId="1A4B17C4" w:rsidR="007D270B" w:rsidRDefault="00BF7CBC" w:rsidP="007D270B">
      <w:pPr>
        <w:pStyle w:val="Akapitzlist"/>
        <w:spacing w:before="0" w:line="288" w:lineRule="auto"/>
        <w:ind w:left="462"/>
        <w:rPr>
          <w:rFonts w:cs="Arial"/>
          <w:szCs w:val="19"/>
        </w:rPr>
      </w:pPr>
      <w:r>
        <w:rPr>
          <w:rFonts w:cs="Arial"/>
          <w:szCs w:val="19"/>
        </w:rPr>
        <w:t>J</w:t>
      </w:r>
      <w:r w:rsidR="00B7438D" w:rsidRPr="006D78B8">
        <w:rPr>
          <w:rFonts w:cs="Arial"/>
          <w:szCs w:val="19"/>
        </w:rPr>
        <w:t>eżeli więcej niż 50% ludności powiatu (suma ludności w zdelimitowanych miejscowościach) z</w:t>
      </w:r>
      <w:r w:rsidR="005E1DC2">
        <w:rPr>
          <w:rFonts w:cs="Arial"/>
          <w:szCs w:val="19"/>
        </w:rPr>
        <w:t>amieszkuje</w:t>
      </w:r>
      <w:r w:rsidR="00B7438D" w:rsidRPr="006D78B8">
        <w:rPr>
          <w:rFonts w:cs="Arial"/>
          <w:szCs w:val="19"/>
        </w:rPr>
        <w:t xml:space="preserve"> w zdelimitowanej strefie </w:t>
      </w:r>
      <w:r w:rsidR="00CD02E6">
        <w:rPr>
          <w:rFonts w:cs="Arial"/>
          <w:szCs w:val="19"/>
        </w:rPr>
        <w:t>przygranicznej</w:t>
      </w:r>
      <w:r w:rsidR="00660CE3">
        <w:rPr>
          <w:rFonts w:cs="Arial"/>
          <w:szCs w:val="19"/>
        </w:rPr>
        <w:t>,</w:t>
      </w:r>
      <w:r w:rsidR="00B7438D" w:rsidRPr="006D78B8">
        <w:rPr>
          <w:rFonts w:cs="Arial"/>
          <w:szCs w:val="19"/>
        </w:rPr>
        <w:t xml:space="preserve"> powiat przynależy do strefy </w:t>
      </w:r>
      <w:r w:rsidR="00CD02E6">
        <w:rPr>
          <w:rFonts w:cs="Arial"/>
          <w:szCs w:val="19"/>
        </w:rPr>
        <w:t>przygranicznej</w:t>
      </w:r>
      <w:r w:rsidR="00B7438D" w:rsidRPr="006D78B8">
        <w:rPr>
          <w:rFonts w:cs="Arial"/>
          <w:szCs w:val="19"/>
        </w:rPr>
        <w:t>.</w:t>
      </w:r>
    </w:p>
    <w:p w14:paraId="62DF09B7" w14:textId="7EEEE81D" w:rsidR="00B7438D" w:rsidRPr="006D78B8" w:rsidRDefault="00B7438D" w:rsidP="007D270B">
      <w:pPr>
        <w:pStyle w:val="Akapitzlist"/>
        <w:spacing w:before="0" w:line="288" w:lineRule="auto"/>
        <w:ind w:left="462"/>
        <w:rPr>
          <w:rFonts w:cs="Arial"/>
          <w:szCs w:val="19"/>
        </w:rPr>
      </w:pPr>
      <w:r w:rsidRPr="006D78B8">
        <w:rPr>
          <w:rFonts w:cs="Arial"/>
          <w:szCs w:val="19"/>
        </w:rPr>
        <w:t>W przypadku gdy spełniony jest jeden z</w:t>
      </w:r>
      <w:r w:rsidR="001E05EF">
        <w:rPr>
          <w:rFonts w:cs="Arial"/>
          <w:szCs w:val="19"/>
        </w:rPr>
        <w:t> </w:t>
      </w:r>
      <w:r w:rsidRPr="006D78B8">
        <w:rPr>
          <w:rFonts w:cs="Arial"/>
          <w:szCs w:val="19"/>
        </w:rPr>
        <w:t>powyższych warunków</w:t>
      </w:r>
      <w:r w:rsidR="002A35BF">
        <w:rPr>
          <w:rFonts w:cs="Arial"/>
          <w:szCs w:val="19"/>
        </w:rPr>
        <w:t>,</w:t>
      </w:r>
      <w:r w:rsidRPr="006D78B8">
        <w:rPr>
          <w:rFonts w:cs="Arial"/>
          <w:szCs w:val="19"/>
        </w:rPr>
        <w:t xml:space="preserve"> powiat uznano za </w:t>
      </w:r>
      <w:r w:rsidR="00CD02E6">
        <w:rPr>
          <w:rFonts w:cs="Arial"/>
          <w:szCs w:val="19"/>
        </w:rPr>
        <w:t>przygraniczny</w:t>
      </w:r>
      <w:r w:rsidRPr="006D78B8">
        <w:rPr>
          <w:rFonts w:cs="Arial"/>
          <w:szCs w:val="19"/>
        </w:rPr>
        <w:t>.</w:t>
      </w:r>
    </w:p>
    <w:p w14:paraId="21848E3E" w14:textId="4FC4A874" w:rsidR="00B7438D" w:rsidRPr="00F61EEB" w:rsidRDefault="00F61EEB" w:rsidP="00F61EEB">
      <w:pPr>
        <w:spacing w:line="288" w:lineRule="auto"/>
        <w:ind w:left="182" w:hanging="182"/>
        <w:rPr>
          <w:rFonts w:cs="Arial"/>
          <w:szCs w:val="19"/>
        </w:rPr>
      </w:pPr>
      <w:r>
        <w:rPr>
          <w:rFonts w:cs="Arial"/>
          <w:szCs w:val="19"/>
        </w:rPr>
        <w:t xml:space="preserve">2. </w:t>
      </w:r>
      <w:r w:rsidR="00B7438D" w:rsidRPr="00F61EEB">
        <w:rPr>
          <w:rFonts w:cs="Arial"/>
          <w:szCs w:val="19"/>
        </w:rPr>
        <w:t>W strefie przygranicznej na terenie Polski znajduje się 85 powiatów. Obejmują one obszar 75 tys. km</w:t>
      </w:r>
      <w:r w:rsidR="00B7438D" w:rsidRPr="00F61EEB">
        <w:rPr>
          <w:rFonts w:cs="Arial"/>
          <w:szCs w:val="19"/>
          <w:vertAlign w:val="superscript"/>
        </w:rPr>
        <w:t>2</w:t>
      </w:r>
      <w:r w:rsidR="00B7438D" w:rsidRPr="00F61EEB">
        <w:rPr>
          <w:rFonts w:cs="Arial"/>
          <w:szCs w:val="19"/>
        </w:rPr>
        <w:t xml:space="preserve"> (23,9% powierzchni Polski)</w:t>
      </w:r>
      <w:r w:rsidR="00522755">
        <w:rPr>
          <w:rFonts w:cs="Arial"/>
          <w:szCs w:val="19"/>
        </w:rPr>
        <w:t>. Według stanu na 30 czerwca 2025 r. obszar ten</w:t>
      </w:r>
      <w:r w:rsidR="00B7438D" w:rsidRPr="00F61EEB">
        <w:rPr>
          <w:rFonts w:cs="Arial"/>
          <w:szCs w:val="19"/>
        </w:rPr>
        <w:t xml:space="preserve"> zamieszkuje 7,</w:t>
      </w:r>
      <w:r w:rsidR="00353E79">
        <w:rPr>
          <w:rFonts w:cs="Arial"/>
          <w:szCs w:val="19"/>
        </w:rPr>
        <w:t>0</w:t>
      </w:r>
      <w:r w:rsidR="00B7438D" w:rsidRPr="00F61EEB">
        <w:rPr>
          <w:rFonts w:cs="Arial"/>
          <w:szCs w:val="19"/>
        </w:rPr>
        <w:t xml:space="preserve"> mln osób (1</w:t>
      </w:r>
      <w:r w:rsidR="00353E79">
        <w:rPr>
          <w:rFonts w:cs="Arial"/>
          <w:szCs w:val="19"/>
        </w:rPr>
        <w:t>8,</w:t>
      </w:r>
      <w:r w:rsidR="001B52D4">
        <w:rPr>
          <w:rFonts w:cs="Arial"/>
          <w:szCs w:val="19"/>
        </w:rPr>
        <w:t>6</w:t>
      </w:r>
      <w:r w:rsidR="00B7438D" w:rsidRPr="00F61EEB">
        <w:rPr>
          <w:rFonts w:cs="Arial"/>
          <w:szCs w:val="19"/>
        </w:rPr>
        <w:t>% ludności Polski).</w:t>
      </w:r>
    </w:p>
    <w:p w14:paraId="15210471" w14:textId="3D125552" w:rsidR="004C1852" w:rsidRPr="004C1852" w:rsidRDefault="00F61EEB" w:rsidP="004C1852">
      <w:pPr>
        <w:spacing w:before="0" w:line="288" w:lineRule="auto"/>
        <w:ind w:left="182" w:hanging="182"/>
        <w:rPr>
          <w:rFonts w:cs="Arial"/>
          <w:szCs w:val="19"/>
        </w:rPr>
      </w:pPr>
      <w:r>
        <w:rPr>
          <w:rFonts w:cs="Arial"/>
          <w:szCs w:val="19"/>
        </w:rPr>
        <w:t xml:space="preserve">3. </w:t>
      </w:r>
      <w:r w:rsidR="00B7438D" w:rsidRPr="00F61EEB">
        <w:rPr>
          <w:rFonts w:cs="Arial"/>
          <w:szCs w:val="19"/>
        </w:rPr>
        <w:t>Występują powiaty, które są obszarami przygranicznymi jednocześnie przy dwóch lub trzech krajach. Przy charakterystyce całego obszaru przygranicznego Polski powiaty te ujmowane są jeden raz. Przy charakterystyce strefy przygranicznej według odcinków granic z krajami sąsiadującymi powiaty te ujmowane są dla każdego obszaru przygranicznego oddzielnie.</w:t>
      </w:r>
    </w:p>
    <w:p w14:paraId="4F5DB8DE" w14:textId="77777777" w:rsidR="004C1852" w:rsidRDefault="004C1852" w:rsidP="00E76D26">
      <w:pPr>
        <w:rPr>
          <w:sz w:val="2"/>
          <w:szCs w:val="2"/>
        </w:rPr>
      </w:pPr>
    </w:p>
    <w:p w14:paraId="5989FCC8" w14:textId="77777777" w:rsidR="004C1852" w:rsidRPr="00EE6523" w:rsidRDefault="004C1852" w:rsidP="004C1852">
      <w:pPr>
        <w:spacing w:after="0" w:line="288" w:lineRule="auto"/>
        <w:rPr>
          <w:rFonts w:cs="Arial"/>
          <w:szCs w:val="19"/>
        </w:rPr>
      </w:pPr>
      <w:r w:rsidRPr="001C138E">
        <w:rPr>
          <w:szCs w:val="19"/>
        </w:rPr>
        <w:t xml:space="preserve">W przypadku cytowania danych Głównego Urzędu Statystycznego prosimy o zamieszczenie informacji: „Źródło danych GUS”, a </w:t>
      </w:r>
      <w:r>
        <w:rPr>
          <w:szCs w:val="19"/>
        </w:rPr>
        <w:t xml:space="preserve">w </w:t>
      </w:r>
      <w:r w:rsidRPr="001C138E">
        <w:rPr>
          <w:szCs w:val="19"/>
        </w:rPr>
        <w:t>przypadku publikowania obliczeń dokonanych na danych opublikowanych przez GUS prosimy o zamieszczenie informacji: „Opracowanie własne na podstawie danych GUS”.</w:t>
      </w:r>
    </w:p>
    <w:p w14:paraId="7B920CB9" w14:textId="77777777" w:rsidR="004C1852" w:rsidRPr="00E61E72" w:rsidRDefault="004C1852" w:rsidP="00E76D26">
      <w:pPr>
        <w:rPr>
          <w:sz w:val="2"/>
          <w:szCs w:val="2"/>
        </w:rPr>
        <w:sectPr w:rsidR="004C1852" w:rsidRPr="00E61E72" w:rsidSect="0077001B">
          <w:headerReference w:type="first" r:id="rId19"/>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94A9F" w14:paraId="3418C7F0" w14:textId="77777777" w:rsidTr="006251A9">
        <w:trPr>
          <w:trHeight w:val="1626"/>
        </w:trPr>
        <w:tc>
          <w:tcPr>
            <w:tcW w:w="4926" w:type="dxa"/>
          </w:tcPr>
          <w:p w14:paraId="5DC2A5EE" w14:textId="77777777" w:rsidR="00394A9F" w:rsidRPr="004A1D19" w:rsidRDefault="00394A9F" w:rsidP="006251A9">
            <w:pPr>
              <w:spacing w:before="0" w:after="0" w:line="276" w:lineRule="auto"/>
              <w:rPr>
                <w:rFonts w:cs="Arial"/>
                <w:sz w:val="20"/>
              </w:rPr>
            </w:pPr>
            <w:bookmarkStart w:id="0" w:name="_Hlk220583486"/>
            <w:r w:rsidRPr="004A1D19">
              <w:rPr>
                <w:rFonts w:cs="Arial"/>
                <w:sz w:val="20"/>
              </w:rPr>
              <w:lastRenderedPageBreak/>
              <w:t>Opracowanie merytoryczne:</w:t>
            </w:r>
          </w:p>
          <w:p w14:paraId="0F648351" w14:textId="77777777" w:rsidR="00394A9F" w:rsidRPr="008925F0" w:rsidRDefault="00394A9F" w:rsidP="006251A9">
            <w:pPr>
              <w:spacing w:before="0" w:line="276" w:lineRule="auto"/>
              <w:rPr>
                <w:rFonts w:cs="Arial"/>
                <w:b/>
                <w:color w:val="000000" w:themeColor="text1"/>
                <w:sz w:val="20"/>
              </w:rPr>
            </w:pPr>
            <w:r w:rsidRPr="00CA6556">
              <w:rPr>
                <w:rFonts w:cs="Arial"/>
                <w:b/>
                <w:sz w:val="20"/>
              </w:rPr>
              <w:t>Urząd Statystyczny w Rzeszowie</w:t>
            </w:r>
          </w:p>
          <w:p w14:paraId="1E0E6477" w14:textId="45917D3F" w:rsidR="00394A9F" w:rsidRPr="00DE2400" w:rsidRDefault="001C6AA2" w:rsidP="006251A9">
            <w:pPr>
              <w:spacing w:before="0" w:after="0" w:line="276" w:lineRule="auto"/>
              <w:rPr>
                <w:b/>
                <w:lang w:val="fi-FI"/>
              </w:rPr>
            </w:pPr>
            <w:r>
              <w:rPr>
                <w:rFonts w:cs="Arial"/>
                <w:b/>
                <w:sz w:val="20"/>
              </w:rPr>
              <w:t xml:space="preserve">p.o. </w:t>
            </w:r>
            <w:r w:rsidR="00394A9F" w:rsidRPr="00CA6556">
              <w:rPr>
                <w:rFonts w:cs="Arial"/>
                <w:b/>
                <w:sz w:val="20"/>
              </w:rPr>
              <w:t>Dyrektor</w:t>
            </w:r>
            <w:r>
              <w:rPr>
                <w:rFonts w:cs="Arial"/>
                <w:b/>
                <w:sz w:val="20"/>
              </w:rPr>
              <w:t>a</w:t>
            </w:r>
            <w:r w:rsidR="00394A9F" w:rsidRPr="00CA6556">
              <w:rPr>
                <w:rFonts w:cs="Arial"/>
                <w:b/>
                <w:sz w:val="20"/>
              </w:rPr>
              <w:t xml:space="preserve"> </w:t>
            </w:r>
            <w:r w:rsidR="00394A9F">
              <w:rPr>
                <w:rFonts w:cs="Arial"/>
                <w:b/>
                <w:sz w:val="20"/>
              </w:rPr>
              <w:t>Andżelika Malinowska</w:t>
            </w:r>
          </w:p>
          <w:p w14:paraId="2930D8E3" w14:textId="77777777" w:rsidR="00394A9F" w:rsidRPr="00AB24E4" w:rsidRDefault="00394A9F" w:rsidP="006251A9">
            <w:pPr>
              <w:pStyle w:val="Nagwek3"/>
              <w:spacing w:before="0" w:after="120" w:line="276" w:lineRule="auto"/>
              <w:rPr>
                <w:rFonts w:ascii="Fira Sans" w:hAnsi="Fira Sans" w:cs="Arial"/>
                <w:color w:val="000000" w:themeColor="text1"/>
                <w:sz w:val="20"/>
                <w:lang w:val="fi-FI"/>
              </w:rPr>
            </w:pPr>
            <w:r w:rsidRPr="00CA6556">
              <w:rPr>
                <w:rFonts w:ascii="Fira Sans" w:hAnsi="Fira Sans" w:cs="Arial"/>
                <w:color w:val="auto"/>
                <w:sz w:val="20"/>
                <w:lang w:val="fi-FI"/>
              </w:rPr>
              <w:t>Tel</w:t>
            </w:r>
            <w:r>
              <w:rPr>
                <w:rFonts w:ascii="Fira Sans" w:hAnsi="Fira Sans" w:cs="Arial"/>
                <w:color w:val="auto"/>
                <w:sz w:val="20"/>
                <w:lang w:val="fi-FI"/>
              </w:rPr>
              <w:t>.</w:t>
            </w:r>
            <w:r w:rsidRPr="00CA6556">
              <w:rPr>
                <w:rFonts w:ascii="Fira Sans" w:hAnsi="Fira Sans" w:cs="Arial"/>
                <w:color w:val="auto"/>
                <w:sz w:val="20"/>
                <w:lang w:val="fi-FI"/>
              </w:rPr>
              <w:t>: 17 853 52 10, 17 853 52 19</w:t>
            </w:r>
          </w:p>
        </w:tc>
        <w:tc>
          <w:tcPr>
            <w:tcW w:w="4927" w:type="dxa"/>
          </w:tcPr>
          <w:p w14:paraId="51FD4405" w14:textId="77777777" w:rsidR="00394A9F" w:rsidRDefault="00394A9F" w:rsidP="006251A9">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Prasowy</w:t>
            </w:r>
          </w:p>
          <w:p w14:paraId="7C275F8F" w14:textId="77777777" w:rsidR="00394A9F" w:rsidRPr="0091780E" w:rsidRDefault="00394A9F" w:rsidP="006251A9">
            <w:pPr>
              <w:rPr>
                <w:sz w:val="20"/>
              </w:rPr>
            </w:pPr>
            <w:r w:rsidRPr="0091780E">
              <w:rPr>
                <w:sz w:val="20"/>
              </w:rPr>
              <w:t>Tel. komórkowy: +48 695 255 032</w:t>
            </w:r>
          </w:p>
          <w:p w14:paraId="0D89F8CC" w14:textId="77777777" w:rsidR="00394A9F" w:rsidRPr="0091780E" w:rsidRDefault="00394A9F" w:rsidP="006251A9">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011A69BA" w14:textId="77777777" w:rsidR="00394A9F" w:rsidRDefault="00394A9F" w:rsidP="006251A9">
            <w:r w:rsidRPr="00610ED9">
              <w:rPr>
                <w:b/>
                <w:sz w:val="20"/>
              </w:rPr>
              <w:t>e-mail:</w:t>
            </w:r>
            <w:r w:rsidRPr="00610ED9">
              <w:rPr>
                <w:sz w:val="20"/>
              </w:rPr>
              <w:t xml:space="preserve"> </w:t>
            </w:r>
            <w:hyperlink r:id="rId20" w:history="1">
              <w:r w:rsidRPr="00610ED9">
                <w:rPr>
                  <w:rStyle w:val="Hipercze"/>
                  <w:rFonts w:eastAsiaTheme="majorEastAsia" w:cs="Arial"/>
                  <w:b/>
                  <w:color w:val="auto"/>
                  <w:sz w:val="20"/>
                  <w:szCs w:val="20"/>
                </w:rPr>
                <w:t>obslugaprasowa@stat.gov.pl</w:t>
              </w:r>
            </w:hyperlink>
          </w:p>
          <w:p w14:paraId="6D56C036" w14:textId="77777777" w:rsidR="00394A9F" w:rsidRDefault="00394A9F" w:rsidP="006251A9">
            <w:pPr>
              <w:rPr>
                <w:sz w:val="18"/>
              </w:rPr>
            </w:pPr>
          </w:p>
        </w:tc>
      </w:tr>
      <w:tr w:rsidR="00394A9F" w14:paraId="06CB34C6" w14:textId="77777777" w:rsidTr="006251A9">
        <w:trPr>
          <w:trHeight w:val="418"/>
        </w:trPr>
        <w:tc>
          <w:tcPr>
            <w:tcW w:w="4926" w:type="dxa"/>
            <w:vMerge w:val="restart"/>
          </w:tcPr>
          <w:p w14:paraId="35BB0BFE" w14:textId="77777777" w:rsidR="00394A9F" w:rsidRPr="00F05FC7" w:rsidRDefault="00394A9F" w:rsidP="006251A9">
            <w:pPr>
              <w:rPr>
                <w:sz w:val="18"/>
                <w:lang w:val="en-US"/>
              </w:rPr>
            </w:pPr>
          </w:p>
        </w:tc>
        <w:tc>
          <w:tcPr>
            <w:tcW w:w="4927" w:type="dxa"/>
            <w:vAlign w:val="center"/>
          </w:tcPr>
          <w:p w14:paraId="63C7E5E4" w14:textId="7D149DC5" w:rsidR="00394A9F" w:rsidRDefault="00394A9F" w:rsidP="006251A9">
            <w:pPr>
              <w:ind w:firstLine="680"/>
              <w:rPr>
                <w:sz w:val="18"/>
              </w:rPr>
            </w:pPr>
            <w:r>
              <w:rPr>
                <w:noProof/>
                <w:sz w:val="20"/>
                <w:lang w:eastAsia="pl-PL"/>
              </w:rPr>
              <w:drawing>
                <wp:anchor distT="0" distB="0" distL="114300" distR="114300" simplePos="0" relativeHeight="251765760" behindDoc="0" locked="0" layoutInCell="1" allowOverlap="1" wp14:anchorId="592F7F78" wp14:editId="17FB1F7B">
                  <wp:simplePos x="0" y="0"/>
                  <wp:positionH relativeFrom="column">
                    <wp:posOffset>78740</wp:posOffset>
                  </wp:positionH>
                  <wp:positionV relativeFrom="paragraph">
                    <wp:posOffset>21590</wp:posOffset>
                  </wp:positionV>
                  <wp:extent cx="251460" cy="251460"/>
                  <wp:effectExtent l="0" t="0" r="0" b="0"/>
                  <wp:wrapNone/>
                  <wp:docPr id="21" name="Obraz 21" descr="Ikon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Ikona strony www"/>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C15C9A">
                <w:rPr>
                  <w:rStyle w:val="Hipercze"/>
                  <w:rFonts w:cstheme="minorBidi"/>
                  <w:sz w:val="20"/>
                </w:rPr>
                <w:t>stat.gov.pl</w:t>
              </w:r>
              <w:r w:rsidRPr="00C15C9A">
                <w:rPr>
                  <w:rStyle w:val="Hipercze"/>
                  <w:rFonts w:cstheme="minorBidi"/>
                  <w:sz w:val="18"/>
                </w:rPr>
                <w:t xml:space="preserve">     </w:t>
              </w:r>
            </w:hyperlink>
            <w:r>
              <w:rPr>
                <w:sz w:val="18"/>
              </w:rPr>
              <w:t xml:space="preserve"> </w:t>
            </w:r>
          </w:p>
        </w:tc>
      </w:tr>
      <w:tr w:rsidR="00394A9F" w14:paraId="52701D82" w14:textId="77777777" w:rsidTr="006251A9">
        <w:trPr>
          <w:trHeight w:val="418"/>
        </w:trPr>
        <w:tc>
          <w:tcPr>
            <w:tcW w:w="4926" w:type="dxa"/>
            <w:vMerge/>
          </w:tcPr>
          <w:p w14:paraId="3CB43458" w14:textId="77777777" w:rsidR="00394A9F" w:rsidRPr="00C91687" w:rsidRDefault="00394A9F" w:rsidP="006251A9">
            <w:pPr>
              <w:rPr>
                <w:b/>
                <w:sz w:val="20"/>
              </w:rPr>
            </w:pPr>
          </w:p>
        </w:tc>
        <w:tc>
          <w:tcPr>
            <w:tcW w:w="4927" w:type="dxa"/>
            <w:vAlign w:val="center"/>
          </w:tcPr>
          <w:p w14:paraId="6848F872" w14:textId="6798D89A" w:rsidR="00394A9F" w:rsidRDefault="00394A9F" w:rsidP="006251A9">
            <w:pPr>
              <w:ind w:firstLine="680"/>
              <w:rPr>
                <w:sz w:val="18"/>
              </w:rPr>
            </w:pPr>
            <w:r>
              <w:rPr>
                <w:noProof/>
                <w:sz w:val="20"/>
                <w:lang w:eastAsia="pl-PL"/>
              </w:rPr>
              <w:drawing>
                <wp:anchor distT="0" distB="0" distL="114300" distR="114300" simplePos="0" relativeHeight="251766784" behindDoc="0" locked="0" layoutInCell="1" allowOverlap="1" wp14:anchorId="61F0E100" wp14:editId="3CEEBA92">
                  <wp:simplePos x="0" y="0"/>
                  <wp:positionH relativeFrom="column">
                    <wp:posOffset>79375</wp:posOffset>
                  </wp:positionH>
                  <wp:positionV relativeFrom="paragraph">
                    <wp:posOffset>21590</wp:posOffset>
                  </wp:positionV>
                  <wp:extent cx="251460" cy="251460"/>
                  <wp:effectExtent l="0" t="0" r="0" b="0"/>
                  <wp:wrapNone/>
                  <wp:docPr id="22" name="Obraz 22" descr="Logo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Logo platformy X"/>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C15C9A">
                <w:rPr>
                  <w:rStyle w:val="Hipercze"/>
                  <w:rFonts w:cstheme="minorBidi"/>
                  <w:sz w:val="20"/>
                </w:rPr>
                <w:t>@GUS_STAT</w:t>
              </w:r>
            </w:hyperlink>
            <w:r>
              <w:rPr>
                <w:noProof/>
                <w:sz w:val="20"/>
                <w:lang w:eastAsia="pl-PL"/>
              </w:rPr>
              <w:t xml:space="preserve"> </w:t>
            </w:r>
          </w:p>
        </w:tc>
      </w:tr>
      <w:tr w:rsidR="00394A9F" w14:paraId="52243417" w14:textId="77777777" w:rsidTr="006251A9">
        <w:trPr>
          <w:trHeight w:val="476"/>
        </w:trPr>
        <w:tc>
          <w:tcPr>
            <w:tcW w:w="4926" w:type="dxa"/>
            <w:vMerge/>
          </w:tcPr>
          <w:p w14:paraId="3228D3E0" w14:textId="77777777" w:rsidR="00394A9F" w:rsidRPr="00C91687" w:rsidRDefault="00394A9F" w:rsidP="006251A9">
            <w:pPr>
              <w:rPr>
                <w:b/>
                <w:sz w:val="20"/>
              </w:rPr>
            </w:pPr>
          </w:p>
        </w:tc>
        <w:tc>
          <w:tcPr>
            <w:tcW w:w="4927" w:type="dxa"/>
          </w:tcPr>
          <w:p w14:paraId="6355156F" w14:textId="3926A4AF" w:rsidR="00394A9F" w:rsidRDefault="00394A9F" w:rsidP="006251A9">
            <w:pPr>
              <w:ind w:firstLine="680"/>
              <w:rPr>
                <w:sz w:val="18"/>
              </w:rPr>
            </w:pPr>
            <w:r>
              <w:rPr>
                <w:noProof/>
                <w:sz w:val="20"/>
                <w:lang w:eastAsia="pl-PL"/>
              </w:rPr>
              <w:drawing>
                <wp:anchor distT="0" distB="0" distL="114300" distR="114300" simplePos="0" relativeHeight="251767808" behindDoc="0" locked="0" layoutInCell="1" allowOverlap="1" wp14:anchorId="77396F00" wp14:editId="04D5C534">
                  <wp:simplePos x="0" y="0"/>
                  <wp:positionH relativeFrom="column">
                    <wp:posOffset>80645</wp:posOffset>
                  </wp:positionH>
                  <wp:positionV relativeFrom="paragraph">
                    <wp:posOffset>13970</wp:posOffset>
                  </wp:positionV>
                  <wp:extent cx="251460" cy="251460"/>
                  <wp:effectExtent l="0" t="0" r="0" b="0"/>
                  <wp:wrapNone/>
                  <wp:docPr id="23" name="Obraz 23" descr="Logo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acebooka"/>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C15C9A">
                <w:rPr>
                  <w:rStyle w:val="Hipercze"/>
                  <w:rFonts w:cstheme="minorBidi"/>
                  <w:sz w:val="20"/>
                </w:rPr>
                <w:t>@GlownyUrzadStatystyczny</w:t>
              </w:r>
            </w:hyperlink>
            <w:r>
              <w:rPr>
                <w:noProof/>
                <w:sz w:val="20"/>
                <w:lang w:eastAsia="pl-PL"/>
              </w:rPr>
              <w:t xml:space="preserve"> </w:t>
            </w:r>
          </w:p>
        </w:tc>
      </w:tr>
      <w:tr w:rsidR="00394A9F" w14:paraId="1A807B78" w14:textId="77777777" w:rsidTr="006251A9">
        <w:trPr>
          <w:trHeight w:val="426"/>
        </w:trPr>
        <w:tc>
          <w:tcPr>
            <w:tcW w:w="4926" w:type="dxa"/>
          </w:tcPr>
          <w:p w14:paraId="51EF3E5B" w14:textId="77777777" w:rsidR="00394A9F" w:rsidRPr="00C91687" w:rsidRDefault="00394A9F" w:rsidP="006251A9">
            <w:pPr>
              <w:rPr>
                <w:b/>
                <w:sz w:val="20"/>
              </w:rPr>
            </w:pPr>
          </w:p>
        </w:tc>
        <w:tc>
          <w:tcPr>
            <w:tcW w:w="4927" w:type="dxa"/>
          </w:tcPr>
          <w:p w14:paraId="62380764" w14:textId="248A1758" w:rsidR="00394A9F" w:rsidRPr="00F33D92" w:rsidRDefault="00394A9F" w:rsidP="006251A9">
            <w:pPr>
              <w:ind w:firstLine="680"/>
              <w:rPr>
                <w:noProof/>
                <w:sz w:val="20"/>
                <w:szCs w:val="20"/>
                <w:lang w:eastAsia="pl-PL"/>
              </w:rPr>
            </w:pPr>
            <w:r w:rsidRPr="00F33D92">
              <w:rPr>
                <w:noProof/>
                <w:sz w:val="20"/>
                <w:szCs w:val="20"/>
                <w:lang w:eastAsia="pl-PL"/>
              </w:rPr>
              <w:drawing>
                <wp:anchor distT="0" distB="0" distL="114300" distR="114300" simplePos="0" relativeHeight="251768832" behindDoc="0" locked="0" layoutInCell="1" allowOverlap="1" wp14:anchorId="2FE18EC3" wp14:editId="61689981">
                  <wp:simplePos x="0" y="0"/>
                  <wp:positionH relativeFrom="column">
                    <wp:posOffset>82550</wp:posOffset>
                  </wp:positionH>
                  <wp:positionV relativeFrom="paragraph">
                    <wp:posOffset>12700</wp:posOffset>
                  </wp:positionV>
                  <wp:extent cx="251460" cy="251460"/>
                  <wp:effectExtent l="0" t="0" r="0" b="0"/>
                  <wp:wrapNone/>
                  <wp:docPr id="5" name="Obraz 5" descr="Logo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Logo instagrama"/>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00C15C9A" w:rsidRPr="00F33D92">
                <w:rPr>
                  <w:rStyle w:val="Hipercze"/>
                  <w:rFonts w:cstheme="minorBidi"/>
                  <w:sz w:val="20"/>
                  <w:szCs w:val="20"/>
                </w:rPr>
                <w:t>@</w:t>
              </w:r>
              <w:r w:rsidRPr="00F33D92">
                <w:rPr>
                  <w:rStyle w:val="Hipercze"/>
                  <w:rFonts w:cstheme="minorBidi"/>
                  <w:sz w:val="20"/>
                  <w:szCs w:val="20"/>
                </w:rPr>
                <w:t>gus_stat</w:t>
              </w:r>
            </w:hyperlink>
          </w:p>
        </w:tc>
      </w:tr>
      <w:tr w:rsidR="00394A9F" w14:paraId="46ABB09C" w14:textId="77777777" w:rsidTr="006251A9">
        <w:trPr>
          <w:trHeight w:val="504"/>
        </w:trPr>
        <w:tc>
          <w:tcPr>
            <w:tcW w:w="4926" w:type="dxa"/>
          </w:tcPr>
          <w:p w14:paraId="4E0D72E6" w14:textId="77777777" w:rsidR="00394A9F" w:rsidRPr="00C91687" w:rsidRDefault="00394A9F" w:rsidP="006251A9">
            <w:pPr>
              <w:rPr>
                <w:b/>
                <w:sz w:val="20"/>
              </w:rPr>
            </w:pPr>
          </w:p>
        </w:tc>
        <w:tc>
          <w:tcPr>
            <w:tcW w:w="4927" w:type="dxa"/>
          </w:tcPr>
          <w:p w14:paraId="74FDC641" w14:textId="53573187" w:rsidR="00394A9F" w:rsidRDefault="00394A9F" w:rsidP="006251A9">
            <w:pPr>
              <w:ind w:firstLine="680"/>
              <w:rPr>
                <w:noProof/>
                <w:sz w:val="20"/>
                <w:lang w:eastAsia="pl-PL"/>
              </w:rPr>
            </w:pPr>
            <w:r>
              <w:rPr>
                <w:noProof/>
                <w:sz w:val="20"/>
                <w:lang w:eastAsia="pl-PL"/>
              </w:rPr>
              <w:drawing>
                <wp:anchor distT="0" distB="0" distL="114300" distR="114300" simplePos="0" relativeHeight="251769856" behindDoc="0" locked="0" layoutInCell="1" allowOverlap="1" wp14:anchorId="44A5D3F0" wp14:editId="54D0981E">
                  <wp:simplePos x="0" y="0"/>
                  <wp:positionH relativeFrom="column">
                    <wp:posOffset>82550</wp:posOffset>
                  </wp:positionH>
                  <wp:positionV relativeFrom="paragraph">
                    <wp:posOffset>13970</wp:posOffset>
                  </wp:positionV>
                  <wp:extent cx="251460" cy="251460"/>
                  <wp:effectExtent l="0" t="0" r="0" b="0"/>
                  <wp:wrapNone/>
                  <wp:docPr id="11" name="Obraz 11" descr="Logo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Logo Youtub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history="1">
              <w:r w:rsidR="00C15C9A" w:rsidRPr="00C15C9A">
                <w:rPr>
                  <w:rStyle w:val="Hipercze"/>
                  <w:rFonts w:cstheme="minorBidi"/>
                  <w:sz w:val="20"/>
                </w:rPr>
                <w:t>@GłównyUrządStatystycznyGUS</w:t>
              </w:r>
            </w:hyperlink>
          </w:p>
        </w:tc>
      </w:tr>
      <w:tr w:rsidR="00394A9F" w14:paraId="0060558E" w14:textId="77777777" w:rsidTr="006251A9">
        <w:trPr>
          <w:trHeight w:val="1546"/>
        </w:trPr>
        <w:tc>
          <w:tcPr>
            <w:tcW w:w="4926" w:type="dxa"/>
          </w:tcPr>
          <w:p w14:paraId="43A33A65" w14:textId="77777777" w:rsidR="00394A9F" w:rsidRPr="00C91687" w:rsidRDefault="00394A9F" w:rsidP="006251A9">
            <w:pPr>
              <w:rPr>
                <w:b/>
                <w:sz w:val="20"/>
              </w:rPr>
            </w:pPr>
          </w:p>
        </w:tc>
        <w:tc>
          <w:tcPr>
            <w:tcW w:w="4927" w:type="dxa"/>
          </w:tcPr>
          <w:p w14:paraId="680419D8" w14:textId="429CCE3B" w:rsidR="00394A9F" w:rsidRDefault="005715E4" w:rsidP="006251A9">
            <w:pPr>
              <w:ind w:firstLine="680"/>
              <w:rPr>
                <w:noProof/>
                <w:sz w:val="20"/>
                <w:lang w:eastAsia="pl-PL"/>
              </w:rPr>
            </w:pPr>
            <w:hyperlink r:id="rId31" w:history="1">
              <w:r w:rsidR="00C15C9A" w:rsidRPr="008D6174">
                <w:rPr>
                  <w:rStyle w:val="Hipercze"/>
                  <w:rFonts w:cstheme="minorBidi"/>
                  <w:noProof/>
                  <w:sz w:val="20"/>
                  <w:lang w:eastAsia="pl-PL"/>
                </w:rPr>
                <w:t>@Główny Urząd Statystyczny</w:t>
              </w:r>
            </w:hyperlink>
            <w:r w:rsidR="00394A9F">
              <w:rPr>
                <w:noProof/>
                <w:sz w:val="20"/>
                <w:lang w:eastAsia="pl-PL"/>
              </w:rPr>
              <w:drawing>
                <wp:anchor distT="0" distB="0" distL="114300" distR="114300" simplePos="0" relativeHeight="251770880" behindDoc="0" locked="0" layoutInCell="1" allowOverlap="1" wp14:anchorId="7D41D9C2" wp14:editId="100617ED">
                  <wp:simplePos x="0" y="0"/>
                  <wp:positionH relativeFrom="column">
                    <wp:posOffset>82550</wp:posOffset>
                  </wp:positionH>
                  <wp:positionV relativeFrom="paragraph">
                    <wp:posOffset>15240</wp:posOffset>
                  </wp:positionV>
                  <wp:extent cx="251460" cy="251460"/>
                  <wp:effectExtent l="0" t="0" r="0" b="0"/>
                  <wp:wrapNone/>
                  <wp:docPr id="4" name="Obraz 4" descr="Logo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Logo linkedin"/>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94A9F" w:rsidRPr="00C4409A" w14:paraId="4B6E152F" w14:textId="77777777" w:rsidTr="006251A9">
        <w:trPr>
          <w:trHeight w:val="4114"/>
        </w:trPr>
        <w:tc>
          <w:tcPr>
            <w:tcW w:w="9853" w:type="dxa"/>
            <w:gridSpan w:val="2"/>
            <w:shd w:val="clear" w:color="auto" w:fill="D9D9D9" w:themeFill="background1" w:themeFillShade="D9"/>
          </w:tcPr>
          <w:p w14:paraId="0ABED326" w14:textId="77777777" w:rsidR="00394A9F" w:rsidRPr="00876479" w:rsidRDefault="00394A9F" w:rsidP="006251A9">
            <w:pPr>
              <w:shd w:val="clear" w:color="auto" w:fill="D9D9D9" w:themeFill="background1" w:themeFillShade="D9"/>
              <w:rPr>
                <w:b/>
              </w:rPr>
            </w:pPr>
            <w:r w:rsidRPr="00210B1C">
              <w:rPr>
                <w:b/>
              </w:rPr>
              <w:t>Powiązane opracowania</w:t>
            </w:r>
          </w:p>
          <w:p w14:paraId="55B712E0" w14:textId="77777777" w:rsidR="00394A9F" w:rsidRDefault="005715E4" w:rsidP="006251A9">
            <w:pPr>
              <w:rPr>
                <w:rStyle w:val="Hipercze"/>
              </w:rPr>
            </w:pPr>
            <w:hyperlink r:id="rId33" w:tooltip="Link do publikacji Zmiany strukturalne grup podmiotów gospodarki narodowej na obszarach przygranicznych na terenie Polski w latach 2023-2024" w:history="1">
              <w:r w:rsidR="00394A9F" w:rsidRPr="00C4409A">
                <w:rPr>
                  <w:rStyle w:val="Hipercze"/>
                </w:rPr>
                <w:t>Zmiany strukturalne grup podmiotów gospodarki narodowej na obszarach przygranicznych na terenie Polski</w:t>
              </w:r>
            </w:hyperlink>
          </w:p>
          <w:p w14:paraId="18A98DB5" w14:textId="08B67EDF" w:rsidR="0002381C" w:rsidRPr="00C4409A" w:rsidRDefault="005715E4" w:rsidP="006251A9">
            <w:pPr>
              <w:rPr>
                <w:rFonts w:cs="Times New Roman"/>
              </w:rPr>
            </w:pPr>
            <w:hyperlink r:id="rId34" w:tooltip="Link do publikacji Zmiany strukturalne grup podmiotów gospodarki narodowej w rejestrze REGON, 2025" w:history="1">
              <w:r w:rsidR="0002381C" w:rsidRPr="0002381C">
                <w:rPr>
                  <w:rStyle w:val="Hipercze"/>
                </w:rPr>
                <w:t>Zmiany strukturalne grup podmiotów gospodarki narodowej w rejestrze REGON, 2025</w:t>
              </w:r>
            </w:hyperlink>
          </w:p>
          <w:p w14:paraId="6B5BFAD2" w14:textId="77777777" w:rsidR="00394A9F" w:rsidRPr="00694D63" w:rsidRDefault="00394A9F" w:rsidP="006251A9">
            <w:pPr>
              <w:shd w:val="clear" w:color="auto" w:fill="D9D9D9" w:themeFill="background1" w:themeFillShade="D9"/>
              <w:spacing w:before="360"/>
              <w:rPr>
                <w:b/>
                <w:color w:val="000000" w:themeColor="text1"/>
                <w:szCs w:val="24"/>
              </w:rPr>
            </w:pPr>
            <w:r>
              <w:rPr>
                <w:b/>
                <w:color w:val="000000" w:themeColor="text1"/>
                <w:szCs w:val="24"/>
              </w:rPr>
              <w:t>Temat dostępny w bazach danych</w:t>
            </w:r>
          </w:p>
          <w:p w14:paraId="6932CB80" w14:textId="11474200" w:rsidR="00BC6F09" w:rsidRDefault="005715E4" w:rsidP="006251A9">
            <w:pPr>
              <w:shd w:val="clear" w:color="auto" w:fill="D9D9D9" w:themeFill="background1" w:themeFillShade="D9"/>
              <w:rPr>
                <w:rFonts w:cs="Times New Roman"/>
              </w:rPr>
            </w:pPr>
            <w:hyperlink r:id="rId35" w:tooltip="Link do bazy danych dashboard REGON" w:history="1">
              <w:r w:rsidR="00BC6F09" w:rsidRPr="00BC6F09">
                <w:rPr>
                  <w:rStyle w:val="Hipercze"/>
                </w:rPr>
                <w:t>Dashboard REGON</w:t>
              </w:r>
            </w:hyperlink>
          </w:p>
          <w:p w14:paraId="69AD4F92" w14:textId="5BB6F5FF" w:rsidR="00BC6F09" w:rsidRPr="00C4409A" w:rsidRDefault="005715E4" w:rsidP="00BC6F09">
            <w:pPr>
              <w:rPr>
                <w:rStyle w:val="Hipercze"/>
                <w:rFonts w:cstheme="minorBidi"/>
              </w:rPr>
            </w:pPr>
            <w:hyperlink r:id="rId36" w:tooltip="Link do bazy danych Dashboard gospodarczy" w:history="1">
              <w:r w:rsidR="00BC6F09" w:rsidRPr="00D51528">
                <w:rPr>
                  <w:rStyle w:val="Hipercze"/>
                </w:rPr>
                <w:t xml:space="preserve">Dashboard </w:t>
              </w:r>
              <w:r w:rsidR="000E0CE1">
                <w:rPr>
                  <w:rStyle w:val="Hipercze"/>
                </w:rPr>
                <w:t>G</w:t>
              </w:r>
              <w:r w:rsidR="00BC6F09" w:rsidRPr="00D51528">
                <w:rPr>
                  <w:rStyle w:val="Hipercze"/>
                </w:rPr>
                <w:t>ospodarczy</w:t>
              </w:r>
            </w:hyperlink>
          </w:p>
          <w:p w14:paraId="42B24AF1" w14:textId="67C41A53" w:rsidR="00394A9F" w:rsidRPr="00992AC8" w:rsidRDefault="00394A9F" w:rsidP="006251A9">
            <w:pPr>
              <w:shd w:val="clear" w:color="auto" w:fill="D9D9D9" w:themeFill="background1" w:themeFillShade="D9"/>
              <w:rPr>
                <w:color w:val="000000" w:themeColor="text1"/>
                <w:szCs w:val="24"/>
              </w:rPr>
            </w:pPr>
            <w:r>
              <w:rPr>
                <w:rFonts w:cs="Times New Roman"/>
              </w:rPr>
              <w:fldChar w:fldCharType="begin"/>
            </w:r>
            <w:r w:rsidRPr="00C4409A">
              <w:rPr>
                <w:rFonts w:cs="Times New Roman"/>
              </w:rPr>
              <w:instrText xml:space="preserve"> HYPERLINK "https://stat.gov.pl/" \o "Link do danych w bazie..." </w:instrText>
            </w:r>
            <w:r>
              <w:rPr>
                <w:rFonts w:cs="Times New Roman"/>
              </w:rPr>
            </w:r>
            <w:r>
              <w:rPr>
                <w:rFonts w:cs="Times New Roman"/>
              </w:rPr>
              <w:fldChar w:fldCharType="separate"/>
            </w:r>
            <w:hyperlink r:id="rId37" w:tooltip="Link do bazy danych Bank Danych Lokalnych" w:history="1">
              <w:r w:rsidRPr="00992AC8">
                <w:rPr>
                  <w:rStyle w:val="Hipercze"/>
                  <w:rFonts w:cstheme="minorBidi"/>
                  <w:szCs w:val="24"/>
                </w:rPr>
                <w:t>Bank Danych Lokalnych</w:t>
              </w:r>
            </w:hyperlink>
          </w:p>
          <w:p w14:paraId="747B6B04" w14:textId="77777777" w:rsidR="00394A9F" w:rsidRPr="00694D63" w:rsidRDefault="00394A9F" w:rsidP="006251A9">
            <w:pPr>
              <w:shd w:val="clear" w:color="auto" w:fill="D9D9D9" w:themeFill="background1" w:themeFillShade="D9"/>
              <w:spacing w:before="360"/>
              <w:rPr>
                <w:b/>
                <w:color w:val="000000" w:themeColor="text1"/>
                <w:szCs w:val="24"/>
              </w:rPr>
            </w:pPr>
            <w:r>
              <w:rPr>
                <w:rFonts w:cs="Times New Roman"/>
              </w:rPr>
              <w:fldChar w:fldCharType="end"/>
            </w:r>
            <w:r w:rsidRPr="00694D63">
              <w:rPr>
                <w:b/>
                <w:color w:val="000000" w:themeColor="text1"/>
                <w:szCs w:val="24"/>
              </w:rPr>
              <w:t>Ważniejsze pojęcia dostępne w słowniku</w:t>
            </w:r>
          </w:p>
          <w:p w14:paraId="3DC56B2B" w14:textId="77777777" w:rsidR="00394A9F" w:rsidRPr="009E7122" w:rsidRDefault="005715E4" w:rsidP="006251A9">
            <w:pPr>
              <w:rPr>
                <w:rStyle w:val="Hipercze"/>
                <w:rFonts w:cstheme="minorBidi"/>
                <w:color w:val="auto"/>
              </w:rPr>
            </w:pPr>
            <w:hyperlink r:id="rId38" w:tooltip="Link do pojęcia Podmioty gospodarki narodowej" w:history="1">
              <w:r w:rsidR="00394A9F" w:rsidRPr="009E7122">
                <w:rPr>
                  <w:rStyle w:val="Hipercze"/>
                </w:rPr>
                <w:t>Podmiot gospodarki narodowej</w:t>
              </w:r>
            </w:hyperlink>
          </w:p>
          <w:p w14:paraId="59AD2E0E" w14:textId="77777777" w:rsidR="00394A9F" w:rsidRPr="009E7122" w:rsidRDefault="00394A9F" w:rsidP="006251A9">
            <w:pPr>
              <w:rPr>
                <w:rStyle w:val="Hipercze"/>
                <w:rFonts w:cstheme="minorBidi"/>
              </w:rPr>
            </w:pPr>
            <w:r w:rsidRPr="009E7122">
              <w:rPr>
                <w:rFonts w:cs="Times New Roman"/>
                <w:u w:val="single"/>
              </w:rPr>
              <w:fldChar w:fldCharType="begin"/>
            </w:r>
            <w:r>
              <w:rPr>
                <w:rFonts w:cs="Times New Roman"/>
                <w:u w:val="single"/>
              </w:rPr>
              <w:instrText>HYPERLINK "http://stat.gov.pl/metainformacje/slownik-pojec/pojecia-stosowane-w-statystyce-publicznej/817,pojecie.html" \o "Link do pojęcia Osoba fizyczna prowadząca działalność gospodarczą"</w:instrText>
            </w:r>
            <w:r w:rsidRPr="009E7122">
              <w:rPr>
                <w:rFonts w:cs="Times New Roman"/>
                <w:u w:val="single"/>
              </w:rPr>
            </w:r>
            <w:r w:rsidRPr="009E7122">
              <w:rPr>
                <w:rFonts w:cs="Times New Roman"/>
                <w:u w:val="single"/>
              </w:rPr>
              <w:fldChar w:fldCharType="separate"/>
            </w:r>
            <w:r w:rsidRPr="009E7122">
              <w:rPr>
                <w:rStyle w:val="Hipercze"/>
              </w:rPr>
              <w:t>Osoba fizyczna prowadząca działalność gospodarczą</w:t>
            </w:r>
          </w:p>
          <w:p w14:paraId="63CCBC54" w14:textId="77777777" w:rsidR="00394A9F" w:rsidRPr="00577991" w:rsidRDefault="00394A9F" w:rsidP="006251A9">
            <w:pPr>
              <w:rPr>
                <w:rStyle w:val="Hipercze"/>
              </w:rPr>
            </w:pPr>
            <w:r w:rsidRPr="009E7122">
              <w:rPr>
                <w:rFonts w:cs="Times New Roman"/>
                <w:u w:val="single"/>
              </w:rPr>
              <w:fldChar w:fldCharType="end"/>
            </w:r>
            <w:hyperlink r:id="rId39" w:tooltip="Link do pojęcia Sektor prywatny" w:history="1">
              <w:r w:rsidRPr="00577991">
                <w:rPr>
                  <w:rStyle w:val="Hipercze"/>
                </w:rPr>
                <w:t>Sektor prywatny</w:t>
              </w:r>
            </w:hyperlink>
          </w:p>
          <w:p w14:paraId="4061DC46" w14:textId="77777777" w:rsidR="00394A9F" w:rsidRDefault="005715E4" w:rsidP="006251A9">
            <w:pPr>
              <w:rPr>
                <w:rFonts w:cs="Times New Roman"/>
                <w:u w:val="single"/>
              </w:rPr>
            </w:pPr>
            <w:hyperlink r:id="rId40" w:tooltip="Link do pojęcia Sektor publiczny" w:history="1">
              <w:r w:rsidR="00394A9F" w:rsidRPr="009E7122">
                <w:rPr>
                  <w:rStyle w:val="Hipercze"/>
                </w:rPr>
                <w:t>Sektor publiczny</w:t>
              </w:r>
            </w:hyperlink>
          </w:p>
          <w:p w14:paraId="054C49A4" w14:textId="77777777" w:rsidR="00394A9F" w:rsidRPr="00577991" w:rsidRDefault="00394A9F" w:rsidP="006251A9">
            <w:pPr>
              <w:rPr>
                <w:b/>
                <w:color w:val="000000" w:themeColor="text1"/>
                <w:szCs w:val="24"/>
              </w:rPr>
            </w:pPr>
          </w:p>
          <w:p w14:paraId="5AB1D4BF" w14:textId="77777777" w:rsidR="00394A9F" w:rsidRPr="00107E53" w:rsidRDefault="005715E4" w:rsidP="006251A9">
            <w:pPr>
              <w:rPr>
                <w:rStyle w:val="Hipercze"/>
                <w:b/>
                <w:bCs/>
              </w:rPr>
            </w:pPr>
            <w:hyperlink r:id="rId41" w:tooltip="Link do informacji o rejestrze REGON" w:history="1">
              <w:r w:rsidR="00394A9F" w:rsidRPr="00107E53">
                <w:rPr>
                  <w:rStyle w:val="Hipercze"/>
                  <w:b/>
                  <w:bCs/>
                </w:rPr>
                <w:t>Więcej informacji o rejestrze REGON</w:t>
              </w:r>
            </w:hyperlink>
          </w:p>
          <w:p w14:paraId="733B77C1" w14:textId="77777777" w:rsidR="00394A9F" w:rsidRPr="00C4409A" w:rsidRDefault="00394A9F" w:rsidP="006251A9">
            <w:pPr>
              <w:rPr>
                <w:b/>
                <w:color w:val="000000" w:themeColor="text1"/>
                <w:szCs w:val="24"/>
              </w:rPr>
            </w:pPr>
          </w:p>
        </w:tc>
      </w:tr>
      <w:bookmarkEnd w:id="0"/>
    </w:tbl>
    <w:p w14:paraId="0DA4F2FA" w14:textId="77777777" w:rsidR="00194119" w:rsidRPr="00577991" w:rsidRDefault="00194119" w:rsidP="009E7122">
      <w:pPr>
        <w:rPr>
          <w:sz w:val="20"/>
        </w:rPr>
      </w:pPr>
    </w:p>
    <w:sectPr w:rsidR="00194119" w:rsidRPr="00577991"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0CEB" w14:textId="77777777" w:rsidR="00262B61" w:rsidRDefault="00262B61" w:rsidP="000662E2">
      <w:pPr>
        <w:spacing w:after="0" w:line="240" w:lineRule="auto"/>
      </w:pPr>
      <w:r>
        <w:separator/>
      </w:r>
    </w:p>
  </w:endnote>
  <w:endnote w:type="continuationSeparator" w:id="0">
    <w:p w14:paraId="7B920CEC" w14:textId="77777777" w:rsidR="00262B61" w:rsidRDefault="00262B6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378187"/>
      <w:docPartObj>
        <w:docPartGallery w:val="Page Numbers (Bottom of Page)"/>
        <w:docPartUnique/>
      </w:docPartObj>
    </w:sdtPr>
    <w:sdtEndPr/>
    <w:sdtContent>
      <w:p w14:paraId="7B920CEF" w14:textId="77777777" w:rsidR="00EB556D" w:rsidRDefault="00541E6E" w:rsidP="003B18B6">
        <w:pPr>
          <w:pStyle w:val="Stopka"/>
          <w:jc w:val="center"/>
        </w:pPr>
        <w:r>
          <w:fldChar w:fldCharType="begin"/>
        </w:r>
        <w:r>
          <w:instrText>PAGE   \* MERGEFORMAT</w:instrText>
        </w:r>
        <w:r>
          <w:fldChar w:fldCharType="separate"/>
        </w:r>
        <w:r w:rsidR="00DE4D4E">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306744"/>
      <w:docPartObj>
        <w:docPartGallery w:val="Page Numbers (Bottom of Page)"/>
        <w:docPartUnique/>
      </w:docPartObj>
    </w:sdtPr>
    <w:sdtEndPr/>
    <w:sdtContent>
      <w:p w14:paraId="7B920CF2" w14:textId="77777777" w:rsidR="00EB556D" w:rsidRDefault="00541E6E" w:rsidP="003B18B6">
        <w:pPr>
          <w:pStyle w:val="Stopka"/>
          <w:jc w:val="center"/>
        </w:pPr>
        <w:r>
          <w:fldChar w:fldCharType="begin"/>
        </w:r>
        <w:r>
          <w:instrText>PAGE   \* MERGEFORMAT</w:instrText>
        </w:r>
        <w:r>
          <w:fldChar w:fldCharType="separate"/>
        </w:r>
        <w:r w:rsidR="00DE4D4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7B920CF5" w14:textId="77777777" w:rsidR="003B18B6" w:rsidRDefault="003B18B6" w:rsidP="003B18B6">
        <w:pPr>
          <w:pStyle w:val="Stopka"/>
          <w:jc w:val="center"/>
        </w:pPr>
        <w:r>
          <w:fldChar w:fldCharType="begin"/>
        </w:r>
        <w:r>
          <w:instrText>PAGE   \* MERGEFORMAT</w:instrText>
        </w:r>
        <w:r>
          <w:fldChar w:fldCharType="separate"/>
        </w:r>
        <w:r w:rsidR="00DE4D4E">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0CE9" w14:textId="77777777" w:rsidR="00262B61" w:rsidRDefault="00262B61" w:rsidP="000662E2">
      <w:pPr>
        <w:spacing w:after="0" w:line="240" w:lineRule="auto"/>
      </w:pPr>
      <w:r>
        <w:separator/>
      </w:r>
    </w:p>
  </w:footnote>
  <w:footnote w:type="continuationSeparator" w:id="0">
    <w:p w14:paraId="7B920CEA" w14:textId="77777777" w:rsidR="00262B61" w:rsidRDefault="00262B61" w:rsidP="000662E2">
      <w:pPr>
        <w:spacing w:after="0" w:line="240" w:lineRule="auto"/>
      </w:pPr>
      <w:r>
        <w:continuationSeparator/>
      </w:r>
    </w:p>
  </w:footnote>
  <w:footnote w:id="1">
    <w:p w14:paraId="0204ABF0" w14:textId="77777777" w:rsidR="00BD7280" w:rsidRPr="00AA1F4A" w:rsidRDefault="00BD7280" w:rsidP="00BD7280">
      <w:pPr>
        <w:pStyle w:val="Tekstprzypisudolnego"/>
        <w:rPr>
          <w:sz w:val="19"/>
          <w:szCs w:val="19"/>
        </w:rPr>
      </w:pPr>
      <w:r w:rsidRPr="00AA1F4A">
        <w:rPr>
          <w:rStyle w:val="Odwoanieprzypisudolnego"/>
          <w:sz w:val="19"/>
          <w:szCs w:val="19"/>
        </w:rPr>
        <w:footnoteRef/>
      </w:r>
      <w:r w:rsidRPr="00AA1F4A">
        <w:rPr>
          <w:sz w:val="19"/>
          <w:szCs w:val="19"/>
        </w:rPr>
        <w:t xml:space="preserve"> Z województwa mazowieckiego 1 powiat zaliczany jest do obszaru strefy przygranicznej.</w:t>
      </w:r>
    </w:p>
  </w:footnote>
  <w:footnote w:id="2">
    <w:p w14:paraId="68261FA1" w14:textId="77777777" w:rsidR="00401CD7" w:rsidRPr="00AA1F4A" w:rsidRDefault="00401CD7" w:rsidP="00401CD7">
      <w:pPr>
        <w:pStyle w:val="Tekstprzypisudolnego"/>
        <w:rPr>
          <w:sz w:val="19"/>
          <w:szCs w:val="19"/>
        </w:rPr>
      </w:pPr>
      <w:r w:rsidRPr="00AA1F4A">
        <w:rPr>
          <w:rStyle w:val="Odwoanieprzypisudolnego"/>
          <w:sz w:val="19"/>
          <w:szCs w:val="19"/>
        </w:rPr>
        <w:footnoteRef/>
      </w:r>
      <w:r w:rsidRPr="00AA1F4A">
        <w:rPr>
          <w:sz w:val="19"/>
          <w:szCs w:val="19"/>
        </w:rPr>
        <w:t xml:space="preserve"> </w:t>
      </w:r>
      <w:r w:rsidRPr="00AA1F4A">
        <w:rPr>
          <w:rFonts w:cs="Arial"/>
          <w:sz w:val="19"/>
          <w:szCs w:val="19"/>
        </w:rPr>
        <w:t>W układzie Polskiej Klasyfikacji Działalności – PKD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ED"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280F174">
              <wp:simplePos x="0" y="0"/>
              <wp:positionH relativeFrom="column">
                <wp:posOffset>5214620</wp:posOffset>
              </wp:positionH>
              <wp:positionV relativeFrom="paragraph">
                <wp:posOffset>-178435</wp:posOffset>
              </wp:positionV>
              <wp:extent cx="1874520" cy="22680295"/>
              <wp:effectExtent l="0" t="0" r="0" b="8255"/>
              <wp:wrapNone/>
              <wp:docPr id="24" name="Prostoką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6FE9D" id="Prostokąt 24" o:spid="_x0000_s1026" alt="&quot;&quot;"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8xigIAAIQFAAAOAAAAZHJzL2Uyb0RvYy54bWysVEtv2zAMvg/YfxB0X+0YSR9BnSJo0WFA&#10;1xVrh54VWYoFyKImKXGyXz9Kcpy2K3YYdpElPj6Sn0leXu06TbbCeQWmppOTkhJhODTKrGv64+n2&#10;0zklPjDTMA1G1HQvPL1afPxw2du5qKAF3QhHEMT4eW9r2oZg50XheSs65k/ACoNKCa5jAZ9uXTSO&#10;9Yje6aIqy9OiB9dYB1x4j9KbrKSLhC+l4OGblF4EomuKuYV0unSu4lksLtl87ZhtFR/SYP+QRceU&#10;waAj1A0LjGyc+gOqU9yBBxlOOHQFSKm4SDVgNZPyTTWPLbMi1YLkeDvS5P8fLL/fPtoHhzT01s89&#10;XmMVO+m6+MX8yC6RtR/JErtAOAon52fTWYWcctRV1el5WV3MIp/F0d86Hz4L6Ei81NTh70gsse2d&#10;D9n0YBLDedCquVVap0dsAXGtHdky/Hmr9SS56k33FZosu5iVZfqFGDJ1TDRPCbxC0ibiGYjIOWiU&#10;FMeC0y3stYh22nwXkqgGS6xSxBE5B2WcCxNyMr5ljcjimMr7uSTAiCwx/og9ALwu8oCdsxzso6tI&#10;rTw6l39LLDuPHikymDA6d8qAew9AY1VD5Gx/IClTE1laQbN/cMRBHiRv+a3CX3vHfHhgDicH+wG3&#10;QfiGh9TQ1xSGGyUtuF/vyaM9NjRqKelxEmvqf26YE5ToLwZb/WIyncbRTY/p7Cz2nHupWb3UmE13&#10;DdgvE9w7lqdrtA/6cJUOumdcGssYFVXMcIxdUx7c4XEd8obAtcPFcpnMcFwtC3fm0fIIHlmNrfu0&#10;e2bODv0dcDbu4TC1bP6mzbNt9DSw3ASQKs3AkdeBbxz11MTDWoq75OU7WR2X5+I3AAAA//8DAFBL&#10;AwQUAAYACAAAACEAOGKnzuIAAAANAQAADwAAAGRycy9kb3ducmV2LnhtbEyPwU7DMBBE70j8g7VI&#10;3FrHbmulIU6FKlWcOFAiJG5OvE0iYjvEThP+HvcEx9U8zbzND4vpyRVH3zkrga0TIGhrpzvbSCjf&#10;T6sUiA/KatU7ixJ+0MOhuL/LVabdbN/weg4NiSXWZ0pCG8KQUerrFo3yazegjdnFjUaFeI4N1aOa&#10;Y7npKU8SQY3qbFxo1YDHFuuv82Qk8HLZ8fn1tP/4LKuXREzfR45CyseH5fkJSMAl/MFw04/qUESn&#10;yk1We9JLSDnjEZWw4ikDciMYE1sglYTNbrsRQIuc/v+i+AUAAP//AwBQSwECLQAUAAYACAAAACEA&#10;toM4kv4AAADhAQAAEwAAAAAAAAAAAAAAAAAAAAAAW0NvbnRlbnRfVHlwZXNdLnhtbFBLAQItABQA&#10;BgAIAAAAIQA4/SH/1gAAAJQBAAALAAAAAAAAAAAAAAAAAC8BAABfcmVscy8ucmVsc1BLAQItABQA&#10;BgAIAAAAIQBmhg8xigIAAIQFAAAOAAAAAAAAAAAAAAAAAC4CAABkcnMvZTJvRG9jLnhtbFBLAQIt&#10;ABQABgAIAAAAIQA4YqfO4gAAAA0BAAAPAAAAAAAAAAAAAAAAAOQEAABkcnMvZG93bnJldi54bWxQ&#10;SwUGAAAAAAQABADzAAAA8wUAAAAA&#10;" fillcolor="#f2f2f2 [3052]" stroked="f" strokeweight="1pt"/>
          </w:pict>
        </mc:Fallback>
      </mc:AlternateContent>
    </w:r>
  </w:p>
  <w:p w14:paraId="7B920CE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F0" w14:textId="418A54FD" w:rsidR="00003437"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60FA981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77777777"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Napis &quot;Informacje sygnalne&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77777777"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7B920CFA" wp14:editId="67BBBDF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ADE2" id="Prostokąt 10" o:spid="_x0000_s1026" alt="&quot;&quot;"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m3fwIAAGEFAAAOAAAAZHJzL2Uyb0RvYy54bWysVG1vGyEM/j5p/wHxfb0XNWsa9VJFrTJN&#10;qtpq7dTPhIMcEocZkFyyXz/DvaTrqn2YlkgcYPux/WD76vrQarIXziswFS3OckqE4VArs63o9+f1&#10;pzklPjBTMw1GVPQoPL1efvxw1dmFKKEBXQtHEMT4RWcr2oRgF1nmeSNa5s/ACoNCCa5lAY9um9WO&#10;dYje6qzM889ZB662DrjwHm9veyFdJnwpBQ8PUnoRiK4oxhbS6tK6iWu2vGKLrWO2UXwIg/1DFC1T&#10;Bp1OULcsMLJz6g+oVnEHHmQ449BmIKXiIuWA2RT5m2yeGmZFygXJ8Xaiyf8/WH6/f7KPDmnorF94&#10;3MYsDtK18YvxkUMi6ziRJQ6BcLws5hfF5Rw55Sgry8t8ls9nkc/sZG+dD18EtCRuKurwORJLbH/n&#10;Q686qkR3HrSq10rrdHDbzY12ZM/w6dZl/A/ov6lpE5UNRLMeMd5kp2zSLhy1iHrafBOSqBrjL1Mk&#10;qdDE5IdxLkwoelHDatG7n+X4G73H0owWKdMEGJEl+p+wB4BRswcZsfsoB/1oKlKdTsb53wLrjSeL&#10;5BlMmIxbZcC9B6Axq8Fzrz+S1FMTWdpAfXx0xEHfJd7ytcJ3u2M+PDKHbYGPja0eHnCRGrqKwrCj&#10;pAH38737qI/VilJKOmyzivofO+YEJfqrwTq+LM7PY1+mw/nsosSDey3ZvJaYXXsDWA4FDhXL0zbq&#10;Bz1upYP2BSfCKnpFETMcfVeUBzcebkLf/jhTuFitkhr2omXhzjxZHsEjq7Eunw8vzNmheAMW/j2M&#10;LckWb2q4142WBla7AFKlAj/xOvCNfZwKZ5g5cVC8Piet02Rc/gIAAP//AwBQSwMEFAAGAAgAAAAh&#10;AKayJs7kAAAADAEAAA8AAABkcnMvZG93bnJldi54bWxMj8FOg0AQhu8mfYfNmHizCzUBRJamUUlM&#10;vGhbor1t2RFI2VlktxR9ercne5vJfPnn+7PlpDs24mBbQwLCeQAMqTKqpVrAdlPcJsCsk6RkZwgF&#10;/KCFZT67ymSqzInecVy7mvkQsqkU0DjXp5zbqkEt7dz0SP72ZQYtnV+HmqtBnny47vgiCCKuZUv+&#10;QyN7fGywOqyPWoDZjZtXVRSHsvx9+nhLnj/L792LEDfX0+oBmMPJ/cNw1vfqkHunvTmSsqwTkCzC&#10;e4/6IYiAnYEwjGJgewF3URLHwPOMX5bI/wAAAP//AwBQSwECLQAUAAYACAAAACEAtoM4kv4AAADh&#10;AQAAEwAAAAAAAAAAAAAAAAAAAAAAW0NvbnRlbnRfVHlwZXNdLnhtbFBLAQItABQABgAIAAAAIQA4&#10;/SH/1gAAAJQBAAALAAAAAAAAAAAAAAAAAC8BAABfcmVscy8ucmVsc1BLAQItABQABgAIAAAAIQBZ&#10;FDm3fwIAAGEFAAAOAAAAAAAAAAAAAAAAAC4CAABkcnMvZTJvRG9jLnhtbFBLAQItABQABgAIAAAA&#10;IQCmsibO5AAAAAwBAAAPAAAAAAAAAAAAAAAAANkEAABkcnMvZG93bnJldi54bWxQSwUGAAAAAAQA&#10;BADzAAAA6gUAAAAA&#10;" fillcolor="#f2f2f2" stroked="f" strokeweight="1pt">
              <w10:wrap type="tight"/>
            </v:rect>
          </w:pict>
        </mc:Fallback>
      </mc:AlternateContent>
    </w:r>
    <w:r w:rsidR="00307A5C">
      <w:rPr>
        <w:noProof/>
        <w:lang w:eastAsia="pl-PL"/>
      </w:rPr>
      <w:drawing>
        <wp:inline distT="0" distB="0" distL="0" distR="0" wp14:anchorId="62029BAE" wp14:editId="5E68C773">
          <wp:extent cx="1152000" cy="720000"/>
          <wp:effectExtent l="0" t="0" r="0" b="4445"/>
          <wp:docPr id="7" name="Obraz 7"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720000"/>
                  </a:xfrm>
                  <a:prstGeom prst="rect">
                    <a:avLst/>
                  </a:prstGeom>
                  <a:noFill/>
                  <a:ln>
                    <a:noFill/>
                  </a:ln>
                </pic:spPr>
              </pic:pic>
            </a:graphicData>
          </a:graphic>
        </wp:inline>
      </w:drawing>
    </w:r>
  </w:p>
  <w:p w14:paraId="7B920CF1"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7B920CFE" wp14:editId="31BA8CB3">
              <wp:simplePos x="0" y="0"/>
              <wp:positionH relativeFrom="column">
                <wp:posOffset>5219700</wp:posOffset>
              </wp:positionH>
              <wp:positionV relativeFrom="paragraph">
                <wp:posOffset>266065</wp:posOffset>
              </wp:positionV>
              <wp:extent cx="1432293" cy="336589"/>
              <wp:effectExtent l="0" t="0" r="0" b="6350"/>
              <wp:wrapNone/>
              <wp:docPr id="8" name="Pole tekstowe 2" descr="Data publikacji&#10;27.04.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499F0DBF" w:rsidR="00F37172" w:rsidRPr="00AA1F4A" w:rsidRDefault="00745909" w:rsidP="00F37172">
                          <w:pPr>
                            <w:jc w:val="both"/>
                            <w:rPr>
                              <w:rFonts w:ascii="Fira Sans SemiBold" w:hAnsi="Fira Sans SemiBold"/>
                              <w:color w:val="001D77"/>
                              <w:sz w:val="20"/>
                              <w:szCs w:val="20"/>
                            </w:rPr>
                          </w:pPr>
                          <w:r>
                            <w:rPr>
                              <w:rFonts w:ascii="Fira Sans SemiBold" w:hAnsi="Fira Sans SemiBold"/>
                              <w:color w:val="001D77"/>
                              <w:sz w:val="20"/>
                              <w:szCs w:val="20"/>
                            </w:rPr>
                            <w:t>2</w:t>
                          </w:r>
                          <w:r w:rsidR="00961D08">
                            <w:rPr>
                              <w:rFonts w:ascii="Fira Sans SemiBold" w:hAnsi="Fira Sans SemiBold"/>
                              <w:color w:val="001D77"/>
                              <w:sz w:val="20"/>
                              <w:szCs w:val="20"/>
                            </w:rPr>
                            <w:t>7</w:t>
                          </w:r>
                          <w:r w:rsidR="00A810F9" w:rsidRPr="00AA1F4A">
                            <w:rPr>
                              <w:rFonts w:ascii="Fira Sans SemiBold" w:hAnsi="Fira Sans SemiBold"/>
                              <w:color w:val="001D77"/>
                              <w:sz w:val="20"/>
                              <w:szCs w:val="20"/>
                            </w:rPr>
                            <w:t>.</w:t>
                          </w:r>
                          <w:r w:rsidR="000712AA" w:rsidRPr="00AA1F4A">
                            <w:rPr>
                              <w:rFonts w:ascii="Fira Sans SemiBold" w:hAnsi="Fira Sans SemiBold"/>
                              <w:color w:val="001D77"/>
                              <w:sz w:val="20"/>
                              <w:szCs w:val="20"/>
                            </w:rPr>
                            <w:t>04</w:t>
                          </w:r>
                          <w:r w:rsidR="00A810F9" w:rsidRPr="00AA1F4A">
                            <w:rPr>
                              <w:rFonts w:ascii="Fira Sans SemiBold" w:hAnsi="Fira Sans SemiBold"/>
                              <w:color w:val="001D77"/>
                              <w:sz w:val="20"/>
                              <w:szCs w:val="20"/>
                            </w:rPr>
                            <w:t>.</w:t>
                          </w:r>
                          <w:r w:rsidR="000712AA" w:rsidRPr="00AA1F4A">
                            <w:rPr>
                              <w:rFonts w:ascii="Fira Sans SemiBold" w:hAnsi="Fira Sans SemiBold"/>
                              <w:color w:val="001D77"/>
                              <w:sz w:val="20"/>
                              <w:szCs w:val="20"/>
                            </w:rPr>
                            <w:t>20</w:t>
                          </w:r>
                          <w:r w:rsidR="00307A5C" w:rsidRPr="00AA1F4A">
                            <w:rPr>
                              <w:rFonts w:ascii="Fira Sans SemiBold" w:hAnsi="Fira Sans SemiBold"/>
                              <w:color w:val="001D77"/>
                              <w:sz w:val="20"/>
                              <w:szCs w:val="20"/>
                            </w:rPr>
                            <w:t>2</w:t>
                          </w:r>
                          <w:r w:rsidR="00961D08">
                            <w:rPr>
                              <w:rFonts w:ascii="Fira Sans SemiBold" w:hAnsi="Fira Sans SemiBold"/>
                              <w:color w:val="001D77"/>
                              <w:sz w:val="20"/>
                              <w:szCs w:val="20"/>
                            </w:rPr>
                            <w:t>6</w:t>
                          </w:r>
                          <w:r w:rsidR="00F37172" w:rsidRPr="00AA1F4A">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FE" id="_x0000_t202" coordsize="21600,21600" o:spt="202" path="m,l,21600r21600,l21600,xe">
              <v:stroke joinstyle="miter"/>
              <v:path gradientshapeok="t" o:connecttype="rect"/>
            </v:shapetype>
            <v:shape id="_x0000_s1033" type="#_x0000_t202" alt="Data publikacji&#10;27.04.2026"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GtncR3eAAAACgEAAA8AAABk&#10;cnMvZG93bnJldi54bWxMj8FOwzAQRO9I/IO1SNyo3Si0Tcimqoq4gmgBiZsbb5OIeB3FbhP+HvdE&#10;j6MZzbwp1pPtxJkG3zpGmM8UCOLKmZZrhI/9y8MKhA+aje4cE8IveViXtzeFzo0b+Z3Ou1CLWMI+&#10;1whNCH0upa8astrPXE8cvaMbrA5RDrU0gx5jue1kotRCWt1yXGh0T9uGqp/dySJ8vh6/v1L1Vj/b&#10;x350k5JsM4l4fzdtnkAEmsJ/GC74ER3KyHRwJzZedAirJIlfAkI6z0BcAipdLkAcELI0A1kW8vpC&#10;+QcAAP//AwBQSwECLQAUAAYACAAAACEAtoM4kv4AAADhAQAAEwAAAAAAAAAAAAAAAAAAAAAAW0Nv&#10;bnRlbnRfVHlwZXNdLnhtbFBLAQItABQABgAIAAAAIQA4/SH/1gAAAJQBAAALAAAAAAAAAAAAAAAA&#10;AC8BAABfcmVscy8ucmVsc1BLAQItABQABgAIAAAAIQBB6bQs+wEAANQDAAAOAAAAAAAAAAAAAAAA&#10;AC4CAABkcnMvZTJvRG9jLnhtbFBLAQItABQABgAIAAAAIQBrZ3Ed3gAAAAoBAAAPAAAAAAAAAAAA&#10;AAAAAFUEAABkcnMvZG93bnJldi54bWxQSwUGAAAAAAQABADzAAAAYAUAAAAA&#10;" filled="f" stroked="f">
              <v:textbox>
                <w:txbxContent>
                  <w:p w14:paraId="7B920D18" w14:textId="499F0DBF" w:rsidR="00F37172" w:rsidRPr="00AA1F4A" w:rsidRDefault="00745909" w:rsidP="00F37172">
                    <w:pPr>
                      <w:jc w:val="both"/>
                      <w:rPr>
                        <w:rFonts w:ascii="Fira Sans SemiBold" w:hAnsi="Fira Sans SemiBold"/>
                        <w:color w:val="001D77"/>
                        <w:sz w:val="20"/>
                        <w:szCs w:val="20"/>
                      </w:rPr>
                    </w:pPr>
                    <w:r>
                      <w:rPr>
                        <w:rFonts w:ascii="Fira Sans SemiBold" w:hAnsi="Fira Sans SemiBold"/>
                        <w:color w:val="001D77"/>
                        <w:sz w:val="20"/>
                        <w:szCs w:val="20"/>
                      </w:rPr>
                      <w:t>2</w:t>
                    </w:r>
                    <w:r w:rsidR="00961D08">
                      <w:rPr>
                        <w:rFonts w:ascii="Fira Sans SemiBold" w:hAnsi="Fira Sans SemiBold"/>
                        <w:color w:val="001D77"/>
                        <w:sz w:val="20"/>
                        <w:szCs w:val="20"/>
                      </w:rPr>
                      <w:t>7</w:t>
                    </w:r>
                    <w:r w:rsidR="00A810F9" w:rsidRPr="00AA1F4A">
                      <w:rPr>
                        <w:rFonts w:ascii="Fira Sans SemiBold" w:hAnsi="Fira Sans SemiBold"/>
                        <w:color w:val="001D77"/>
                        <w:sz w:val="20"/>
                        <w:szCs w:val="20"/>
                      </w:rPr>
                      <w:t>.</w:t>
                    </w:r>
                    <w:r w:rsidR="000712AA" w:rsidRPr="00AA1F4A">
                      <w:rPr>
                        <w:rFonts w:ascii="Fira Sans SemiBold" w:hAnsi="Fira Sans SemiBold"/>
                        <w:color w:val="001D77"/>
                        <w:sz w:val="20"/>
                        <w:szCs w:val="20"/>
                      </w:rPr>
                      <w:t>04</w:t>
                    </w:r>
                    <w:r w:rsidR="00A810F9" w:rsidRPr="00AA1F4A">
                      <w:rPr>
                        <w:rFonts w:ascii="Fira Sans SemiBold" w:hAnsi="Fira Sans SemiBold"/>
                        <w:color w:val="001D77"/>
                        <w:sz w:val="20"/>
                        <w:szCs w:val="20"/>
                      </w:rPr>
                      <w:t>.</w:t>
                    </w:r>
                    <w:r w:rsidR="000712AA" w:rsidRPr="00AA1F4A">
                      <w:rPr>
                        <w:rFonts w:ascii="Fira Sans SemiBold" w:hAnsi="Fira Sans SemiBold"/>
                        <w:color w:val="001D77"/>
                        <w:sz w:val="20"/>
                        <w:szCs w:val="20"/>
                      </w:rPr>
                      <w:t>20</w:t>
                    </w:r>
                    <w:r w:rsidR="00307A5C" w:rsidRPr="00AA1F4A">
                      <w:rPr>
                        <w:rFonts w:ascii="Fira Sans SemiBold" w:hAnsi="Fira Sans SemiBold"/>
                        <w:color w:val="001D77"/>
                        <w:sz w:val="20"/>
                        <w:szCs w:val="20"/>
                      </w:rPr>
                      <w:t>2</w:t>
                    </w:r>
                    <w:r w:rsidR="00961D08">
                      <w:rPr>
                        <w:rFonts w:ascii="Fira Sans SemiBold" w:hAnsi="Fira Sans SemiBold"/>
                        <w:color w:val="001D77"/>
                        <w:sz w:val="20"/>
                        <w:szCs w:val="20"/>
                      </w:rPr>
                      <w:t>6</w:t>
                    </w:r>
                    <w:r w:rsidR="00F37172" w:rsidRPr="00AA1F4A">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4DEB" w14:textId="268116DB" w:rsidR="00DD0DB1" w:rsidRDefault="00DD0DB1">
    <w:pPr>
      <w:pStyle w:val="Nagwek"/>
      <w:rPr>
        <w:noProof/>
        <w:lang w:eastAsia="pl-PL"/>
      </w:rPr>
    </w:pPr>
  </w:p>
  <w:p w14:paraId="0B9FF84E" w14:textId="47DC9121" w:rsidR="00DD0DB1" w:rsidRDefault="00DD0DB1">
    <w:pPr>
      <w:pStyle w:val="Nagwek"/>
      <w:rPr>
        <w:noProof/>
        <w:lang w:eastAsia="pl-PL"/>
      </w:rPr>
    </w:pPr>
  </w:p>
  <w:p w14:paraId="21FC446F" w14:textId="77777777" w:rsidR="00F945A9" w:rsidRDefault="00F945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F3" w14:textId="77777777" w:rsidR="00607CC5" w:rsidRDefault="00607CC5">
    <w:pPr>
      <w:pStyle w:val="Nagwek"/>
    </w:pPr>
  </w:p>
  <w:p w14:paraId="7B920CF4"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6pt;height:125.2pt;visibility:visible;mso-wrap-style:square" o:bullet="t">
        <v:imagedata r:id="rId1" o:title=""/>
      </v:shape>
    </w:pict>
  </w:numPicBullet>
  <w:numPicBullet w:numPicBulletId="1">
    <w:pict>
      <v:shape id="_x0000_i1027" type="#_x0000_t75" style="width:123.95pt;height:125.2pt;visibility:visible;mso-wrap-style:square" o:bullet="t">
        <v:imagedata r:id="rId2" o:title=""/>
      </v:shape>
    </w:pict>
  </w:numPicBullet>
  <w:abstractNum w:abstractNumId="0" w15:restartNumberingAfterBreak="0">
    <w:nsid w:val="038815DB"/>
    <w:multiLevelType w:val="hybridMultilevel"/>
    <w:tmpl w:val="3B7C84B8"/>
    <w:lvl w:ilvl="0" w:tplc="04150001">
      <w:start w:val="1"/>
      <w:numFmt w:val="bullet"/>
      <w:lvlText w:val=""/>
      <w:lvlJc w:val="left"/>
      <w:pPr>
        <w:ind w:left="1080" w:hanging="360"/>
      </w:pPr>
      <w:rPr>
        <w:rFonts w:ascii="Symbol" w:hAnsi="Symbol" w:hint="default"/>
      </w:rPr>
    </w:lvl>
    <w:lvl w:ilvl="1" w:tplc="EE0842CA">
      <w:start w:val="1"/>
      <w:numFmt w:val="bullet"/>
      <w:lvlText w:val="−"/>
      <w:lvlJc w:val="left"/>
      <w:pPr>
        <w:ind w:left="1800" w:hanging="360"/>
      </w:pPr>
      <w:rPr>
        <w:rFonts w:ascii="Fira Sans" w:hAnsi="Fira San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E03D08"/>
    <w:multiLevelType w:val="hybridMultilevel"/>
    <w:tmpl w:val="D6BEC4BA"/>
    <w:lvl w:ilvl="0" w:tplc="EE0842CA">
      <w:start w:val="1"/>
      <w:numFmt w:val="bullet"/>
      <w:lvlText w:val="−"/>
      <w:lvlJc w:val="left"/>
      <w:pPr>
        <w:ind w:left="720" w:hanging="360"/>
      </w:pPr>
      <w:rPr>
        <w:rFonts w:ascii="Fira Sans" w:hAnsi="Fira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014B51"/>
    <w:multiLevelType w:val="hybridMultilevel"/>
    <w:tmpl w:val="13F05054"/>
    <w:lvl w:ilvl="0" w:tplc="A1801234">
      <w:start w:val="1"/>
      <w:numFmt w:val="decimal"/>
      <w:lvlText w:val="%1."/>
      <w:lvlJc w:val="left"/>
      <w:pPr>
        <w:ind w:left="360" w:hanging="360"/>
      </w:pPr>
      <w:rPr>
        <w:color w:val="auto"/>
      </w:rPr>
    </w:lvl>
    <w:lvl w:ilvl="1" w:tplc="FAD669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81531A"/>
    <w:multiLevelType w:val="hybridMultilevel"/>
    <w:tmpl w:val="9A1828D4"/>
    <w:lvl w:ilvl="0" w:tplc="EE0842CA">
      <w:start w:val="1"/>
      <w:numFmt w:val="bullet"/>
      <w:lvlText w:val="−"/>
      <w:lvlJc w:val="left"/>
      <w:pPr>
        <w:ind w:left="1080" w:hanging="360"/>
      </w:pPr>
      <w:rPr>
        <w:rFonts w:ascii="Fira Sans" w:hAnsi="Fira San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388257594">
    <w:abstractNumId w:val="3"/>
  </w:num>
  <w:num w:numId="2" w16cid:durableId="713509389">
    <w:abstractNumId w:val="1"/>
  </w:num>
  <w:num w:numId="3" w16cid:durableId="1585992485">
    <w:abstractNumId w:val="4"/>
  </w:num>
  <w:num w:numId="4" w16cid:durableId="340594496">
    <w:abstractNumId w:val="2"/>
  </w:num>
  <w:num w:numId="5" w16cid:durableId="896210777">
    <w:abstractNumId w:val="0"/>
  </w:num>
  <w:num w:numId="6" w16cid:durableId="66728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6CFB"/>
    <w:rsid w:val="0000709F"/>
    <w:rsid w:val="000100E4"/>
    <w:rsid w:val="00010470"/>
    <w:rsid w:val="000108B8"/>
    <w:rsid w:val="000152F5"/>
    <w:rsid w:val="000168FF"/>
    <w:rsid w:val="000174CD"/>
    <w:rsid w:val="000209F1"/>
    <w:rsid w:val="0002381C"/>
    <w:rsid w:val="0002742B"/>
    <w:rsid w:val="000277D5"/>
    <w:rsid w:val="00027E27"/>
    <w:rsid w:val="0003026C"/>
    <w:rsid w:val="00030C94"/>
    <w:rsid w:val="00031B16"/>
    <w:rsid w:val="000338CB"/>
    <w:rsid w:val="0004582E"/>
    <w:rsid w:val="00045C49"/>
    <w:rsid w:val="00046DA3"/>
    <w:rsid w:val="000470AA"/>
    <w:rsid w:val="000506E3"/>
    <w:rsid w:val="0005195B"/>
    <w:rsid w:val="0005467D"/>
    <w:rsid w:val="00055238"/>
    <w:rsid w:val="00055CCD"/>
    <w:rsid w:val="00057CA1"/>
    <w:rsid w:val="0006134D"/>
    <w:rsid w:val="0006506D"/>
    <w:rsid w:val="00065D79"/>
    <w:rsid w:val="000662E2"/>
    <w:rsid w:val="00066883"/>
    <w:rsid w:val="00067599"/>
    <w:rsid w:val="0006796A"/>
    <w:rsid w:val="00070851"/>
    <w:rsid w:val="000712AA"/>
    <w:rsid w:val="00072952"/>
    <w:rsid w:val="00074DD8"/>
    <w:rsid w:val="00076497"/>
    <w:rsid w:val="0007701D"/>
    <w:rsid w:val="000806F7"/>
    <w:rsid w:val="00081C4D"/>
    <w:rsid w:val="00083932"/>
    <w:rsid w:val="000855C6"/>
    <w:rsid w:val="00092B55"/>
    <w:rsid w:val="000A3EFB"/>
    <w:rsid w:val="000A40F5"/>
    <w:rsid w:val="000A5A86"/>
    <w:rsid w:val="000B0727"/>
    <w:rsid w:val="000B3101"/>
    <w:rsid w:val="000C135D"/>
    <w:rsid w:val="000D0866"/>
    <w:rsid w:val="000D11BF"/>
    <w:rsid w:val="000D17BB"/>
    <w:rsid w:val="000D1D43"/>
    <w:rsid w:val="000D1EC1"/>
    <w:rsid w:val="000D225C"/>
    <w:rsid w:val="000D2A5C"/>
    <w:rsid w:val="000D3AFC"/>
    <w:rsid w:val="000D75FA"/>
    <w:rsid w:val="000E0918"/>
    <w:rsid w:val="000E0CE1"/>
    <w:rsid w:val="000F17F6"/>
    <w:rsid w:val="000F2962"/>
    <w:rsid w:val="000F34D9"/>
    <w:rsid w:val="000F4AAE"/>
    <w:rsid w:val="000F7106"/>
    <w:rsid w:val="001002F2"/>
    <w:rsid w:val="001011C3"/>
    <w:rsid w:val="00103011"/>
    <w:rsid w:val="00107742"/>
    <w:rsid w:val="00107E53"/>
    <w:rsid w:val="00110D87"/>
    <w:rsid w:val="00113224"/>
    <w:rsid w:val="00114DB4"/>
    <w:rsid w:val="00114DB9"/>
    <w:rsid w:val="00116087"/>
    <w:rsid w:val="00122D91"/>
    <w:rsid w:val="001236A9"/>
    <w:rsid w:val="00130296"/>
    <w:rsid w:val="00131145"/>
    <w:rsid w:val="00134B51"/>
    <w:rsid w:val="001355FC"/>
    <w:rsid w:val="00136F86"/>
    <w:rsid w:val="001423B6"/>
    <w:rsid w:val="001448A7"/>
    <w:rsid w:val="00146621"/>
    <w:rsid w:val="00150AFA"/>
    <w:rsid w:val="00154911"/>
    <w:rsid w:val="001553AA"/>
    <w:rsid w:val="00155A1E"/>
    <w:rsid w:val="00156E10"/>
    <w:rsid w:val="0016034D"/>
    <w:rsid w:val="00160DBD"/>
    <w:rsid w:val="00162325"/>
    <w:rsid w:val="00163C58"/>
    <w:rsid w:val="00165671"/>
    <w:rsid w:val="00170FA2"/>
    <w:rsid w:val="001718E9"/>
    <w:rsid w:val="001758C9"/>
    <w:rsid w:val="00180DB6"/>
    <w:rsid w:val="00180FC4"/>
    <w:rsid w:val="001854D5"/>
    <w:rsid w:val="0018769E"/>
    <w:rsid w:val="00187D97"/>
    <w:rsid w:val="001901AE"/>
    <w:rsid w:val="00190892"/>
    <w:rsid w:val="00190FB4"/>
    <w:rsid w:val="00191F69"/>
    <w:rsid w:val="00194119"/>
    <w:rsid w:val="001951DA"/>
    <w:rsid w:val="001A360E"/>
    <w:rsid w:val="001A3FED"/>
    <w:rsid w:val="001A7AA4"/>
    <w:rsid w:val="001B0159"/>
    <w:rsid w:val="001B3763"/>
    <w:rsid w:val="001B52D4"/>
    <w:rsid w:val="001C1FD7"/>
    <w:rsid w:val="001C2A5B"/>
    <w:rsid w:val="001C3269"/>
    <w:rsid w:val="001C6AA2"/>
    <w:rsid w:val="001C6F1D"/>
    <w:rsid w:val="001C7DFF"/>
    <w:rsid w:val="001D1DB4"/>
    <w:rsid w:val="001D2DED"/>
    <w:rsid w:val="001D3346"/>
    <w:rsid w:val="001D3AF5"/>
    <w:rsid w:val="001D6340"/>
    <w:rsid w:val="001E05EF"/>
    <w:rsid w:val="001E2857"/>
    <w:rsid w:val="001E6E21"/>
    <w:rsid w:val="001F14FE"/>
    <w:rsid w:val="001F2227"/>
    <w:rsid w:val="001F33A7"/>
    <w:rsid w:val="001F58C1"/>
    <w:rsid w:val="001F790B"/>
    <w:rsid w:val="0020424E"/>
    <w:rsid w:val="0020591D"/>
    <w:rsid w:val="00212DDE"/>
    <w:rsid w:val="00215CC4"/>
    <w:rsid w:val="00216DF7"/>
    <w:rsid w:val="002207D9"/>
    <w:rsid w:val="00221B1C"/>
    <w:rsid w:val="00226D17"/>
    <w:rsid w:val="00227FCA"/>
    <w:rsid w:val="002311D3"/>
    <w:rsid w:val="00233FC3"/>
    <w:rsid w:val="0023590C"/>
    <w:rsid w:val="00235B66"/>
    <w:rsid w:val="002369FD"/>
    <w:rsid w:val="002373C1"/>
    <w:rsid w:val="00241D7D"/>
    <w:rsid w:val="0024217F"/>
    <w:rsid w:val="00243DD5"/>
    <w:rsid w:val="0024507F"/>
    <w:rsid w:val="00250371"/>
    <w:rsid w:val="00252FD7"/>
    <w:rsid w:val="00253149"/>
    <w:rsid w:val="002574F9"/>
    <w:rsid w:val="00262A45"/>
    <w:rsid w:val="00262B61"/>
    <w:rsid w:val="00263201"/>
    <w:rsid w:val="00267434"/>
    <w:rsid w:val="002764EC"/>
    <w:rsid w:val="00276811"/>
    <w:rsid w:val="00277C93"/>
    <w:rsid w:val="00280D39"/>
    <w:rsid w:val="00282699"/>
    <w:rsid w:val="00282F6E"/>
    <w:rsid w:val="0028517F"/>
    <w:rsid w:val="0028638B"/>
    <w:rsid w:val="002904E1"/>
    <w:rsid w:val="002911FC"/>
    <w:rsid w:val="002926DF"/>
    <w:rsid w:val="00296697"/>
    <w:rsid w:val="002A0635"/>
    <w:rsid w:val="002A181D"/>
    <w:rsid w:val="002A35BF"/>
    <w:rsid w:val="002A7EB8"/>
    <w:rsid w:val="002B0472"/>
    <w:rsid w:val="002B11FE"/>
    <w:rsid w:val="002B187D"/>
    <w:rsid w:val="002B3196"/>
    <w:rsid w:val="002B6B12"/>
    <w:rsid w:val="002C3265"/>
    <w:rsid w:val="002C5B86"/>
    <w:rsid w:val="002D1FF2"/>
    <w:rsid w:val="002D372E"/>
    <w:rsid w:val="002D4CC4"/>
    <w:rsid w:val="002D738F"/>
    <w:rsid w:val="002E0649"/>
    <w:rsid w:val="002E14D4"/>
    <w:rsid w:val="002E3D45"/>
    <w:rsid w:val="002E5611"/>
    <w:rsid w:val="002E5A22"/>
    <w:rsid w:val="002E6140"/>
    <w:rsid w:val="002E6985"/>
    <w:rsid w:val="002E71B6"/>
    <w:rsid w:val="002F45F6"/>
    <w:rsid w:val="002F5A01"/>
    <w:rsid w:val="002F77C8"/>
    <w:rsid w:val="00300D51"/>
    <w:rsid w:val="00304F22"/>
    <w:rsid w:val="0030567F"/>
    <w:rsid w:val="0030598F"/>
    <w:rsid w:val="00306C7C"/>
    <w:rsid w:val="00307497"/>
    <w:rsid w:val="00307A5C"/>
    <w:rsid w:val="003112D9"/>
    <w:rsid w:val="0031369A"/>
    <w:rsid w:val="00321002"/>
    <w:rsid w:val="00322374"/>
    <w:rsid w:val="00322EDD"/>
    <w:rsid w:val="00322F1A"/>
    <w:rsid w:val="00327CF3"/>
    <w:rsid w:val="00332320"/>
    <w:rsid w:val="00332A7C"/>
    <w:rsid w:val="00334830"/>
    <w:rsid w:val="00347D72"/>
    <w:rsid w:val="00350F77"/>
    <w:rsid w:val="0035187C"/>
    <w:rsid w:val="00353E79"/>
    <w:rsid w:val="00354834"/>
    <w:rsid w:val="00354CBB"/>
    <w:rsid w:val="00357333"/>
    <w:rsid w:val="00357611"/>
    <w:rsid w:val="00361EB0"/>
    <w:rsid w:val="003659F1"/>
    <w:rsid w:val="00367237"/>
    <w:rsid w:val="003677E2"/>
    <w:rsid w:val="00370628"/>
    <w:rsid w:val="0037077F"/>
    <w:rsid w:val="00372411"/>
    <w:rsid w:val="00373882"/>
    <w:rsid w:val="00380080"/>
    <w:rsid w:val="003806C8"/>
    <w:rsid w:val="00382CBD"/>
    <w:rsid w:val="003843DB"/>
    <w:rsid w:val="00392A0B"/>
    <w:rsid w:val="00393761"/>
    <w:rsid w:val="00394A9F"/>
    <w:rsid w:val="00397D18"/>
    <w:rsid w:val="003A10B3"/>
    <w:rsid w:val="003A133C"/>
    <w:rsid w:val="003A1B36"/>
    <w:rsid w:val="003A4AB4"/>
    <w:rsid w:val="003A674B"/>
    <w:rsid w:val="003A6EA7"/>
    <w:rsid w:val="003A7660"/>
    <w:rsid w:val="003B1454"/>
    <w:rsid w:val="003B18B6"/>
    <w:rsid w:val="003B4809"/>
    <w:rsid w:val="003B52DE"/>
    <w:rsid w:val="003B6239"/>
    <w:rsid w:val="003C43DA"/>
    <w:rsid w:val="003C59E0"/>
    <w:rsid w:val="003C6C8D"/>
    <w:rsid w:val="003D478E"/>
    <w:rsid w:val="003D4F95"/>
    <w:rsid w:val="003D53CF"/>
    <w:rsid w:val="003D56CA"/>
    <w:rsid w:val="003D5E18"/>
    <w:rsid w:val="003D5F42"/>
    <w:rsid w:val="003D60A9"/>
    <w:rsid w:val="003D63A8"/>
    <w:rsid w:val="003E2993"/>
    <w:rsid w:val="003E3B94"/>
    <w:rsid w:val="003E49CF"/>
    <w:rsid w:val="003E76D6"/>
    <w:rsid w:val="003F0ADB"/>
    <w:rsid w:val="003F2F30"/>
    <w:rsid w:val="003F4C97"/>
    <w:rsid w:val="003F4FD5"/>
    <w:rsid w:val="003F7FE6"/>
    <w:rsid w:val="00400193"/>
    <w:rsid w:val="00401CD7"/>
    <w:rsid w:val="00405BBB"/>
    <w:rsid w:val="00406EC3"/>
    <w:rsid w:val="004130A2"/>
    <w:rsid w:val="00415756"/>
    <w:rsid w:val="00417A8A"/>
    <w:rsid w:val="004212E7"/>
    <w:rsid w:val="004229BC"/>
    <w:rsid w:val="0042312E"/>
    <w:rsid w:val="0042446D"/>
    <w:rsid w:val="00426996"/>
    <w:rsid w:val="00427BF8"/>
    <w:rsid w:val="0043025C"/>
    <w:rsid w:val="00431C02"/>
    <w:rsid w:val="0043266A"/>
    <w:rsid w:val="004340E9"/>
    <w:rsid w:val="00437395"/>
    <w:rsid w:val="0044267C"/>
    <w:rsid w:val="00444618"/>
    <w:rsid w:val="00445047"/>
    <w:rsid w:val="004515A5"/>
    <w:rsid w:val="00454CCD"/>
    <w:rsid w:val="00457CB1"/>
    <w:rsid w:val="00457EE0"/>
    <w:rsid w:val="00463E39"/>
    <w:rsid w:val="004657FC"/>
    <w:rsid w:val="0046643B"/>
    <w:rsid w:val="00470941"/>
    <w:rsid w:val="00472288"/>
    <w:rsid w:val="004733F6"/>
    <w:rsid w:val="00474919"/>
    <w:rsid w:val="00474E69"/>
    <w:rsid w:val="00477D88"/>
    <w:rsid w:val="00481ECE"/>
    <w:rsid w:val="00482168"/>
    <w:rsid w:val="00484F49"/>
    <w:rsid w:val="00492A15"/>
    <w:rsid w:val="0049447E"/>
    <w:rsid w:val="00495FA0"/>
    <w:rsid w:val="0049621B"/>
    <w:rsid w:val="004A00E3"/>
    <w:rsid w:val="004A3956"/>
    <w:rsid w:val="004B5A21"/>
    <w:rsid w:val="004C1852"/>
    <w:rsid w:val="004C1895"/>
    <w:rsid w:val="004C6D40"/>
    <w:rsid w:val="004D2EEA"/>
    <w:rsid w:val="004D7D4F"/>
    <w:rsid w:val="004E0306"/>
    <w:rsid w:val="004E08D0"/>
    <w:rsid w:val="004E30B8"/>
    <w:rsid w:val="004E7952"/>
    <w:rsid w:val="004E7BD4"/>
    <w:rsid w:val="004F0C3C"/>
    <w:rsid w:val="004F3D30"/>
    <w:rsid w:val="004F63FC"/>
    <w:rsid w:val="004F737F"/>
    <w:rsid w:val="004F75BF"/>
    <w:rsid w:val="00501187"/>
    <w:rsid w:val="00502713"/>
    <w:rsid w:val="00502C29"/>
    <w:rsid w:val="00505162"/>
    <w:rsid w:val="00505A92"/>
    <w:rsid w:val="00505F3F"/>
    <w:rsid w:val="00514870"/>
    <w:rsid w:val="00517EF7"/>
    <w:rsid w:val="005203F1"/>
    <w:rsid w:val="00520CF4"/>
    <w:rsid w:val="00521BC3"/>
    <w:rsid w:val="00522755"/>
    <w:rsid w:val="00523465"/>
    <w:rsid w:val="0052670F"/>
    <w:rsid w:val="00527203"/>
    <w:rsid w:val="005328B3"/>
    <w:rsid w:val="00533632"/>
    <w:rsid w:val="00534942"/>
    <w:rsid w:val="00540409"/>
    <w:rsid w:val="00541E6E"/>
    <w:rsid w:val="0054251F"/>
    <w:rsid w:val="00545FF9"/>
    <w:rsid w:val="005520D8"/>
    <w:rsid w:val="00552E44"/>
    <w:rsid w:val="005569C4"/>
    <w:rsid w:val="00556CF1"/>
    <w:rsid w:val="005625E8"/>
    <w:rsid w:val="00562EC2"/>
    <w:rsid w:val="00567426"/>
    <w:rsid w:val="00567FC9"/>
    <w:rsid w:val="005715E4"/>
    <w:rsid w:val="0057335A"/>
    <w:rsid w:val="005762A7"/>
    <w:rsid w:val="005767EE"/>
    <w:rsid w:val="00576A3F"/>
    <w:rsid w:val="00577991"/>
    <w:rsid w:val="005817DE"/>
    <w:rsid w:val="00582A04"/>
    <w:rsid w:val="00585FDC"/>
    <w:rsid w:val="00587018"/>
    <w:rsid w:val="00587C84"/>
    <w:rsid w:val="00590543"/>
    <w:rsid w:val="005916D7"/>
    <w:rsid w:val="00591A90"/>
    <w:rsid w:val="00593F3F"/>
    <w:rsid w:val="005A2761"/>
    <w:rsid w:val="005A3180"/>
    <w:rsid w:val="005A5198"/>
    <w:rsid w:val="005A53AA"/>
    <w:rsid w:val="005A698C"/>
    <w:rsid w:val="005A7723"/>
    <w:rsid w:val="005B4AC6"/>
    <w:rsid w:val="005B5849"/>
    <w:rsid w:val="005C2FF6"/>
    <w:rsid w:val="005C783C"/>
    <w:rsid w:val="005C7E77"/>
    <w:rsid w:val="005D1DEE"/>
    <w:rsid w:val="005D213D"/>
    <w:rsid w:val="005D7312"/>
    <w:rsid w:val="005D7A2D"/>
    <w:rsid w:val="005E0799"/>
    <w:rsid w:val="005E1DC2"/>
    <w:rsid w:val="005E2588"/>
    <w:rsid w:val="005E2B26"/>
    <w:rsid w:val="005E31C0"/>
    <w:rsid w:val="005E5C3D"/>
    <w:rsid w:val="005E67AB"/>
    <w:rsid w:val="005E6EBC"/>
    <w:rsid w:val="005F242D"/>
    <w:rsid w:val="005F2ECF"/>
    <w:rsid w:val="005F35F3"/>
    <w:rsid w:val="005F4943"/>
    <w:rsid w:val="005F5A80"/>
    <w:rsid w:val="00600BC5"/>
    <w:rsid w:val="006044FF"/>
    <w:rsid w:val="00606CA6"/>
    <w:rsid w:val="00607CC5"/>
    <w:rsid w:val="00612D50"/>
    <w:rsid w:val="006133D3"/>
    <w:rsid w:val="006139B6"/>
    <w:rsid w:val="00614545"/>
    <w:rsid w:val="00616106"/>
    <w:rsid w:val="006245CD"/>
    <w:rsid w:val="00627A05"/>
    <w:rsid w:val="00632D93"/>
    <w:rsid w:val="00633014"/>
    <w:rsid w:val="0063437B"/>
    <w:rsid w:val="00637655"/>
    <w:rsid w:val="006376D8"/>
    <w:rsid w:val="00651E11"/>
    <w:rsid w:val="00652C78"/>
    <w:rsid w:val="00653EA7"/>
    <w:rsid w:val="006576B2"/>
    <w:rsid w:val="00660CE3"/>
    <w:rsid w:val="006673CA"/>
    <w:rsid w:val="0067319D"/>
    <w:rsid w:val="00673C26"/>
    <w:rsid w:val="00673EDA"/>
    <w:rsid w:val="006812AF"/>
    <w:rsid w:val="0068327D"/>
    <w:rsid w:val="00683381"/>
    <w:rsid w:val="00693A96"/>
    <w:rsid w:val="00694AF0"/>
    <w:rsid w:val="00696101"/>
    <w:rsid w:val="00696F21"/>
    <w:rsid w:val="006A1DE7"/>
    <w:rsid w:val="006A26A9"/>
    <w:rsid w:val="006A28FE"/>
    <w:rsid w:val="006A4686"/>
    <w:rsid w:val="006A65C3"/>
    <w:rsid w:val="006B0E9E"/>
    <w:rsid w:val="006B196A"/>
    <w:rsid w:val="006B50A4"/>
    <w:rsid w:val="006B5AD0"/>
    <w:rsid w:val="006B5AE4"/>
    <w:rsid w:val="006C2C6D"/>
    <w:rsid w:val="006C3ED1"/>
    <w:rsid w:val="006D1507"/>
    <w:rsid w:val="006D4054"/>
    <w:rsid w:val="006D47B8"/>
    <w:rsid w:val="006D4A47"/>
    <w:rsid w:val="006D65A8"/>
    <w:rsid w:val="006E02EC"/>
    <w:rsid w:val="006E757D"/>
    <w:rsid w:val="006F1C92"/>
    <w:rsid w:val="006F3BD7"/>
    <w:rsid w:val="0070078A"/>
    <w:rsid w:val="007009F4"/>
    <w:rsid w:val="00704FBA"/>
    <w:rsid w:val="00710102"/>
    <w:rsid w:val="007103BC"/>
    <w:rsid w:val="007119E2"/>
    <w:rsid w:val="00712AA7"/>
    <w:rsid w:val="00714F88"/>
    <w:rsid w:val="007209F3"/>
    <w:rsid w:val="007211B1"/>
    <w:rsid w:val="007267CD"/>
    <w:rsid w:val="0073401C"/>
    <w:rsid w:val="00734205"/>
    <w:rsid w:val="007409D7"/>
    <w:rsid w:val="007445B3"/>
    <w:rsid w:val="00745909"/>
    <w:rsid w:val="00746187"/>
    <w:rsid w:val="007461F8"/>
    <w:rsid w:val="00754132"/>
    <w:rsid w:val="0075502C"/>
    <w:rsid w:val="00755CB2"/>
    <w:rsid w:val="00756F24"/>
    <w:rsid w:val="007615CD"/>
    <w:rsid w:val="0076254F"/>
    <w:rsid w:val="0077001B"/>
    <w:rsid w:val="00773106"/>
    <w:rsid w:val="007801F5"/>
    <w:rsid w:val="00783CA4"/>
    <w:rsid w:val="007842FB"/>
    <w:rsid w:val="00786124"/>
    <w:rsid w:val="00791FBD"/>
    <w:rsid w:val="007924EF"/>
    <w:rsid w:val="00792E64"/>
    <w:rsid w:val="0079514B"/>
    <w:rsid w:val="007A2D9E"/>
    <w:rsid w:val="007A2DC1"/>
    <w:rsid w:val="007A482E"/>
    <w:rsid w:val="007A6A82"/>
    <w:rsid w:val="007B3806"/>
    <w:rsid w:val="007C17EC"/>
    <w:rsid w:val="007C242A"/>
    <w:rsid w:val="007C42EA"/>
    <w:rsid w:val="007D1C2B"/>
    <w:rsid w:val="007D1EC7"/>
    <w:rsid w:val="007D263B"/>
    <w:rsid w:val="007D270B"/>
    <w:rsid w:val="007D3319"/>
    <w:rsid w:val="007D335D"/>
    <w:rsid w:val="007D58A7"/>
    <w:rsid w:val="007E1B0A"/>
    <w:rsid w:val="007E2990"/>
    <w:rsid w:val="007E3314"/>
    <w:rsid w:val="007E36A0"/>
    <w:rsid w:val="007E3C7E"/>
    <w:rsid w:val="007E4B03"/>
    <w:rsid w:val="007E705B"/>
    <w:rsid w:val="007F324B"/>
    <w:rsid w:val="007F6807"/>
    <w:rsid w:val="007F782F"/>
    <w:rsid w:val="00801A0D"/>
    <w:rsid w:val="0080553C"/>
    <w:rsid w:val="00805B46"/>
    <w:rsid w:val="00805C2D"/>
    <w:rsid w:val="0081772A"/>
    <w:rsid w:val="00825DC2"/>
    <w:rsid w:val="008272D8"/>
    <w:rsid w:val="008312AF"/>
    <w:rsid w:val="00834AD3"/>
    <w:rsid w:val="00843795"/>
    <w:rsid w:val="00843EDE"/>
    <w:rsid w:val="00844033"/>
    <w:rsid w:val="00847F0F"/>
    <w:rsid w:val="00852448"/>
    <w:rsid w:val="008645F2"/>
    <w:rsid w:val="008651DF"/>
    <w:rsid w:val="00866A57"/>
    <w:rsid w:val="00867B55"/>
    <w:rsid w:val="00873EAC"/>
    <w:rsid w:val="008804AD"/>
    <w:rsid w:val="0088258A"/>
    <w:rsid w:val="00886332"/>
    <w:rsid w:val="00890ECA"/>
    <w:rsid w:val="00892160"/>
    <w:rsid w:val="00894363"/>
    <w:rsid w:val="008A26D9"/>
    <w:rsid w:val="008A3555"/>
    <w:rsid w:val="008A6A5B"/>
    <w:rsid w:val="008A78C3"/>
    <w:rsid w:val="008A7C95"/>
    <w:rsid w:val="008B2611"/>
    <w:rsid w:val="008C0C29"/>
    <w:rsid w:val="008C13D7"/>
    <w:rsid w:val="008C1A35"/>
    <w:rsid w:val="008C62B5"/>
    <w:rsid w:val="008C784A"/>
    <w:rsid w:val="008D10DE"/>
    <w:rsid w:val="008D4B0B"/>
    <w:rsid w:val="008E2DBE"/>
    <w:rsid w:val="008E32AE"/>
    <w:rsid w:val="008F00D9"/>
    <w:rsid w:val="008F3638"/>
    <w:rsid w:val="008F4441"/>
    <w:rsid w:val="008F6F31"/>
    <w:rsid w:val="008F74DF"/>
    <w:rsid w:val="00907185"/>
    <w:rsid w:val="00907219"/>
    <w:rsid w:val="009127BA"/>
    <w:rsid w:val="009221C4"/>
    <w:rsid w:val="009227A6"/>
    <w:rsid w:val="00922ACF"/>
    <w:rsid w:val="00922E9B"/>
    <w:rsid w:val="0092306B"/>
    <w:rsid w:val="0093119C"/>
    <w:rsid w:val="009324CB"/>
    <w:rsid w:val="009327DA"/>
    <w:rsid w:val="00933A0A"/>
    <w:rsid w:val="00933EC1"/>
    <w:rsid w:val="0094026B"/>
    <w:rsid w:val="0094159D"/>
    <w:rsid w:val="00943C25"/>
    <w:rsid w:val="00943F65"/>
    <w:rsid w:val="00945163"/>
    <w:rsid w:val="00950C8D"/>
    <w:rsid w:val="009530DB"/>
    <w:rsid w:val="00953676"/>
    <w:rsid w:val="00961D08"/>
    <w:rsid w:val="0096317F"/>
    <w:rsid w:val="00966DCA"/>
    <w:rsid w:val="009705EE"/>
    <w:rsid w:val="00972882"/>
    <w:rsid w:val="00972E9A"/>
    <w:rsid w:val="00977927"/>
    <w:rsid w:val="0098135C"/>
    <w:rsid w:val="0098156A"/>
    <w:rsid w:val="00981730"/>
    <w:rsid w:val="0098230C"/>
    <w:rsid w:val="00984033"/>
    <w:rsid w:val="00991BAC"/>
    <w:rsid w:val="00992AC8"/>
    <w:rsid w:val="0099564D"/>
    <w:rsid w:val="009956F5"/>
    <w:rsid w:val="0099741F"/>
    <w:rsid w:val="009A1854"/>
    <w:rsid w:val="009A57F3"/>
    <w:rsid w:val="009A6EA0"/>
    <w:rsid w:val="009B4B7D"/>
    <w:rsid w:val="009B55E4"/>
    <w:rsid w:val="009B7A8D"/>
    <w:rsid w:val="009C1335"/>
    <w:rsid w:val="009C1AB2"/>
    <w:rsid w:val="009C2852"/>
    <w:rsid w:val="009C6333"/>
    <w:rsid w:val="009C7251"/>
    <w:rsid w:val="009D1ACB"/>
    <w:rsid w:val="009D1BF4"/>
    <w:rsid w:val="009D6788"/>
    <w:rsid w:val="009E2810"/>
    <w:rsid w:val="009E2E91"/>
    <w:rsid w:val="009E2F0C"/>
    <w:rsid w:val="009E7122"/>
    <w:rsid w:val="009F2834"/>
    <w:rsid w:val="009F2975"/>
    <w:rsid w:val="009F7695"/>
    <w:rsid w:val="00A01E07"/>
    <w:rsid w:val="00A0296D"/>
    <w:rsid w:val="00A04330"/>
    <w:rsid w:val="00A0748F"/>
    <w:rsid w:val="00A130C1"/>
    <w:rsid w:val="00A139F5"/>
    <w:rsid w:val="00A21F7C"/>
    <w:rsid w:val="00A24E25"/>
    <w:rsid w:val="00A254CC"/>
    <w:rsid w:val="00A25F0B"/>
    <w:rsid w:val="00A3590D"/>
    <w:rsid w:val="00A35F2B"/>
    <w:rsid w:val="00A365F4"/>
    <w:rsid w:val="00A378BD"/>
    <w:rsid w:val="00A37C93"/>
    <w:rsid w:val="00A400BE"/>
    <w:rsid w:val="00A44C08"/>
    <w:rsid w:val="00A47D80"/>
    <w:rsid w:val="00A51736"/>
    <w:rsid w:val="00A53132"/>
    <w:rsid w:val="00A563F2"/>
    <w:rsid w:val="00A566E8"/>
    <w:rsid w:val="00A57A10"/>
    <w:rsid w:val="00A57A8C"/>
    <w:rsid w:val="00A61CDD"/>
    <w:rsid w:val="00A61CF6"/>
    <w:rsid w:val="00A62FEC"/>
    <w:rsid w:val="00A634DA"/>
    <w:rsid w:val="00A63A46"/>
    <w:rsid w:val="00A70912"/>
    <w:rsid w:val="00A7731D"/>
    <w:rsid w:val="00A80ED8"/>
    <w:rsid w:val="00A810F9"/>
    <w:rsid w:val="00A83449"/>
    <w:rsid w:val="00A84237"/>
    <w:rsid w:val="00A847B9"/>
    <w:rsid w:val="00A858A6"/>
    <w:rsid w:val="00A85CA6"/>
    <w:rsid w:val="00A86ECC"/>
    <w:rsid w:val="00A86FCC"/>
    <w:rsid w:val="00A9377F"/>
    <w:rsid w:val="00AA0316"/>
    <w:rsid w:val="00AA1552"/>
    <w:rsid w:val="00AA1F4A"/>
    <w:rsid w:val="00AA3134"/>
    <w:rsid w:val="00AA685E"/>
    <w:rsid w:val="00AA710D"/>
    <w:rsid w:val="00AB10CF"/>
    <w:rsid w:val="00AB3D48"/>
    <w:rsid w:val="00AB5FE9"/>
    <w:rsid w:val="00AB6BF4"/>
    <w:rsid w:val="00AB6D25"/>
    <w:rsid w:val="00AC2F03"/>
    <w:rsid w:val="00AC49E5"/>
    <w:rsid w:val="00AC505F"/>
    <w:rsid w:val="00AC54B2"/>
    <w:rsid w:val="00AD2201"/>
    <w:rsid w:val="00AD45F3"/>
    <w:rsid w:val="00AD4D6E"/>
    <w:rsid w:val="00AD66BD"/>
    <w:rsid w:val="00AE1C0D"/>
    <w:rsid w:val="00AE2D4B"/>
    <w:rsid w:val="00AE4F99"/>
    <w:rsid w:val="00AE6E8C"/>
    <w:rsid w:val="00AF02E4"/>
    <w:rsid w:val="00AF2060"/>
    <w:rsid w:val="00AF32FE"/>
    <w:rsid w:val="00AF3507"/>
    <w:rsid w:val="00AF6913"/>
    <w:rsid w:val="00B04A4F"/>
    <w:rsid w:val="00B070C3"/>
    <w:rsid w:val="00B074E0"/>
    <w:rsid w:val="00B14952"/>
    <w:rsid w:val="00B16C83"/>
    <w:rsid w:val="00B1787E"/>
    <w:rsid w:val="00B24052"/>
    <w:rsid w:val="00B31E5A"/>
    <w:rsid w:val="00B321C0"/>
    <w:rsid w:val="00B40D92"/>
    <w:rsid w:val="00B4119A"/>
    <w:rsid w:val="00B4674A"/>
    <w:rsid w:val="00B5177D"/>
    <w:rsid w:val="00B53BB8"/>
    <w:rsid w:val="00B643F0"/>
    <w:rsid w:val="00B648A0"/>
    <w:rsid w:val="00B653AB"/>
    <w:rsid w:val="00B65793"/>
    <w:rsid w:val="00B65F9E"/>
    <w:rsid w:val="00B66B19"/>
    <w:rsid w:val="00B71E5D"/>
    <w:rsid w:val="00B7438D"/>
    <w:rsid w:val="00B824E4"/>
    <w:rsid w:val="00B84593"/>
    <w:rsid w:val="00B90FE4"/>
    <w:rsid w:val="00B914E9"/>
    <w:rsid w:val="00B920B9"/>
    <w:rsid w:val="00B956EE"/>
    <w:rsid w:val="00B961DD"/>
    <w:rsid w:val="00BA2BA1"/>
    <w:rsid w:val="00BA442D"/>
    <w:rsid w:val="00BA61C8"/>
    <w:rsid w:val="00BA7B08"/>
    <w:rsid w:val="00BB4F09"/>
    <w:rsid w:val="00BB69DF"/>
    <w:rsid w:val="00BB7BB2"/>
    <w:rsid w:val="00BC1143"/>
    <w:rsid w:val="00BC1F2D"/>
    <w:rsid w:val="00BC2002"/>
    <w:rsid w:val="00BC36BE"/>
    <w:rsid w:val="00BC4511"/>
    <w:rsid w:val="00BC4D1B"/>
    <w:rsid w:val="00BC6F09"/>
    <w:rsid w:val="00BD058D"/>
    <w:rsid w:val="00BD1361"/>
    <w:rsid w:val="00BD38D1"/>
    <w:rsid w:val="00BD4E33"/>
    <w:rsid w:val="00BD6074"/>
    <w:rsid w:val="00BD7280"/>
    <w:rsid w:val="00BE04C8"/>
    <w:rsid w:val="00BE10BE"/>
    <w:rsid w:val="00BE2E0C"/>
    <w:rsid w:val="00BE6CEF"/>
    <w:rsid w:val="00BE7D12"/>
    <w:rsid w:val="00BF4823"/>
    <w:rsid w:val="00BF4AFA"/>
    <w:rsid w:val="00BF7A67"/>
    <w:rsid w:val="00BF7CBC"/>
    <w:rsid w:val="00C00F97"/>
    <w:rsid w:val="00C030DE"/>
    <w:rsid w:val="00C03AB0"/>
    <w:rsid w:val="00C03C21"/>
    <w:rsid w:val="00C05605"/>
    <w:rsid w:val="00C12101"/>
    <w:rsid w:val="00C12A8E"/>
    <w:rsid w:val="00C14D8E"/>
    <w:rsid w:val="00C15C9A"/>
    <w:rsid w:val="00C21118"/>
    <w:rsid w:val="00C22105"/>
    <w:rsid w:val="00C244B6"/>
    <w:rsid w:val="00C26CC4"/>
    <w:rsid w:val="00C27385"/>
    <w:rsid w:val="00C2783C"/>
    <w:rsid w:val="00C31B68"/>
    <w:rsid w:val="00C3575A"/>
    <w:rsid w:val="00C3702F"/>
    <w:rsid w:val="00C37B93"/>
    <w:rsid w:val="00C40A0B"/>
    <w:rsid w:val="00C44696"/>
    <w:rsid w:val="00C44909"/>
    <w:rsid w:val="00C46D7C"/>
    <w:rsid w:val="00C4728B"/>
    <w:rsid w:val="00C502C3"/>
    <w:rsid w:val="00C526DD"/>
    <w:rsid w:val="00C52F49"/>
    <w:rsid w:val="00C53EF5"/>
    <w:rsid w:val="00C5404E"/>
    <w:rsid w:val="00C551E9"/>
    <w:rsid w:val="00C55DFB"/>
    <w:rsid w:val="00C64A37"/>
    <w:rsid w:val="00C66DB4"/>
    <w:rsid w:val="00C70FA1"/>
    <w:rsid w:val="00C7158E"/>
    <w:rsid w:val="00C7250B"/>
    <w:rsid w:val="00C72854"/>
    <w:rsid w:val="00C7346B"/>
    <w:rsid w:val="00C77C0E"/>
    <w:rsid w:val="00C8347C"/>
    <w:rsid w:val="00C843EB"/>
    <w:rsid w:val="00C91687"/>
    <w:rsid w:val="00C924A8"/>
    <w:rsid w:val="00C945FE"/>
    <w:rsid w:val="00C9549A"/>
    <w:rsid w:val="00C95772"/>
    <w:rsid w:val="00C967B7"/>
    <w:rsid w:val="00C96FAA"/>
    <w:rsid w:val="00C97A04"/>
    <w:rsid w:val="00CA107B"/>
    <w:rsid w:val="00CA10E6"/>
    <w:rsid w:val="00CA2E4F"/>
    <w:rsid w:val="00CA484D"/>
    <w:rsid w:val="00CA4FB6"/>
    <w:rsid w:val="00CA6556"/>
    <w:rsid w:val="00CB10FB"/>
    <w:rsid w:val="00CB17CB"/>
    <w:rsid w:val="00CC0140"/>
    <w:rsid w:val="00CC0403"/>
    <w:rsid w:val="00CC1382"/>
    <w:rsid w:val="00CC1967"/>
    <w:rsid w:val="00CC290C"/>
    <w:rsid w:val="00CC3C2F"/>
    <w:rsid w:val="00CC739E"/>
    <w:rsid w:val="00CD02E6"/>
    <w:rsid w:val="00CD0671"/>
    <w:rsid w:val="00CD16A3"/>
    <w:rsid w:val="00CD3857"/>
    <w:rsid w:val="00CD58B7"/>
    <w:rsid w:val="00CD6BD6"/>
    <w:rsid w:val="00CD7118"/>
    <w:rsid w:val="00CE27D5"/>
    <w:rsid w:val="00CE3A39"/>
    <w:rsid w:val="00CE414A"/>
    <w:rsid w:val="00CE435A"/>
    <w:rsid w:val="00CF0456"/>
    <w:rsid w:val="00CF2B82"/>
    <w:rsid w:val="00CF2D04"/>
    <w:rsid w:val="00CF4099"/>
    <w:rsid w:val="00CF724B"/>
    <w:rsid w:val="00CF7477"/>
    <w:rsid w:val="00D00796"/>
    <w:rsid w:val="00D10AFD"/>
    <w:rsid w:val="00D11F9B"/>
    <w:rsid w:val="00D13F06"/>
    <w:rsid w:val="00D24D25"/>
    <w:rsid w:val="00D261A2"/>
    <w:rsid w:val="00D26E3E"/>
    <w:rsid w:val="00D32CC7"/>
    <w:rsid w:val="00D335CC"/>
    <w:rsid w:val="00D352C2"/>
    <w:rsid w:val="00D37F32"/>
    <w:rsid w:val="00D51528"/>
    <w:rsid w:val="00D565E6"/>
    <w:rsid w:val="00D61279"/>
    <w:rsid w:val="00D616D2"/>
    <w:rsid w:val="00D62F3C"/>
    <w:rsid w:val="00D63B5F"/>
    <w:rsid w:val="00D67E43"/>
    <w:rsid w:val="00D67F9D"/>
    <w:rsid w:val="00D70CAE"/>
    <w:rsid w:val="00D70EF7"/>
    <w:rsid w:val="00D713D8"/>
    <w:rsid w:val="00D771B0"/>
    <w:rsid w:val="00D8397C"/>
    <w:rsid w:val="00D83BC7"/>
    <w:rsid w:val="00D8767A"/>
    <w:rsid w:val="00D94EED"/>
    <w:rsid w:val="00D96026"/>
    <w:rsid w:val="00DA68F7"/>
    <w:rsid w:val="00DA7B5F"/>
    <w:rsid w:val="00DA7C1C"/>
    <w:rsid w:val="00DB147A"/>
    <w:rsid w:val="00DB1B7A"/>
    <w:rsid w:val="00DC1AB6"/>
    <w:rsid w:val="00DC2DC6"/>
    <w:rsid w:val="00DC40A5"/>
    <w:rsid w:val="00DC6708"/>
    <w:rsid w:val="00DD0DB1"/>
    <w:rsid w:val="00DD16D4"/>
    <w:rsid w:val="00DD30E0"/>
    <w:rsid w:val="00DD6321"/>
    <w:rsid w:val="00DE344E"/>
    <w:rsid w:val="00DE3CBB"/>
    <w:rsid w:val="00DE4D4E"/>
    <w:rsid w:val="00DE5E13"/>
    <w:rsid w:val="00DE72D2"/>
    <w:rsid w:val="00E01436"/>
    <w:rsid w:val="00E03C50"/>
    <w:rsid w:val="00E045BD"/>
    <w:rsid w:val="00E06833"/>
    <w:rsid w:val="00E10CC6"/>
    <w:rsid w:val="00E17B77"/>
    <w:rsid w:val="00E17D46"/>
    <w:rsid w:val="00E22DC0"/>
    <w:rsid w:val="00E23337"/>
    <w:rsid w:val="00E25061"/>
    <w:rsid w:val="00E25074"/>
    <w:rsid w:val="00E259EA"/>
    <w:rsid w:val="00E2620A"/>
    <w:rsid w:val="00E32061"/>
    <w:rsid w:val="00E41AE4"/>
    <w:rsid w:val="00E41B99"/>
    <w:rsid w:val="00E42FF9"/>
    <w:rsid w:val="00E44D00"/>
    <w:rsid w:val="00E4714C"/>
    <w:rsid w:val="00E47547"/>
    <w:rsid w:val="00E51AB7"/>
    <w:rsid w:val="00E51AEB"/>
    <w:rsid w:val="00E51E25"/>
    <w:rsid w:val="00E522A7"/>
    <w:rsid w:val="00E54452"/>
    <w:rsid w:val="00E57AA2"/>
    <w:rsid w:val="00E61E72"/>
    <w:rsid w:val="00E6205C"/>
    <w:rsid w:val="00E647CA"/>
    <w:rsid w:val="00E664C5"/>
    <w:rsid w:val="00E671A2"/>
    <w:rsid w:val="00E72387"/>
    <w:rsid w:val="00E76D26"/>
    <w:rsid w:val="00E7740E"/>
    <w:rsid w:val="00E80955"/>
    <w:rsid w:val="00E84178"/>
    <w:rsid w:val="00E84302"/>
    <w:rsid w:val="00E87FFA"/>
    <w:rsid w:val="00E91D0B"/>
    <w:rsid w:val="00E92E12"/>
    <w:rsid w:val="00E9400F"/>
    <w:rsid w:val="00E96C30"/>
    <w:rsid w:val="00E97991"/>
    <w:rsid w:val="00EA2A59"/>
    <w:rsid w:val="00EB1390"/>
    <w:rsid w:val="00EB2C71"/>
    <w:rsid w:val="00EB4340"/>
    <w:rsid w:val="00EB556D"/>
    <w:rsid w:val="00EB5932"/>
    <w:rsid w:val="00EB5A7D"/>
    <w:rsid w:val="00EC5591"/>
    <w:rsid w:val="00EC593F"/>
    <w:rsid w:val="00ED35EF"/>
    <w:rsid w:val="00ED55C0"/>
    <w:rsid w:val="00ED682B"/>
    <w:rsid w:val="00ED769A"/>
    <w:rsid w:val="00EE15A7"/>
    <w:rsid w:val="00EE41D5"/>
    <w:rsid w:val="00EE6523"/>
    <w:rsid w:val="00EE6E87"/>
    <w:rsid w:val="00EE6FC7"/>
    <w:rsid w:val="00EE72D7"/>
    <w:rsid w:val="00EF050C"/>
    <w:rsid w:val="00EF2E6F"/>
    <w:rsid w:val="00EF67A4"/>
    <w:rsid w:val="00EF7117"/>
    <w:rsid w:val="00F037A4"/>
    <w:rsid w:val="00F162BC"/>
    <w:rsid w:val="00F208F5"/>
    <w:rsid w:val="00F22684"/>
    <w:rsid w:val="00F22A2F"/>
    <w:rsid w:val="00F262EB"/>
    <w:rsid w:val="00F27C8F"/>
    <w:rsid w:val="00F32749"/>
    <w:rsid w:val="00F33D92"/>
    <w:rsid w:val="00F37172"/>
    <w:rsid w:val="00F371C4"/>
    <w:rsid w:val="00F42CCF"/>
    <w:rsid w:val="00F44505"/>
    <w:rsid w:val="00F4477E"/>
    <w:rsid w:val="00F44E83"/>
    <w:rsid w:val="00F462AE"/>
    <w:rsid w:val="00F46D1C"/>
    <w:rsid w:val="00F47E2A"/>
    <w:rsid w:val="00F52354"/>
    <w:rsid w:val="00F53D19"/>
    <w:rsid w:val="00F55A47"/>
    <w:rsid w:val="00F60715"/>
    <w:rsid w:val="00F61EEB"/>
    <w:rsid w:val="00F630EA"/>
    <w:rsid w:val="00F652B5"/>
    <w:rsid w:val="00F66036"/>
    <w:rsid w:val="00F66A49"/>
    <w:rsid w:val="00F67D8F"/>
    <w:rsid w:val="00F70902"/>
    <w:rsid w:val="00F71721"/>
    <w:rsid w:val="00F73E1A"/>
    <w:rsid w:val="00F76775"/>
    <w:rsid w:val="00F7740F"/>
    <w:rsid w:val="00F802BE"/>
    <w:rsid w:val="00F80BB8"/>
    <w:rsid w:val="00F80F46"/>
    <w:rsid w:val="00F815D8"/>
    <w:rsid w:val="00F86024"/>
    <w:rsid w:val="00F8611A"/>
    <w:rsid w:val="00F91B65"/>
    <w:rsid w:val="00F945A9"/>
    <w:rsid w:val="00F94FCE"/>
    <w:rsid w:val="00F96A8C"/>
    <w:rsid w:val="00F97AD7"/>
    <w:rsid w:val="00FA2015"/>
    <w:rsid w:val="00FA290C"/>
    <w:rsid w:val="00FA475C"/>
    <w:rsid w:val="00FA5128"/>
    <w:rsid w:val="00FB124F"/>
    <w:rsid w:val="00FB4199"/>
    <w:rsid w:val="00FB42D4"/>
    <w:rsid w:val="00FB5906"/>
    <w:rsid w:val="00FB762F"/>
    <w:rsid w:val="00FC2AED"/>
    <w:rsid w:val="00FD0226"/>
    <w:rsid w:val="00FD2286"/>
    <w:rsid w:val="00FD35F3"/>
    <w:rsid w:val="00FD4D37"/>
    <w:rsid w:val="00FD51A8"/>
    <w:rsid w:val="00FD5EA7"/>
    <w:rsid w:val="00FD6224"/>
    <w:rsid w:val="00FD6D2F"/>
    <w:rsid w:val="00FE6FD1"/>
    <w:rsid w:val="00FE7890"/>
    <w:rsid w:val="00FE7A08"/>
    <w:rsid w:val="00FE7CFB"/>
    <w:rsid w:val="00FF3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C551E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autoRedefine/>
    <w:qFormat/>
    <w:rsid w:val="00A7731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7731D"/>
    <w:rPr>
      <w:rFonts w:ascii="Fira Sans SemiBold" w:eastAsia="Times New Roman" w:hAnsi="Fira Sans SemiBold" w:cs="Times New Roman"/>
      <w:bCs/>
      <w:color w:val="001D77"/>
      <w:sz w:val="19"/>
      <w:szCs w:val="24"/>
      <w:lang w:eastAsia="pl-PL"/>
    </w:rPr>
  </w:style>
  <w:style w:type="paragraph" w:customStyle="1" w:styleId="LID">
    <w:name w:val="LID"/>
    <w:basedOn w:val="Normalny"/>
    <w:autoRedefine/>
    <w:qFormat/>
    <w:rsid w:val="00A7731D"/>
    <w:pPr>
      <w:spacing w:before="360" w:line="240" w:lineRule="auto"/>
      <w:ind w:left="851" w:hanging="851"/>
      <w:contextualSpacing/>
    </w:pPr>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styleId="Nierozpoznanawzmianka">
    <w:name w:val="Unresolved Mention"/>
    <w:basedOn w:val="Domylnaczcionkaakapitu"/>
    <w:uiPriority w:val="99"/>
    <w:semiHidden/>
    <w:unhideWhenUsed/>
    <w:rsid w:val="009E7122"/>
    <w:rPr>
      <w:color w:val="605E5C"/>
      <w:shd w:val="clear" w:color="auto" w:fill="E1DFDD"/>
    </w:rPr>
  </w:style>
  <w:style w:type="character" w:styleId="Odwoaniedokomentarza">
    <w:name w:val="annotation reference"/>
    <w:basedOn w:val="Domylnaczcionkaakapitu"/>
    <w:uiPriority w:val="99"/>
    <w:semiHidden/>
    <w:unhideWhenUsed/>
    <w:rsid w:val="009E7122"/>
    <w:rPr>
      <w:sz w:val="16"/>
      <w:szCs w:val="16"/>
    </w:rPr>
  </w:style>
  <w:style w:type="paragraph" w:styleId="Tekstkomentarza">
    <w:name w:val="annotation text"/>
    <w:basedOn w:val="Normalny"/>
    <w:link w:val="TekstkomentarzaZnak"/>
    <w:uiPriority w:val="99"/>
    <w:semiHidden/>
    <w:unhideWhenUsed/>
    <w:rsid w:val="009E71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12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E7122"/>
    <w:rPr>
      <w:b/>
      <w:bCs/>
    </w:rPr>
  </w:style>
  <w:style w:type="character" w:customStyle="1" w:styleId="TematkomentarzaZnak">
    <w:name w:val="Temat komentarza Znak"/>
    <w:basedOn w:val="TekstkomentarzaZnak"/>
    <w:link w:val="Tematkomentarza"/>
    <w:uiPriority w:val="99"/>
    <w:semiHidden/>
    <w:rsid w:val="009E7122"/>
    <w:rPr>
      <w:rFonts w:ascii="Fira Sans" w:hAnsi="Fira Sans"/>
      <w:b/>
      <w:bCs/>
      <w:sz w:val="20"/>
      <w:szCs w:val="20"/>
    </w:rPr>
  </w:style>
  <w:style w:type="paragraph" w:customStyle="1" w:styleId="Ikonawskanika">
    <w:name w:val="Ikona wskaźnika"/>
    <w:basedOn w:val="Normalny"/>
    <w:link w:val="IkonawskanikaZnak"/>
    <w:qFormat/>
    <w:rsid w:val="00AD66BD"/>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AD66B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AD66BD"/>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AD66BD"/>
    <w:rPr>
      <w:color w:val="FFFFFF" w:themeColor="background1"/>
    </w:rPr>
  </w:style>
  <w:style w:type="character" w:customStyle="1" w:styleId="WartowskanikaZnak">
    <w:name w:val="Wartość wskaźnika Znak"/>
    <w:basedOn w:val="Domylnaczcionkaakapitu"/>
    <w:link w:val="Wartowskanika"/>
    <w:rsid w:val="00AD66BD"/>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AD66BD"/>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653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2532788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05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www.facebook.com/GlownyUrzadStatystyczny" TargetMode="External"/><Relationship Id="rId39" Type="http://schemas.openxmlformats.org/officeDocument/2006/relationships/hyperlink" Target="http://stat.gov.pl/metainformacje/slownik-pojec/pojecia-stosowane-w-statystyce-publicznej/2962,pojecie.html" TargetMode="External"/><Relationship Id="rId21" Type="http://schemas.openxmlformats.org/officeDocument/2006/relationships/image" Target="media/image8.png"/><Relationship Id="rId34" Type="http://schemas.openxmlformats.org/officeDocument/2006/relationships/hyperlink" Target="https://publikacje.new.stat.gov.pl/portal-publikacje/zmiany-strukturalne-grup-podmiotow-gospodarki-narodowej-w-rejestrze-regon-2025"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x.com/GUS_STAT" TargetMode="External"/><Relationship Id="rId32" Type="http://schemas.openxmlformats.org/officeDocument/2006/relationships/image" Target="media/image13.png"/><Relationship Id="rId37" Type="http://schemas.openxmlformats.org/officeDocument/2006/relationships/hyperlink" Target="https://bdl.stat.gov.pl/BDL/start" TargetMode="External"/><Relationship Id="rId40" Type="http://schemas.openxmlformats.org/officeDocument/2006/relationships/hyperlink" Target="http://stat.gov.pl/metainformacje/slownik-pojec/pojecia-stosowane-w-statystyce-publicznej/2961,pojecie.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hyperlink" Target="https://www.instagram.com/gus_stat/?next" TargetMode="External"/><Relationship Id="rId36" Type="http://schemas.openxmlformats.org/officeDocument/2006/relationships/hyperlink" Target="https://dashboard.stat.gov.pl/"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linkedin.com/company/glownyurzadstatystyczn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new.stat.gov.pl/" TargetMode="External"/><Relationship Id="rId27" Type="http://schemas.openxmlformats.org/officeDocument/2006/relationships/image" Target="media/image11.png"/><Relationship Id="rId30" Type="http://schemas.openxmlformats.org/officeDocument/2006/relationships/hyperlink" Target="https://youtube.com/@glownyurzadstatystycznygus?si=IgHa1awoYniiJyQI" TargetMode="External"/><Relationship Id="rId35" Type="http://schemas.openxmlformats.org/officeDocument/2006/relationships/hyperlink" Target="https://dashboard-regon.stat.gov.pl/"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image" Target="media/image10.png"/><Relationship Id="rId33" Type="http://schemas.openxmlformats.org/officeDocument/2006/relationships/hyperlink" Target="https://stat.gov.pl/obszary-tematyczne/podmioty-gospodarcze-wyniki-finansowe/zmiany-strukturalne-grup-podmiotow/zmiany-strukturalne-grup-podmiotow-gospodarki-narodowej-na-obszarach-przygranicznych-na-terenie-polski-w-latach-2023-2024,2,10.html" TargetMode="External"/><Relationship Id="rId38" Type="http://schemas.openxmlformats.org/officeDocument/2006/relationships/hyperlink" Target="http://stat.gov.pl/metainformacje/slownik-pojec/pojecia-stosowane-w-statystyce-publicznej/814,pojecie.html" TargetMode="External"/><Relationship Id="rId20" Type="http://schemas.openxmlformats.org/officeDocument/2006/relationships/hyperlink" Target="mailto:obslugaprasowa@stat.gov.pl" TargetMode="External"/><Relationship Id="rId41" Type="http://schemas.openxmlformats.org/officeDocument/2006/relationships/hyperlink" Target="http://bip.stat.gov.pl/dzialalnosc-statystyki-publicznej/rejestr-reg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3.xml><?xml version="1.0" encoding="utf-8"?>
<ds:datastoreItem xmlns:ds="http://schemas.openxmlformats.org/officeDocument/2006/customXml" ds:itemID="{FC011A38-6283-468C-8F1F-B76B2AE70832}">
  <ds:schemaRefs>
    <ds:schemaRef ds:uri="http://schemas.openxmlformats.org/officeDocument/2006/bibliography"/>
  </ds:schemaRefs>
</ds:datastoreItem>
</file>

<file path=customXml/itemProps4.xml><?xml version="1.0" encoding="utf-8"?>
<ds:datastoreItem xmlns:ds="http://schemas.openxmlformats.org/officeDocument/2006/customXml" ds:itemID="{441150F9-42FE-4E0A-83C4-93BD4F8EEA54}">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3958</TotalTime>
  <Pages>7</Pages>
  <Words>2026</Words>
  <Characters>12159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Podmioty gospodarki narodowej na obszarach przygranicznych na terenie Polski w 2025 r.</dc:title>
  <dc:subject/>
  <dc:creator>Główny Urząd Statystyczny</dc:creator>
  <cp:keywords/>
  <dc:description/>
  <cp:lastPrinted>2022-03-31T11:33:00Z</cp:lastPrinted>
  <dcterms:created xsi:type="dcterms:W3CDTF">2020-04-14T09:18:00Z</dcterms:created>
  <dcterms:modified xsi:type="dcterms:W3CDTF">2026-04-17T07:33:00Z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