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0BF99" w14:textId="678E6239" w:rsidR="003F1246" w:rsidRPr="000F5F48" w:rsidRDefault="003F1246" w:rsidP="00FB1FE0">
      <w:pPr>
        <w:pStyle w:val="Tytuinfomacjisygnalnej"/>
      </w:pPr>
      <w:r>
        <w:t xml:space="preserve">Gospodarka morska w </w:t>
      </w:r>
      <w:r w:rsidRPr="000F5F48">
        <w:t>Polsce w 20</w:t>
      </w:r>
      <w:r w:rsidR="00663CC0" w:rsidRPr="000F5F48">
        <w:t>2</w:t>
      </w:r>
      <w:r w:rsidR="003E67D2" w:rsidRPr="000F5F48">
        <w:t>5</w:t>
      </w:r>
      <w:r w:rsidRPr="000F5F48">
        <w:t xml:space="preserve"> r.</w:t>
      </w:r>
    </w:p>
    <w:p w14:paraId="3AF27196" w14:textId="41F277A5" w:rsidR="00B06C29" w:rsidRPr="000F5F48" w:rsidRDefault="00FB1FE0" w:rsidP="004B5DC6">
      <w:pPr>
        <w:pStyle w:val="Lead"/>
      </w:pPr>
      <w:r w:rsidRPr="000F5F48"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060CC45" wp14:editId="34F34B7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980000" cy="1152000"/>
                <wp:effectExtent l="0" t="0" r="1270" b="0"/>
                <wp:wrapSquare wrapText="bothSides"/>
                <wp:docPr id="49" name="Pole tekstowe 2" descr="Pole tekstowe ze wskaźnikiem&#10;&#10;Wzrost o 3,1% obrotów ładunkowych w stosunku do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000" cy="115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7D17" w14:textId="73367B72" w:rsidR="00B33AA6" w:rsidRPr="00526246" w:rsidRDefault="00527D35" w:rsidP="000B75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70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65FA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3,1</w:t>
                            </w:r>
                            <w:r w:rsidR="00B33AA6" w:rsidRPr="005262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6C46A2" w14:textId="7477DAD7" w:rsidR="00D04587" w:rsidRPr="007D605C" w:rsidRDefault="00165FAB" w:rsidP="005E479C">
                            <w:pPr>
                              <w:pStyle w:val="tekstnaniebieskimtle"/>
                              <w:ind w:left="-57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Wzrost</w:t>
                            </w:r>
                            <w:r w:rsidR="00B33AA6" w:rsidRPr="00526246">
                              <w:rPr>
                                <w:color w:val="FFFFFF" w:themeColor="background1"/>
                              </w:rPr>
                              <w:t xml:space="preserve"> obrotów ładunkowych w stosunku do 202</w:t>
                            </w: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  <w:r w:rsidR="00662CA2" w:rsidRPr="0052624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B33AA6" w:rsidRPr="0052624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0CC45" id="Pole tekstowe 2" o:spid="_x0000_s1026" alt="Pole tekstowe ze wskaźnikiem&#10;&#10;Wzrost o 3,1% obrotów ładunkowych w stosunku do 2024 r." style="position:absolute;margin-left:0;margin-top:3.6pt;width:155.9pt;height:90.7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" fillcolor="#001d77" stroked="f">
                <v:stroke joinstyle="miter"/>
                <v:textbox>
                  <w:txbxContent>
                    <w:p w14:paraId="037D7D17" w14:textId="73367B72" w:rsidR="00B33AA6" w:rsidRPr="00526246" w:rsidRDefault="00527D35" w:rsidP="000B75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70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65FAB">
                        <w:rPr>
                          <w:rStyle w:val="WartowskanikaZnak"/>
                          <w:sz w:val="72"/>
                          <w:szCs w:val="72"/>
                        </w:rPr>
                        <w:t>3,1</w:t>
                      </w:r>
                      <w:r w:rsidR="00B33AA6" w:rsidRPr="0052624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6C46A2" w14:textId="7477DAD7" w:rsidR="00D04587" w:rsidRPr="007D605C" w:rsidRDefault="00165FAB" w:rsidP="005E479C">
                      <w:pPr>
                        <w:pStyle w:val="tekstnaniebieskimtle"/>
                        <w:ind w:left="-57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color w:val="FFFFFF" w:themeColor="background1"/>
                        </w:rPr>
                        <w:t>Wzrost</w:t>
                      </w:r>
                      <w:r w:rsidR="00B33AA6" w:rsidRPr="00526246">
                        <w:rPr>
                          <w:color w:val="FFFFFF" w:themeColor="background1"/>
                        </w:rPr>
                        <w:t xml:space="preserve"> obrotów ładunkowych w stosunku do 202</w:t>
                      </w:r>
                      <w:r>
                        <w:rPr>
                          <w:color w:val="FFFFFF" w:themeColor="background1"/>
                        </w:rPr>
                        <w:t>4</w:t>
                      </w:r>
                      <w:r w:rsidR="00662CA2" w:rsidRPr="00526246">
                        <w:rPr>
                          <w:color w:val="FFFFFF" w:themeColor="background1"/>
                        </w:rPr>
                        <w:t xml:space="preserve"> </w:t>
                      </w:r>
                      <w:r w:rsidR="00B33AA6" w:rsidRPr="00526246">
                        <w:rPr>
                          <w:color w:val="FFFFFF" w:themeColor="background1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707" w:rsidRPr="000F5F48">
        <w:t>W porównaniu z 202</w:t>
      </w:r>
      <w:r w:rsidR="00165FAB" w:rsidRPr="000F5F48">
        <w:t>4</w:t>
      </w:r>
      <w:r w:rsidR="00176707" w:rsidRPr="000F5F48">
        <w:t xml:space="preserve"> r. w polskich portach morskich </w:t>
      </w:r>
      <w:r w:rsidR="00496F70">
        <w:t>zwiększyły się</w:t>
      </w:r>
      <w:r w:rsidR="00176707" w:rsidRPr="000F5F48">
        <w:t xml:space="preserve"> obrot</w:t>
      </w:r>
      <w:r w:rsidR="00496F70">
        <w:t>y</w:t>
      </w:r>
      <w:r w:rsidR="00176707" w:rsidRPr="000F5F48">
        <w:t xml:space="preserve"> ładunkow</w:t>
      </w:r>
      <w:r w:rsidR="00496F70">
        <w:t>e</w:t>
      </w:r>
      <w:r w:rsidR="00165FAB" w:rsidRPr="000F5F48">
        <w:t xml:space="preserve"> oraz liczb</w:t>
      </w:r>
      <w:r w:rsidR="00496F70">
        <w:t>a</w:t>
      </w:r>
      <w:r w:rsidR="00165FAB" w:rsidRPr="000F5F48">
        <w:t xml:space="preserve"> statków wchodzących do portów, </w:t>
      </w:r>
      <w:r w:rsidR="00D35202">
        <w:t>zmniejszył się</w:t>
      </w:r>
      <w:r w:rsidR="001331F9" w:rsidRPr="000F5F48">
        <w:t xml:space="preserve"> natomiast</w:t>
      </w:r>
      <w:r w:rsidR="00165FAB" w:rsidRPr="000F5F48">
        <w:t xml:space="preserve"> ruch pasażerów. </w:t>
      </w:r>
      <w:r w:rsidR="00C76D71" w:rsidRPr="00C91C68">
        <w:t xml:space="preserve">W komunikacji międzynarodowej odnotowano wzrost ładunków przetransportowanych morską flotą przez polskich przewoźników oraz wzrost </w:t>
      </w:r>
      <w:r w:rsidR="00C76D71" w:rsidRPr="00C91C68">
        <w:rPr>
          <w:spacing w:val="-4"/>
        </w:rPr>
        <w:t>przewozów pasażerów</w:t>
      </w:r>
      <w:r w:rsidR="00C76D71" w:rsidRPr="00C91C68">
        <w:rPr>
          <w:spacing w:val="-2"/>
        </w:rPr>
        <w:t xml:space="preserve">. Według stanu na koniec 2025 r. liczba jednostek morskiej i przybrzeżnej floty </w:t>
      </w:r>
      <w:r w:rsidR="00C76D71" w:rsidRPr="005E479C">
        <w:rPr>
          <w:spacing w:val="-2"/>
        </w:rPr>
        <w:t>transportowej zmniejszyła się w skali roku o 6 statków</w:t>
      </w:r>
      <w:r w:rsidR="00C76D71" w:rsidRPr="00C91C68">
        <w:t xml:space="preserve">. </w:t>
      </w:r>
    </w:p>
    <w:p w14:paraId="2852FEAA" w14:textId="21EA145E" w:rsidR="00F64031" w:rsidRPr="000F5F48" w:rsidRDefault="00F64031" w:rsidP="00F64031">
      <w:pPr>
        <w:pStyle w:val="Lead"/>
        <w:rPr>
          <w:sz w:val="21"/>
          <w:szCs w:val="21"/>
        </w:rPr>
      </w:pPr>
    </w:p>
    <w:p w14:paraId="13008E70" w14:textId="76DA8B97" w:rsidR="00FB1FE0" w:rsidRPr="000F5F48" w:rsidRDefault="007B047F" w:rsidP="00FB1FE0">
      <w:pPr>
        <w:pStyle w:val="Nagwek1"/>
        <w:rPr>
          <w:rFonts w:ascii="Fira Sans" w:hAnsi="Fira Sans"/>
          <w:b/>
          <w:szCs w:val="19"/>
        </w:rPr>
      </w:pPr>
      <w:r w:rsidRPr="000F5F48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0A3B7340" wp14:editId="2696A0DE">
                <wp:simplePos x="0" y="0"/>
                <wp:positionH relativeFrom="column">
                  <wp:posOffset>5236819</wp:posOffset>
                </wp:positionH>
                <wp:positionV relativeFrom="paragraph">
                  <wp:posOffset>384784</wp:posOffset>
                </wp:positionV>
                <wp:extent cx="1840230" cy="779145"/>
                <wp:effectExtent l="0" t="0" r="0" b="1905"/>
                <wp:wrapTight wrapText="bothSides">
                  <wp:wrapPolygon edited="0">
                    <wp:start x="671" y="0"/>
                    <wp:lineTo x="671" y="21125"/>
                    <wp:lineTo x="20795" y="21125"/>
                    <wp:lineTo x="20795" y="0"/>
                    <wp:lineTo x="671" y="0"/>
                  </wp:wrapPolygon>
                </wp:wrapTight>
                <wp:docPr id="15" name="Pole tekstowe 15" descr="Obroty ładunkowe w portach morskich w 2025 r. były o 3,1% więk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0280F" w14:textId="7E366889" w:rsidR="00D04587" w:rsidRPr="00E454FE" w:rsidRDefault="005830FE" w:rsidP="007B047F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 w:rsidRPr="000F5F48">
                              <w:t>Obroty ładunkowe w portach morskich w 202</w:t>
                            </w:r>
                            <w:r w:rsidR="00221CEC" w:rsidRPr="000F5F48">
                              <w:t>5</w:t>
                            </w:r>
                            <w:r w:rsidRPr="000F5F48">
                              <w:t xml:space="preserve"> r. były o </w:t>
                            </w:r>
                            <w:r w:rsidR="00221CEC" w:rsidRPr="000F5F48">
                              <w:t>3,1</w:t>
                            </w:r>
                            <w:r w:rsidRPr="000F5F48">
                              <w:t xml:space="preserve">% </w:t>
                            </w:r>
                            <w:r w:rsidR="00221CEC" w:rsidRPr="000F5F48">
                              <w:t>większe</w:t>
                            </w:r>
                            <w:r w:rsidRPr="000F5F4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734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Obroty ładunkowe w portach morskich w 2025 r. były o 3,1% większe niż przed rokiem" style="position:absolute;margin-left:412.35pt;margin-top:30.3pt;width:144.9pt;height:61.3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" filled="f" stroked="f">
                <v:textbox>
                  <w:txbxContent>
                    <w:p w14:paraId="2C50280F" w14:textId="7E366889" w:rsidR="00D04587" w:rsidRPr="00E454FE" w:rsidRDefault="005830FE" w:rsidP="007B047F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 w:rsidRPr="000F5F48">
                        <w:t>Obroty ładunkowe w portach morskich w 202</w:t>
                      </w:r>
                      <w:r w:rsidR="00221CEC" w:rsidRPr="000F5F48">
                        <w:t>5</w:t>
                      </w:r>
                      <w:r w:rsidRPr="000F5F48">
                        <w:t xml:space="preserve"> r. były o </w:t>
                      </w:r>
                      <w:r w:rsidR="00221CEC" w:rsidRPr="000F5F48">
                        <w:t>3,1</w:t>
                      </w:r>
                      <w:r w:rsidRPr="000F5F48">
                        <w:t xml:space="preserve">% </w:t>
                      </w:r>
                      <w:r w:rsidR="00221CEC" w:rsidRPr="000F5F48">
                        <w:t>większe</w:t>
                      </w:r>
                      <w:r w:rsidRPr="000F5F48"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FE0" w:rsidRPr="000F5F48">
        <w:rPr>
          <w:shd w:val="clear" w:color="auto" w:fill="FFFFFF"/>
        </w:rPr>
        <w:br/>
      </w:r>
      <w:r w:rsidR="00FB1FE0" w:rsidRPr="000F5F48">
        <w:t>Porty morskie</w:t>
      </w:r>
    </w:p>
    <w:p w14:paraId="55D85148" w14:textId="1268866C" w:rsidR="00FE0B58" w:rsidRDefault="005830FE">
      <w:r w:rsidRPr="000F5F48">
        <w:t>Obroty ładunkowe w portach morskich w 202</w:t>
      </w:r>
      <w:r w:rsidR="00C867E3" w:rsidRPr="000F5F48">
        <w:t>5</w:t>
      </w:r>
      <w:r w:rsidR="00526246" w:rsidRPr="000F5F48">
        <w:t xml:space="preserve"> </w:t>
      </w:r>
      <w:r w:rsidRPr="000F5F48">
        <w:t xml:space="preserve">r. wyniosły </w:t>
      </w:r>
      <w:r w:rsidR="00C867E3" w:rsidRPr="000F5F48">
        <w:t>128,0</w:t>
      </w:r>
      <w:r w:rsidRPr="000F5F48">
        <w:t xml:space="preserve"> mln ton, tj. o </w:t>
      </w:r>
      <w:r w:rsidR="00221CEC" w:rsidRPr="000F5F48">
        <w:t>3,1</w:t>
      </w:r>
      <w:r w:rsidRPr="000F5F48">
        <w:t xml:space="preserve">% </w:t>
      </w:r>
      <w:r w:rsidR="00221CEC" w:rsidRPr="000F5F48">
        <w:t>więcej</w:t>
      </w:r>
      <w:r w:rsidRPr="000F5F48">
        <w:t xml:space="preserve"> </w:t>
      </w:r>
      <w:r w:rsidRPr="000F5F48">
        <w:br/>
        <w:t>niż w 202</w:t>
      </w:r>
      <w:r w:rsidR="00221CEC" w:rsidRPr="000F5F48">
        <w:t>4</w:t>
      </w:r>
      <w:r w:rsidRPr="000F5F48">
        <w:t xml:space="preserve"> r. Wzrost obrotów odnotowano w </w:t>
      </w:r>
      <w:r w:rsidR="00FE0B58" w:rsidRPr="000F5F48">
        <w:t>Szczecinie (o 10,8%), Świnoujściu (o 7,2%) oraz Gdańsk</w:t>
      </w:r>
      <w:r w:rsidR="00FB6217">
        <w:t>u</w:t>
      </w:r>
      <w:r w:rsidR="00FE0B58" w:rsidRPr="000F5F48">
        <w:t xml:space="preserve"> (o 6,0%), natomiast spadek </w:t>
      </w:r>
      <w:r w:rsidR="00496F70">
        <w:t xml:space="preserve">– </w:t>
      </w:r>
      <w:r w:rsidR="00FE0B58" w:rsidRPr="000F5F48">
        <w:t>w Gdyni (o 11,7%) oraz w Policach (o 1,7%).</w:t>
      </w:r>
      <w:r w:rsidR="00FE0B58">
        <w:t xml:space="preserve"> </w:t>
      </w:r>
    </w:p>
    <w:p w14:paraId="19DE794C" w14:textId="48FBF7D0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Obroty ładunkowe w portach </w:t>
      </w:r>
      <w:proofErr w:type="spellStart"/>
      <w:r w:rsidRPr="005A1D8D">
        <w:t>morskich</w:t>
      </w:r>
      <w:r w:rsidR="00541CB2" w:rsidRPr="00BF5296">
        <w:rPr>
          <w:vertAlign w:val="superscript"/>
        </w:rPr>
        <w:t>a</w:t>
      </w:r>
      <w:proofErr w:type="spellEnd"/>
    </w:p>
    <w:p w14:paraId="0652D6DF" w14:textId="6F3EABD6" w:rsidR="00952623" w:rsidRDefault="00952623" w:rsidP="000B75B6">
      <w:pPr>
        <w:pStyle w:val="Brakstyluakapitowego"/>
      </w:pPr>
      <w:r>
        <w:rPr>
          <w:noProof/>
        </w:rPr>
        <w:drawing>
          <wp:inline distT="0" distB="0" distL="0" distR="0" wp14:anchorId="52531226" wp14:editId="365FF626">
            <wp:extent cx="5076000" cy="1939954"/>
            <wp:effectExtent l="0" t="0" r="0" b="3175"/>
            <wp:docPr id="18" name="Obraz 18" descr="Wykres liniowy&#10;&#10;Wykres wieloletni przedstawiający obroty ładunkowe w portach morskich w latach 2010 – 2025. W 2025 roku obroty ładunkowe w Gdańsku wyniosły 75,3 mln ton (w 2010 roku – 26,4 mln ton), Gdyni – 20,5 mln ton (w 2010 roku – 12,3 mln ton), Świnoujściu – 19,7 mln ton (w 2010 roku – 10,7 mln ton), Szczecinie – 11,0 mln ton (w 2010 roku – 8,0 mln ton), Policach – 1,0 mln ton (w 2010 roku – 1,8 mln ton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liniowy&#10;&#10;Wykres wieloletni przedstawiający obroty ładunkowe w portach morskich w latach 2010 – 2025. W 2025 roku obroty ładunkowe w Gdańsku wyniosły 75,3 mln ton (w 2010 roku – 26,4 mln ton), Gdyni – 20,5 mln ton (w 2010 roku – 12,3 mln ton), Świnoujściu – 19,7 mln ton (w 2010 roku – 10,7 mln ton), Szczecinie – 11,0 mln ton (w 2010 roku – 8,0 mln ton), Policach – 1,0 mln ton (w 2010 roku – 1,8 mln ton). 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19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3C02" w14:textId="65D4837F" w:rsidR="00952623" w:rsidRPr="00BF5296" w:rsidRDefault="00A446B3" w:rsidP="000B75B6">
      <w:pPr>
        <w:rPr>
          <w:sz w:val="16"/>
          <w:szCs w:val="16"/>
        </w:rPr>
      </w:pPr>
      <w:r>
        <w:rPr>
          <w:sz w:val="16"/>
          <w:szCs w:val="16"/>
        </w:rPr>
        <w:t>a</w:t>
      </w:r>
      <w:r w:rsidR="00284F80">
        <w:rPr>
          <w:sz w:val="16"/>
          <w:szCs w:val="16"/>
        </w:rPr>
        <w:t xml:space="preserve"> Dane wstępne.</w:t>
      </w:r>
    </w:p>
    <w:p w14:paraId="169CE791" w14:textId="599C6A1E" w:rsidR="005830FE" w:rsidRPr="00527D35" w:rsidRDefault="005830FE">
      <w:pPr>
        <w:rPr>
          <w:noProof/>
          <w:lang w:eastAsia="pl-PL"/>
        </w:rPr>
      </w:pPr>
      <w:r w:rsidRPr="00527D3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DE2CE1A" wp14:editId="354F5EFD">
                <wp:simplePos x="0" y="0"/>
                <wp:positionH relativeFrom="column">
                  <wp:posOffset>5215864</wp:posOffset>
                </wp:positionH>
                <wp:positionV relativeFrom="paragraph">
                  <wp:posOffset>459003</wp:posOffset>
                </wp:positionV>
                <wp:extent cx="1833245" cy="647700"/>
                <wp:effectExtent l="0" t="0" r="0" b="0"/>
                <wp:wrapTight wrapText="bothSides">
                  <wp:wrapPolygon edited="0">
                    <wp:start x="673" y="0"/>
                    <wp:lineTo x="673" y="20965"/>
                    <wp:lineTo x="20874" y="20965"/>
                    <wp:lineTo x="20874" y="0"/>
                    <wp:lineTo x="673" y="0"/>
                  </wp:wrapPolygon>
                </wp:wrapTight>
                <wp:docPr id="26" name="Pole tekstowe 26" descr="W strukturze obrotów ładunkowych w 2025 r. dominowały ładunki masowe ciekłe (43,9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85B21" w14:textId="2BF1B8CF" w:rsidR="005830FE" w:rsidRPr="00D77058" w:rsidRDefault="005830FE" w:rsidP="005830FE">
                            <w:pPr>
                              <w:pStyle w:val="tekstzboku"/>
                            </w:pPr>
                            <w:r w:rsidRPr="00527D35">
                              <w:t>W strukturze obrotów ładunkowych w 202</w:t>
                            </w:r>
                            <w:r w:rsidR="001375A7" w:rsidRPr="00527D35">
                              <w:t>5</w:t>
                            </w:r>
                            <w:r w:rsidRPr="00527D35">
                              <w:t xml:space="preserve"> r. dominowały </w:t>
                            </w:r>
                            <w:r w:rsidRPr="00527D35">
                              <w:br/>
                              <w:t>ładunki masowe ciekłe (</w:t>
                            </w:r>
                            <w:r w:rsidR="001375A7" w:rsidRPr="00527D35">
                              <w:t>43,9</w:t>
                            </w:r>
                            <w:r w:rsidRPr="00527D3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CE1A" id="Pole tekstowe 26" o:spid="_x0000_s1028" type="#_x0000_t202" alt="W strukturze obrotów ładunkowych w 2025 r. dominowały ładunki masowe ciekłe (43,9%)&#10;" style="position:absolute;margin-left:410.7pt;margin-top:36.15pt;width:144.35pt;height:51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" filled="f" stroked="f">
                <v:textbox>
                  <w:txbxContent>
                    <w:p w14:paraId="77085B21" w14:textId="2BF1B8CF" w:rsidR="005830FE" w:rsidRPr="00D77058" w:rsidRDefault="005830FE" w:rsidP="005830FE">
                      <w:pPr>
                        <w:pStyle w:val="tekstzboku"/>
                      </w:pPr>
                      <w:r w:rsidRPr="00527D35">
                        <w:t>W strukturze obrotów ładunkowych w 202</w:t>
                      </w:r>
                      <w:r w:rsidR="001375A7" w:rsidRPr="00527D35">
                        <w:t>5</w:t>
                      </w:r>
                      <w:r w:rsidRPr="00527D35">
                        <w:t xml:space="preserve"> r. dominowały </w:t>
                      </w:r>
                      <w:r w:rsidRPr="00527D35">
                        <w:br/>
                        <w:t>ładunki masowe ciekłe (</w:t>
                      </w:r>
                      <w:r w:rsidR="001375A7" w:rsidRPr="00527D35">
                        <w:t>43,9</w:t>
                      </w:r>
                      <w:r w:rsidRPr="00527D35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7D35">
        <w:rPr>
          <w:noProof/>
          <w:lang w:eastAsia="pl-PL"/>
        </w:rPr>
        <w:t>Udział poszczególnych portów w obrotach ogólnokrajowych w 202</w:t>
      </w:r>
      <w:r w:rsidR="00FE0B58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 xml:space="preserve"> r. kształtował się następująco: Gdańsk – </w:t>
      </w:r>
      <w:r w:rsidR="00FE0B58" w:rsidRPr="00527D35">
        <w:rPr>
          <w:noProof/>
          <w:lang w:eastAsia="pl-PL"/>
        </w:rPr>
        <w:t>58,8</w:t>
      </w:r>
      <w:r w:rsidRPr="00527D35">
        <w:rPr>
          <w:noProof/>
          <w:lang w:eastAsia="pl-PL"/>
        </w:rPr>
        <w:t xml:space="preserve">%, Gdynia – </w:t>
      </w:r>
      <w:r w:rsidR="00FE0B58" w:rsidRPr="00527D35">
        <w:rPr>
          <w:noProof/>
          <w:lang w:eastAsia="pl-PL"/>
        </w:rPr>
        <w:t>16,0</w:t>
      </w:r>
      <w:r w:rsidRPr="00527D35">
        <w:rPr>
          <w:noProof/>
          <w:lang w:eastAsia="pl-PL"/>
        </w:rPr>
        <w:t xml:space="preserve">%, Świnoujście – </w:t>
      </w:r>
      <w:r w:rsidR="001375A7" w:rsidRPr="00527D35">
        <w:rPr>
          <w:noProof/>
          <w:lang w:eastAsia="pl-PL"/>
        </w:rPr>
        <w:t>15,4</w:t>
      </w:r>
      <w:r w:rsidRPr="00527D35">
        <w:rPr>
          <w:noProof/>
          <w:lang w:eastAsia="pl-PL"/>
        </w:rPr>
        <w:t xml:space="preserve">%, Szczecin </w:t>
      </w:r>
      <w:r w:rsidR="006D5863" w:rsidRPr="00527D35">
        <w:rPr>
          <w:noProof/>
          <w:lang w:eastAsia="pl-PL"/>
        </w:rPr>
        <w:t>–</w:t>
      </w:r>
      <w:r w:rsidRPr="00527D35">
        <w:rPr>
          <w:noProof/>
          <w:lang w:eastAsia="pl-PL"/>
        </w:rPr>
        <w:t xml:space="preserve"> 8,</w:t>
      </w:r>
      <w:r w:rsidR="00FE0B58" w:rsidRPr="00527D35">
        <w:rPr>
          <w:noProof/>
          <w:lang w:eastAsia="pl-PL"/>
        </w:rPr>
        <w:t>6</w:t>
      </w:r>
      <w:r w:rsidRPr="00527D35">
        <w:rPr>
          <w:noProof/>
          <w:lang w:eastAsia="pl-PL"/>
        </w:rPr>
        <w:t xml:space="preserve">%, Police </w:t>
      </w:r>
      <w:r w:rsidR="006D5863" w:rsidRPr="00527D35">
        <w:rPr>
          <w:noProof/>
          <w:lang w:eastAsia="pl-PL"/>
        </w:rPr>
        <w:br/>
        <w:t>–</w:t>
      </w:r>
      <w:r w:rsidRPr="00527D35">
        <w:rPr>
          <w:noProof/>
          <w:lang w:eastAsia="pl-PL"/>
        </w:rPr>
        <w:t xml:space="preserve"> 0,</w:t>
      </w:r>
      <w:r w:rsidR="001375A7" w:rsidRPr="00527D35">
        <w:rPr>
          <w:noProof/>
          <w:lang w:eastAsia="pl-PL"/>
        </w:rPr>
        <w:t>8</w:t>
      </w:r>
      <w:r w:rsidRPr="00527D35">
        <w:rPr>
          <w:noProof/>
          <w:lang w:eastAsia="pl-PL"/>
        </w:rPr>
        <w:t>% oraz pozostałe porty – 0,</w:t>
      </w:r>
      <w:r w:rsidR="0093342F" w:rsidRPr="00527D35">
        <w:rPr>
          <w:noProof/>
          <w:lang w:eastAsia="pl-PL"/>
        </w:rPr>
        <w:t>4</w:t>
      </w:r>
      <w:r w:rsidRPr="00527D35">
        <w:rPr>
          <w:noProof/>
          <w:lang w:eastAsia="pl-PL"/>
        </w:rPr>
        <w:t xml:space="preserve">%. </w:t>
      </w:r>
    </w:p>
    <w:p w14:paraId="1C6C72C8" w14:textId="3DBEE075" w:rsidR="005830FE" w:rsidRPr="00527D35" w:rsidRDefault="005830FE" w:rsidP="00A266C6">
      <w:pPr>
        <w:rPr>
          <w:noProof/>
          <w:lang w:eastAsia="pl-PL"/>
        </w:rPr>
      </w:pPr>
      <w:r w:rsidRPr="00527D35">
        <w:rPr>
          <w:noProof/>
          <w:lang w:eastAsia="pl-PL"/>
        </w:rPr>
        <w:t>W strukturze obrotów ładunkowych w 202</w:t>
      </w:r>
      <w:r w:rsidR="001375A7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 xml:space="preserve"> r. największy udział miały ładunki masowe ciekłe </w:t>
      </w:r>
      <w:r w:rsidR="00A97324" w:rsidRPr="00527D35">
        <w:rPr>
          <w:noProof/>
          <w:lang w:eastAsia="pl-PL"/>
        </w:rPr>
        <w:t>–</w:t>
      </w:r>
      <w:r w:rsidRPr="00527D35">
        <w:rPr>
          <w:noProof/>
          <w:lang w:eastAsia="pl-PL"/>
        </w:rPr>
        <w:t xml:space="preserve"> </w:t>
      </w:r>
      <w:r w:rsidR="001375A7" w:rsidRPr="00527D35">
        <w:rPr>
          <w:noProof/>
          <w:lang w:eastAsia="pl-PL"/>
        </w:rPr>
        <w:t>43,9</w:t>
      </w:r>
      <w:r w:rsidRPr="00527D35">
        <w:rPr>
          <w:noProof/>
          <w:lang w:eastAsia="pl-PL"/>
        </w:rPr>
        <w:t xml:space="preserve">% (w tym ropa naftowa i produkty z ropy naftowej – </w:t>
      </w:r>
      <w:r w:rsidR="001375A7" w:rsidRPr="00527D35">
        <w:rPr>
          <w:noProof/>
          <w:lang w:eastAsia="pl-PL"/>
        </w:rPr>
        <w:t>36,7</w:t>
      </w:r>
      <w:r w:rsidRPr="00527D35">
        <w:rPr>
          <w:noProof/>
          <w:lang w:eastAsia="pl-PL"/>
        </w:rPr>
        <w:t xml:space="preserve">%), masowe suche – </w:t>
      </w:r>
      <w:r w:rsidR="0093342F" w:rsidRPr="00527D35">
        <w:rPr>
          <w:noProof/>
          <w:lang w:eastAsia="pl-PL"/>
        </w:rPr>
        <w:t>2</w:t>
      </w:r>
      <w:r w:rsidR="001375A7" w:rsidRPr="00527D35">
        <w:rPr>
          <w:noProof/>
          <w:lang w:eastAsia="pl-PL"/>
        </w:rPr>
        <w:t>3</w:t>
      </w:r>
      <w:r w:rsidR="0093342F" w:rsidRPr="00527D35">
        <w:rPr>
          <w:noProof/>
          <w:lang w:eastAsia="pl-PL"/>
        </w:rPr>
        <w:t>,5</w:t>
      </w:r>
      <w:r w:rsidRPr="00527D35">
        <w:rPr>
          <w:noProof/>
          <w:lang w:eastAsia="pl-PL"/>
        </w:rPr>
        <w:t xml:space="preserve">% </w:t>
      </w:r>
      <w:r w:rsidR="00E21F09" w:rsidRPr="00527D35">
        <w:rPr>
          <w:noProof/>
          <w:lang w:eastAsia="pl-PL"/>
        </w:rPr>
        <w:br/>
      </w:r>
      <w:r w:rsidRPr="00527D35">
        <w:rPr>
          <w:noProof/>
          <w:lang w:eastAsia="pl-PL"/>
        </w:rPr>
        <w:t xml:space="preserve">(w tym węgiel i koks – </w:t>
      </w:r>
      <w:r w:rsidR="001375A7" w:rsidRPr="00527D35">
        <w:rPr>
          <w:noProof/>
          <w:lang w:eastAsia="pl-PL"/>
        </w:rPr>
        <w:t>7</w:t>
      </w:r>
      <w:r w:rsidR="0093342F" w:rsidRPr="00527D35">
        <w:rPr>
          <w:noProof/>
          <w:lang w:eastAsia="pl-PL"/>
        </w:rPr>
        <w:t>,0</w:t>
      </w:r>
      <w:r w:rsidRPr="00527D35">
        <w:rPr>
          <w:noProof/>
          <w:lang w:eastAsia="pl-PL"/>
        </w:rPr>
        <w:t xml:space="preserve">%) oraz ładunki w kontenerach dużych </w:t>
      </w:r>
      <w:r w:rsidR="00F15E3B">
        <w:rPr>
          <w:noProof/>
          <w:lang w:eastAsia="pl-PL"/>
        </w:rPr>
        <w:t xml:space="preserve">– </w:t>
      </w:r>
      <w:r w:rsidR="001375A7" w:rsidRPr="00527D35">
        <w:rPr>
          <w:noProof/>
          <w:lang w:eastAsia="pl-PL"/>
        </w:rPr>
        <w:t>20,7</w:t>
      </w:r>
      <w:r w:rsidRPr="00527D35">
        <w:rPr>
          <w:noProof/>
          <w:lang w:eastAsia="pl-PL"/>
        </w:rPr>
        <w:t>%.</w:t>
      </w:r>
    </w:p>
    <w:p w14:paraId="1B143763" w14:textId="3CEB0497" w:rsidR="00E7656E" w:rsidRDefault="005830FE" w:rsidP="00A266C6">
      <w:pPr>
        <w:rPr>
          <w:noProof/>
          <w:lang w:eastAsia="pl-PL"/>
        </w:rPr>
      </w:pPr>
      <w:r w:rsidRPr="00527D35">
        <w:rPr>
          <w:noProof/>
          <w:lang w:eastAsia="pl-PL"/>
        </w:rPr>
        <w:t>W 202</w:t>
      </w:r>
      <w:r w:rsidR="001375A7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 xml:space="preserve"> r. w porównaniu z poprzednim rokiem odnotowano wzrost obrotów </w:t>
      </w:r>
      <w:r w:rsidR="00B93149" w:rsidRPr="00527D35">
        <w:rPr>
          <w:noProof/>
          <w:lang w:eastAsia="pl-PL"/>
        </w:rPr>
        <w:t xml:space="preserve">pozostałych ładunków drobnicowych (o 12,0%), kontenerów dużych (o 8,6%), ładunków tocznych (o 3,3%) </w:t>
      </w:r>
      <w:r w:rsidR="00A266C6">
        <w:rPr>
          <w:noProof/>
          <w:lang w:eastAsia="pl-PL"/>
        </w:rPr>
        <w:br/>
      </w:r>
      <w:r w:rsidR="00B93149" w:rsidRPr="00527D35">
        <w:rPr>
          <w:noProof/>
          <w:lang w:eastAsia="pl-PL"/>
        </w:rPr>
        <w:t xml:space="preserve">i masowych ciekłych (o 1,9%). Spadek zaobserwowano jedynie w </w:t>
      </w:r>
      <w:r w:rsidR="00F952FC">
        <w:rPr>
          <w:noProof/>
          <w:lang w:eastAsia="pl-PL"/>
        </w:rPr>
        <w:t xml:space="preserve">kategorii ładunkowej </w:t>
      </w:r>
      <w:r w:rsidR="00B93149" w:rsidRPr="00527D35">
        <w:rPr>
          <w:noProof/>
          <w:lang w:eastAsia="pl-PL"/>
        </w:rPr>
        <w:t>masow</w:t>
      </w:r>
      <w:r w:rsidR="00F952FC">
        <w:rPr>
          <w:noProof/>
          <w:lang w:eastAsia="pl-PL"/>
        </w:rPr>
        <w:t>e</w:t>
      </w:r>
      <w:r w:rsidR="00B93149" w:rsidRPr="00527D35">
        <w:rPr>
          <w:noProof/>
          <w:lang w:eastAsia="pl-PL"/>
        </w:rPr>
        <w:t xml:space="preserve"> such</w:t>
      </w:r>
      <w:r w:rsidR="00F952FC">
        <w:rPr>
          <w:noProof/>
          <w:lang w:eastAsia="pl-PL"/>
        </w:rPr>
        <w:t>e</w:t>
      </w:r>
      <w:r w:rsidR="00B93149" w:rsidRPr="00527D35">
        <w:rPr>
          <w:noProof/>
          <w:lang w:eastAsia="pl-PL"/>
        </w:rPr>
        <w:t xml:space="preserve"> (o 0,8%).</w:t>
      </w:r>
      <w:r w:rsidR="00B93149">
        <w:rPr>
          <w:noProof/>
          <w:lang w:eastAsia="pl-PL"/>
        </w:rPr>
        <w:t xml:space="preserve"> </w:t>
      </w:r>
    </w:p>
    <w:p w14:paraId="0F69EDC6" w14:textId="77777777" w:rsidR="00952623" w:rsidRDefault="00952623" w:rsidP="000B75B6"/>
    <w:p w14:paraId="5C3C81EC" w14:textId="77777777" w:rsidR="00952623" w:rsidRDefault="00952623" w:rsidP="000B75B6"/>
    <w:p w14:paraId="2F97B003" w14:textId="77777777" w:rsidR="00952623" w:rsidRDefault="00952623" w:rsidP="003D736A"/>
    <w:p w14:paraId="35D450F9" w14:textId="77777777" w:rsidR="00952623" w:rsidRDefault="00952623" w:rsidP="000B75B6"/>
    <w:p w14:paraId="23F0F127" w14:textId="73F30E13" w:rsidR="00B35AEF" w:rsidRDefault="00B35AEF" w:rsidP="00D77058">
      <w:pPr>
        <w:pStyle w:val="tytuwykresu"/>
      </w:pPr>
      <w:r w:rsidRPr="00E21F09">
        <w:lastRenderedPageBreak/>
        <w:t xml:space="preserve">Wykres </w:t>
      </w:r>
      <w:r w:rsidR="00B63FDA" w:rsidRPr="00E21F09">
        <w:t>2</w:t>
      </w:r>
      <w:r w:rsidRPr="00E21F09">
        <w:t>.</w:t>
      </w:r>
      <w:r w:rsidRPr="00E21F09">
        <w:rPr>
          <w:shd w:val="clear" w:color="auto" w:fill="FFFFFF"/>
        </w:rPr>
        <w:t xml:space="preserve"> O</w:t>
      </w:r>
      <w:r w:rsidRPr="00E21F09">
        <w:t xml:space="preserve">broty </w:t>
      </w:r>
      <w:proofErr w:type="spellStart"/>
      <w:r w:rsidRPr="00E21F09">
        <w:t>ładunkowe</w:t>
      </w:r>
      <w:r w:rsidR="00C57C9D" w:rsidRPr="00BF5296">
        <w:rPr>
          <w:vertAlign w:val="superscript"/>
        </w:rPr>
        <w:t>a</w:t>
      </w:r>
      <w:proofErr w:type="spellEnd"/>
      <w:r w:rsidRPr="00E21F09">
        <w:t xml:space="preserve"> według portów i kategorii ładunkowych</w:t>
      </w:r>
      <w:r w:rsidR="00C57C9D">
        <w:t xml:space="preserve"> </w:t>
      </w:r>
      <w:r w:rsidRPr="00BF5296">
        <w:rPr>
          <w:vertAlign w:val="superscript"/>
        </w:rPr>
        <w:t xml:space="preserve"> </w:t>
      </w:r>
      <w:r w:rsidRPr="00E21F09">
        <w:t>w 20</w:t>
      </w:r>
      <w:r w:rsidR="000050FB" w:rsidRPr="00E21F09">
        <w:t>2</w:t>
      </w:r>
      <w:r w:rsidR="00FB6217">
        <w:t>5</w:t>
      </w:r>
      <w:r w:rsidRPr="00E21F09">
        <w:t xml:space="preserve"> r.</w:t>
      </w:r>
    </w:p>
    <w:p w14:paraId="7FF2A4D4" w14:textId="5B110E3B" w:rsidR="00952623" w:rsidRDefault="00952623" w:rsidP="000B75B6">
      <w:r>
        <w:rPr>
          <w:noProof/>
        </w:rPr>
        <w:drawing>
          <wp:inline distT="0" distB="0" distL="0" distR="0" wp14:anchorId="385BE1B9" wp14:editId="45C6B338">
            <wp:extent cx="4525621" cy="1836000"/>
            <wp:effectExtent l="0" t="0" r="8890" b="0"/>
            <wp:docPr id="19" name="Obraz 19" descr="Wykres słupkowy skumulowany&#10;&#10;W 2025 roku w porcie Gdańsk przeładowano 75,3 mln ton, w tym najwięcej ładunków masowych ciekłych – 38,6 mln ton, w porcie Gdynia – 20,5 mln ton, w tym najwięcej kontenerów dużych  – 6,9 mln ton, w porcie Świnoujście – 19,7 mln ton, w tym najwięcej ładunków masowych ciekłych – 11,2 mln ton, w porcie Szczecin – 11,0 mln ton, w tym najwięcej ładunków masowych suchych – 5,1 mln ton, w porcie Police – 1,0 mln ton, w tym najwięcej ładunków masowych suchych – 0,8 mln ton, w pozostałych portach – 0,4 mln ton, w tym najwięcej ładunków masowych suchych – 0,3 mln 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słupkowy skumulowany&#10;&#10;W 2025 roku w porcie Gdańsk przeładowano 75,3 mln ton, w tym najwięcej ładunków masowych ciekłych – 38,6 mln ton, w porcie Gdynia – 20,5 mln ton, w tym najwięcej kontenerów dużych  – 6,9 mln ton, w porcie Świnoujście – 19,7 mln ton, w tym najwięcej ładunków masowych ciekłych – 11,2 mln ton, w porcie Szczecin – 11,0 mln ton, w tym najwięcej ładunków masowych suchych – 5,1 mln ton, w porcie Police – 1,0 mln ton, w tym najwięcej ładunków masowych suchych – 0,8 mln ton, w pozostałych portach – 0,4 mln ton, w tym najwięcej ładunków masowych suchych – 0,3 mln to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5621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BF25" w14:textId="1EE2A090" w:rsidR="00DA09DC" w:rsidRPr="00BF5296" w:rsidRDefault="00284F80" w:rsidP="00952623">
      <w:pPr>
        <w:rPr>
          <w:sz w:val="16"/>
          <w:szCs w:val="16"/>
        </w:rPr>
      </w:pPr>
      <w:r w:rsidRPr="00BF5296">
        <w:rPr>
          <w:sz w:val="16"/>
          <w:szCs w:val="16"/>
        </w:rPr>
        <w:t>a Dane wstępne.</w:t>
      </w:r>
    </w:p>
    <w:p w14:paraId="5942FB04" w14:textId="6BC099D5" w:rsidR="005830FE" w:rsidRPr="00527D35" w:rsidRDefault="005830FE">
      <w:pPr>
        <w:rPr>
          <w:noProof/>
          <w:lang w:eastAsia="pl-PL"/>
        </w:rPr>
      </w:pPr>
      <w:r w:rsidRPr="00527D3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E264F92" wp14:editId="1F0A44DB">
                <wp:simplePos x="0" y="0"/>
                <wp:positionH relativeFrom="column">
                  <wp:posOffset>5202555</wp:posOffset>
                </wp:positionH>
                <wp:positionV relativeFrom="paragraph">
                  <wp:posOffset>409575</wp:posOffset>
                </wp:positionV>
                <wp:extent cx="1870075" cy="842645"/>
                <wp:effectExtent l="0" t="0" r="0" b="0"/>
                <wp:wrapTight wrapText="bothSides">
                  <wp:wrapPolygon edited="0">
                    <wp:start x="660" y="0"/>
                    <wp:lineTo x="660" y="20998"/>
                    <wp:lineTo x="20903" y="20998"/>
                    <wp:lineTo x="20903" y="0"/>
                    <wp:lineTo x="660" y="0"/>
                  </wp:wrapPolygon>
                </wp:wrapTight>
                <wp:docPr id="29" name="Pole tekstowe 29" descr="W 2025 r. większość międzynarodowych obrotów ładunkowych (65,3%) dokonano w relacji z portami europejski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6A5C9" w14:textId="04AE5157" w:rsidR="005830FE" w:rsidRPr="00D77058" w:rsidRDefault="005830FE" w:rsidP="005830FE">
                            <w:pPr>
                              <w:pStyle w:val="tekstzboku"/>
                            </w:pPr>
                            <w:r w:rsidRPr="00527D35">
                              <w:t>W 202</w:t>
                            </w:r>
                            <w:r w:rsidR="00B93149" w:rsidRPr="00527D35">
                              <w:t>5</w:t>
                            </w:r>
                            <w:r w:rsidRPr="00527D35">
                              <w:t xml:space="preserve"> r. większość </w:t>
                            </w:r>
                            <w:r w:rsidRPr="00527D35">
                              <w:rPr>
                                <w:spacing w:val="-2"/>
                              </w:rPr>
                              <w:t>międzynarodowych obrotów ładunkowych</w:t>
                            </w:r>
                            <w:r w:rsidRPr="00527D35">
                              <w:t xml:space="preserve"> (</w:t>
                            </w:r>
                            <w:r w:rsidR="0066430E" w:rsidRPr="00527D35">
                              <w:rPr>
                                <w:spacing w:val="-4"/>
                              </w:rPr>
                              <w:t>65,3</w:t>
                            </w:r>
                            <w:r w:rsidRPr="00527D35">
                              <w:rPr>
                                <w:spacing w:val="-4"/>
                              </w:rPr>
                              <w:t xml:space="preserve">%) dokonano w relacji </w:t>
                            </w:r>
                            <w:r w:rsidRPr="00527D35">
                              <w:rPr>
                                <w:spacing w:val="-4"/>
                              </w:rPr>
                              <w:br/>
                            </w:r>
                            <w:r w:rsidRPr="00527D35">
                              <w:t>z portami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4F92" id="Pole tekstowe 29" o:spid="_x0000_s1029" type="#_x0000_t202" alt="W 2025 r. większość międzynarodowych obrotów ładunkowych (65,3%) dokonano w relacji z portami europejskimi&#10;" style="position:absolute;margin-left:409.65pt;margin-top:32.25pt;width:147.25pt;height:66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" filled="f" stroked="f">
                <v:textbox>
                  <w:txbxContent>
                    <w:p w14:paraId="68F6A5C9" w14:textId="04AE5157" w:rsidR="005830FE" w:rsidRPr="00D77058" w:rsidRDefault="005830FE" w:rsidP="005830FE">
                      <w:pPr>
                        <w:pStyle w:val="tekstzboku"/>
                      </w:pPr>
                      <w:r w:rsidRPr="00527D35">
                        <w:t>W 202</w:t>
                      </w:r>
                      <w:r w:rsidR="00B93149" w:rsidRPr="00527D35">
                        <w:t>5</w:t>
                      </w:r>
                      <w:r w:rsidRPr="00527D35">
                        <w:t xml:space="preserve"> r. większość </w:t>
                      </w:r>
                      <w:r w:rsidRPr="00527D35">
                        <w:rPr>
                          <w:spacing w:val="-2"/>
                        </w:rPr>
                        <w:t>międzynarodowych obrotów ładunkowych</w:t>
                      </w:r>
                      <w:r w:rsidRPr="00527D35">
                        <w:t xml:space="preserve"> (</w:t>
                      </w:r>
                      <w:r w:rsidR="0066430E" w:rsidRPr="00527D35">
                        <w:rPr>
                          <w:spacing w:val="-4"/>
                        </w:rPr>
                        <w:t>65,3</w:t>
                      </w:r>
                      <w:r w:rsidRPr="00527D35">
                        <w:rPr>
                          <w:spacing w:val="-4"/>
                        </w:rPr>
                        <w:t xml:space="preserve">%) dokonano w relacji </w:t>
                      </w:r>
                      <w:r w:rsidRPr="00527D35">
                        <w:rPr>
                          <w:spacing w:val="-4"/>
                        </w:rPr>
                        <w:br/>
                      </w:r>
                      <w:r w:rsidRPr="00527D35">
                        <w:t>z portami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2D0E" w:rsidRPr="00527D35">
        <w:rPr>
          <w:noProof/>
          <w:lang w:eastAsia="pl-PL"/>
        </w:rPr>
        <w:t>W 202</w:t>
      </w:r>
      <w:r w:rsidR="00B93149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 xml:space="preserve"> r. krajowy obrót morski wyniósł </w:t>
      </w:r>
      <w:r w:rsidR="00B93149" w:rsidRPr="00527D35">
        <w:rPr>
          <w:noProof/>
          <w:lang w:eastAsia="pl-PL"/>
        </w:rPr>
        <w:t>8,6</w:t>
      </w:r>
      <w:r w:rsidRPr="00527D35">
        <w:rPr>
          <w:noProof/>
          <w:lang w:eastAsia="pl-PL"/>
        </w:rPr>
        <w:t xml:space="preserve"> mln ton (o </w:t>
      </w:r>
      <w:r w:rsidR="00B93149" w:rsidRPr="00527D35">
        <w:rPr>
          <w:noProof/>
          <w:lang w:eastAsia="pl-PL"/>
        </w:rPr>
        <w:t>93,8</w:t>
      </w:r>
      <w:r w:rsidRPr="00527D35">
        <w:rPr>
          <w:noProof/>
          <w:lang w:eastAsia="pl-PL"/>
        </w:rPr>
        <w:t xml:space="preserve">% </w:t>
      </w:r>
      <w:r w:rsidR="00812D0E" w:rsidRPr="00527D35">
        <w:rPr>
          <w:noProof/>
          <w:lang w:eastAsia="pl-PL"/>
        </w:rPr>
        <w:t>wi</w:t>
      </w:r>
      <w:r w:rsidR="009154BB">
        <w:rPr>
          <w:noProof/>
          <w:lang w:eastAsia="pl-PL"/>
        </w:rPr>
        <w:t>ę</w:t>
      </w:r>
      <w:r w:rsidR="00812D0E" w:rsidRPr="00527D35">
        <w:rPr>
          <w:noProof/>
          <w:lang w:eastAsia="pl-PL"/>
        </w:rPr>
        <w:t>cej</w:t>
      </w:r>
      <w:r w:rsidRPr="00527D35">
        <w:rPr>
          <w:noProof/>
          <w:lang w:eastAsia="pl-PL"/>
        </w:rPr>
        <w:t xml:space="preserve"> niż w roku poprzednim) </w:t>
      </w:r>
      <w:r w:rsidR="00984382" w:rsidRPr="00527D35">
        <w:rPr>
          <w:noProof/>
          <w:lang w:eastAsia="pl-PL"/>
        </w:rPr>
        <w:br/>
      </w:r>
      <w:r w:rsidRPr="00527D35">
        <w:rPr>
          <w:noProof/>
          <w:lang w:eastAsia="pl-PL"/>
        </w:rPr>
        <w:t xml:space="preserve">i stanowił </w:t>
      </w:r>
      <w:r w:rsidR="00B93149" w:rsidRPr="00527D35">
        <w:rPr>
          <w:noProof/>
          <w:lang w:eastAsia="pl-PL"/>
        </w:rPr>
        <w:t>6,7</w:t>
      </w:r>
      <w:r w:rsidRPr="00527D35">
        <w:rPr>
          <w:noProof/>
          <w:lang w:eastAsia="pl-PL"/>
        </w:rPr>
        <w:t xml:space="preserve">% obrotów ogółem. W międzynarodowym obrocie morskim przeładowano łącznie </w:t>
      </w:r>
      <w:r w:rsidR="00812D0E" w:rsidRPr="00527D35">
        <w:rPr>
          <w:noProof/>
          <w:lang w:eastAsia="pl-PL"/>
        </w:rPr>
        <w:t>119,</w:t>
      </w:r>
      <w:r w:rsidR="00B93149" w:rsidRPr="00527D35">
        <w:rPr>
          <w:noProof/>
          <w:lang w:eastAsia="pl-PL"/>
        </w:rPr>
        <w:t>4</w:t>
      </w:r>
      <w:r w:rsidRPr="00527D35">
        <w:rPr>
          <w:noProof/>
          <w:lang w:eastAsia="pl-PL"/>
        </w:rPr>
        <w:t xml:space="preserve"> mln ton ładunków, tj. o </w:t>
      </w:r>
      <w:r w:rsidR="00B93149" w:rsidRPr="00527D35">
        <w:rPr>
          <w:noProof/>
          <w:lang w:eastAsia="pl-PL"/>
        </w:rPr>
        <w:t>0,3</w:t>
      </w:r>
      <w:r w:rsidRPr="00527D35">
        <w:rPr>
          <w:noProof/>
          <w:lang w:eastAsia="pl-PL"/>
        </w:rPr>
        <w:t xml:space="preserve">% </w:t>
      </w:r>
      <w:r w:rsidR="00812D0E" w:rsidRPr="00527D35">
        <w:rPr>
          <w:noProof/>
          <w:lang w:eastAsia="pl-PL"/>
        </w:rPr>
        <w:t>mniej</w:t>
      </w:r>
      <w:r w:rsidRPr="00527D35">
        <w:rPr>
          <w:noProof/>
          <w:lang w:eastAsia="pl-PL"/>
        </w:rPr>
        <w:t xml:space="preserve"> niż w 202</w:t>
      </w:r>
      <w:r w:rsidR="00B93149" w:rsidRPr="00527D35">
        <w:rPr>
          <w:noProof/>
          <w:lang w:eastAsia="pl-PL"/>
        </w:rPr>
        <w:t>4</w:t>
      </w:r>
      <w:r w:rsidRPr="00527D35">
        <w:rPr>
          <w:noProof/>
          <w:lang w:eastAsia="pl-PL"/>
        </w:rPr>
        <w:t xml:space="preserve"> r. </w:t>
      </w:r>
    </w:p>
    <w:p w14:paraId="4445C87B" w14:textId="56109AC7" w:rsidR="00E07ABD" w:rsidRDefault="005830FE">
      <w:r w:rsidRPr="00527D35">
        <w:rPr>
          <w:noProof/>
          <w:lang w:eastAsia="pl-PL"/>
        </w:rPr>
        <w:t>W 202</w:t>
      </w:r>
      <w:r w:rsidR="0066430E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 xml:space="preserve"> r. ładunki przewożone statkami w relacji z portami Europy stanowiły </w:t>
      </w:r>
      <w:r w:rsidR="0066430E" w:rsidRPr="00527D35">
        <w:rPr>
          <w:noProof/>
          <w:lang w:eastAsia="pl-PL"/>
        </w:rPr>
        <w:t>65,3</w:t>
      </w:r>
      <w:r w:rsidRPr="00527D35">
        <w:rPr>
          <w:noProof/>
          <w:lang w:eastAsia="pl-PL"/>
        </w:rPr>
        <w:t>%</w:t>
      </w:r>
      <w:r w:rsidR="0066430E" w:rsidRPr="00527D35">
        <w:rPr>
          <w:noProof/>
          <w:lang w:eastAsia="pl-PL"/>
        </w:rPr>
        <w:t xml:space="preserve"> </w:t>
      </w:r>
      <w:r w:rsidRPr="00527D35">
        <w:rPr>
          <w:noProof/>
          <w:lang w:eastAsia="pl-PL"/>
        </w:rPr>
        <w:t xml:space="preserve">międzynarodowych obrotów ładunkowych polskich portów, </w:t>
      </w:r>
      <w:r w:rsidR="005C77B7" w:rsidRPr="00527D35">
        <w:rPr>
          <w:noProof/>
          <w:lang w:eastAsia="pl-PL"/>
        </w:rPr>
        <w:t xml:space="preserve">z portami </w:t>
      </w:r>
      <w:r w:rsidRPr="00527D35">
        <w:rPr>
          <w:noProof/>
          <w:lang w:eastAsia="pl-PL"/>
        </w:rPr>
        <w:t xml:space="preserve">Afryki – </w:t>
      </w:r>
      <w:r w:rsidR="0066430E" w:rsidRPr="00527D35">
        <w:rPr>
          <w:noProof/>
          <w:lang w:eastAsia="pl-PL"/>
        </w:rPr>
        <w:t>15,6</w:t>
      </w:r>
      <w:r w:rsidRPr="00527D35">
        <w:rPr>
          <w:noProof/>
          <w:lang w:eastAsia="pl-PL"/>
        </w:rPr>
        <w:t xml:space="preserve">%, </w:t>
      </w:r>
      <w:r w:rsidR="003814A6" w:rsidRPr="00527D35">
        <w:rPr>
          <w:noProof/>
          <w:lang w:eastAsia="pl-PL"/>
        </w:rPr>
        <w:t>Ameryk</w:t>
      </w:r>
      <w:r w:rsidR="0066430E" w:rsidRPr="00527D35">
        <w:rPr>
          <w:noProof/>
          <w:lang w:eastAsia="pl-PL"/>
        </w:rPr>
        <w:t>i Północnej i Południowej</w:t>
      </w:r>
      <w:r w:rsidR="003814A6" w:rsidRPr="00527D35">
        <w:rPr>
          <w:noProof/>
          <w:lang w:eastAsia="pl-PL"/>
        </w:rPr>
        <w:t xml:space="preserve"> – </w:t>
      </w:r>
      <w:r w:rsidR="0066430E" w:rsidRPr="00527D35">
        <w:rPr>
          <w:noProof/>
          <w:lang w:eastAsia="pl-PL"/>
        </w:rPr>
        <w:t>13,3</w:t>
      </w:r>
      <w:r w:rsidR="003814A6" w:rsidRPr="00527D35">
        <w:rPr>
          <w:noProof/>
          <w:lang w:eastAsia="pl-PL"/>
        </w:rPr>
        <w:t xml:space="preserve">%, </w:t>
      </w:r>
      <w:r w:rsidRPr="00527D35">
        <w:rPr>
          <w:noProof/>
          <w:lang w:eastAsia="pl-PL"/>
        </w:rPr>
        <w:t xml:space="preserve">Azji – </w:t>
      </w:r>
      <w:r w:rsidR="00812D0E" w:rsidRPr="00527D35">
        <w:rPr>
          <w:noProof/>
          <w:lang w:eastAsia="pl-PL"/>
        </w:rPr>
        <w:t>5,</w:t>
      </w:r>
      <w:r w:rsidR="0066430E" w:rsidRPr="00527D35">
        <w:rPr>
          <w:noProof/>
          <w:lang w:eastAsia="pl-PL"/>
        </w:rPr>
        <w:t>4</w:t>
      </w:r>
      <w:r w:rsidRPr="00527D35">
        <w:rPr>
          <w:noProof/>
          <w:lang w:eastAsia="pl-PL"/>
        </w:rPr>
        <w:t>%</w:t>
      </w:r>
      <w:r w:rsidR="0066430E" w:rsidRPr="00527D35">
        <w:rPr>
          <w:noProof/>
          <w:lang w:eastAsia="pl-PL"/>
        </w:rPr>
        <w:t xml:space="preserve"> </w:t>
      </w:r>
      <w:r w:rsidRPr="00527D35">
        <w:rPr>
          <w:noProof/>
          <w:lang w:eastAsia="pl-PL"/>
        </w:rPr>
        <w:t>oraz Australii i Oceanii – 0,</w:t>
      </w:r>
      <w:r w:rsidR="0066430E" w:rsidRPr="00527D35">
        <w:rPr>
          <w:noProof/>
          <w:lang w:eastAsia="pl-PL"/>
        </w:rPr>
        <w:t>5</w:t>
      </w:r>
      <w:r w:rsidRPr="00527D35">
        <w:rPr>
          <w:noProof/>
          <w:lang w:eastAsia="pl-PL"/>
        </w:rPr>
        <w:t>%.</w:t>
      </w:r>
    </w:p>
    <w:p w14:paraId="4428FE76" w14:textId="4CDE1DA6" w:rsidR="00B35AEF" w:rsidRDefault="00B35AEF" w:rsidP="009E7813">
      <w:pPr>
        <w:pStyle w:val="tytuwykresu"/>
        <w:ind w:left="851" w:hanging="851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</w:t>
      </w:r>
      <w:proofErr w:type="spellStart"/>
      <w:r w:rsidRPr="005A1D8D">
        <w:t>morskich</w:t>
      </w:r>
      <w:r w:rsidR="00C57C9D" w:rsidRPr="00BF5296">
        <w:rPr>
          <w:vertAlign w:val="superscript"/>
        </w:rPr>
        <w:t>a</w:t>
      </w:r>
      <w:proofErr w:type="spellEnd"/>
      <w:r w:rsidRPr="005A1D8D">
        <w:t xml:space="preserve"> według krajów </w:t>
      </w:r>
      <w:r w:rsidR="00726924">
        <w:br/>
      </w:r>
      <w:r w:rsidR="007D42C8" w:rsidRPr="003F253F">
        <w:t>wyładunku (</w:t>
      </w:r>
      <w:r w:rsidR="00321AD8">
        <w:t>przywóz</w:t>
      </w:r>
      <w:r w:rsidR="007D42C8" w:rsidRPr="003F253F">
        <w:t xml:space="preserve">) i </w:t>
      </w:r>
      <w:r w:rsidRPr="003F253F">
        <w:t>załadunku (</w:t>
      </w:r>
      <w:r w:rsidR="00321AD8">
        <w:t>wywóz</w:t>
      </w:r>
      <w:r w:rsidRPr="003F253F">
        <w:t>)</w:t>
      </w:r>
      <w:r w:rsidR="00C57C9D">
        <w:t xml:space="preserve"> </w:t>
      </w:r>
      <w:r w:rsidRPr="003F253F">
        <w:t>w 20</w:t>
      </w:r>
      <w:r w:rsidR="00D80E80" w:rsidRPr="003F253F">
        <w:t>2</w:t>
      </w:r>
      <w:r w:rsidR="00FB6217">
        <w:t>5</w:t>
      </w:r>
      <w:r w:rsidRPr="003F253F">
        <w:t xml:space="preserve"> r.</w:t>
      </w:r>
    </w:p>
    <w:p w14:paraId="0DF0090B" w14:textId="618A28A9" w:rsidR="00952623" w:rsidRDefault="00952623" w:rsidP="000B75B6">
      <w:r>
        <w:rPr>
          <w:noProof/>
        </w:rPr>
        <w:drawing>
          <wp:inline distT="0" distB="0" distL="0" distR="0" wp14:anchorId="0C46D741" wp14:editId="1406DC6F">
            <wp:extent cx="4479221" cy="1332000"/>
            <wp:effectExtent l="0" t="0" r="0" b="1905"/>
            <wp:docPr id="20" name="Obraz 20" descr="Wykres słupkowy skumulowany&#10;&#10;W 2025 roku najwięcej ładunków w obrocie międzynarodowym wywieziono do Szwecji – 5,7 mln ton, Niemiec – 5,2 mln ton, Belgii – 2,6 mln ton i Holandii – 1,9 mln ton, natomiast przywieziono z Belgii – 6,9 mln ton, Szwecji – 6,4 mln ton, Niemiec – 4,2 mln ton i Holandii – 3,4 mln 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słupkowy skumulowany&#10;&#10;W 2025 roku najwięcej ładunków w obrocie międzynarodowym wywieziono do Szwecji – 5,7 mln ton, Niemiec – 5,2 mln ton, Belgii – 2,6 mln ton i Holandii – 1,9 mln ton, natomiast przywieziono z Belgii – 6,9 mln ton, Szwecji – 6,4 mln ton, Niemiec – 4,2 mln ton i Holandii – 3,4 mln to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9221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6171" w14:textId="4E1EB679" w:rsidR="00DA09DC" w:rsidRDefault="00A266C6" w:rsidP="00CD1999">
      <w:r w:rsidRPr="00BF5296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2360E418" wp14:editId="4368EFEF">
                <wp:simplePos x="0" y="0"/>
                <wp:positionH relativeFrom="column">
                  <wp:posOffset>5187950</wp:posOffset>
                </wp:positionH>
                <wp:positionV relativeFrom="paragraph">
                  <wp:posOffset>123190</wp:posOffset>
                </wp:positionV>
                <wp:extent cx="1831975" cy="1041400"/>
                <wp:effectExtent l="0" t="0" r="0" b="6350"/>
                <wp:wrapTight wrapText="bothSides">
                  <wp:wrapPolygon edited="0">
                    <wp:start x="674" y="0"/>
                    <wp:lineTo x="674" y="21337"/>
                    <wp:lineTo x="20889" y="21337"/>
                    <wp:lineTo x="20889" y="0"/>
                    <wp:lineTo x="674" y="0"/>
                  </wp:wrapPolygon>
                </wp:wrapTight>
                <wp:docPr id="32" name="Pole tekstowe 32" descr="W 2025 r. głównymi krajami &#10;w tranzycie morsko-lądowym &#10;i lądowo-morskim przez polskie porty były: Niemcy (59,5%), Czechy (5,0%) i Słowacja (3,2%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04C8" w14:textId="20335A10" w:rsidR="00D04587" w:rsidRPr="00726924" w:rsidRDefault="00047DD1" w:rsidP="00726924">
                            <w:pPr>
                              <w:pStyle w:val="tekstzboku"/>
                            </w:pPr>
                            <w:r w:rsidRPr="00726924">
                              <w:t xml:space="preserve">W </w:t>
                            </w:r>
                            <w:r w:rsidR="00037B0A" w:rsidRPr="00726924">
                              <w:t>202</w:t>
                            </w:r>
                            <w:r w:rsidR="00554618">
                              <w:t>5</w:t>
                            </w:r>
                            <w:r w:rsidR="00037B0A" w:rsidRPr="00726924">
                              <w:t xml:space="preserve"> r. głównymi krajami </w:t>
                            </w:r>
                            <w:r w:rsidR="00726924">
                              <w:br/>
                            </w:r>
                            <w:r w:rsidR="00037B0A" w:rsidRPr="00726924">
                              <w:t>w tranzycie morsko-lądowym</w:t>
                            </w:r>
                            <w:r w:rsidR="00726924">
                              <w:t xml:space="preserve"> </w:t>
                            </w:r>
                            <w:r w:rsidR="00726924">
                              <w:br/>
                            </w:r>
                            <w:r w:rsidR="00037B0A" w:rsidRPr="00726924">
                              <w:t>i l</w:t>
                            </w:r>
                            <w:r w:rsidR="00037B0A" w:rsidRPr="00B058F8">
                              <w:rPr>
                                <w:spacing w:val="-2"/>
                              </w:rPr>
                              <w:t xml:space="preserve">ądowo-morskim </w:t>
                            </w:r>
                            <w:r w:rsidR="00A51A38" w:rsidRPr="00B058F8">
                              <w:rPr>
                                <w:spacing w:val="-2"/>
                              </w:rPr>
                              <w:t>przez</w:t>
                            </w:r>
                            <w:r w:rsidR="00037B0A" w:rsidRPr="00B058F8">
                              <w:rPr>
                                <w:spacing w:val="-2"/>
                              </w:rPr>
                              <w:t xml:space="preserve"> polski</w:t>
                            </w:r>
                            <w:r w:rsidR="00A51A38" w:rsidRPr="00B058F8">
                              <w:rPr>
                                <w:spacing w:val="-2"/>
                              </w:rPr>
                              <w:t>e</w:t>
                            </w:r>
                            <w:r w:rsidR="00A51A38" w:rsidRPr="00726924">
                              <w:t xml:space="preserve"> porty</w:t>
                            </w:r>
                            <w:r w:rsidR="00037B0A" w:rsidRPr="00726924">
                              <w:t xml:space="preserve"> były</w:t>
                            </w:r>
                            <w:r w:rsidR="00A97324" w:rsidRPr="00726924">
                              <w:t>:</w:t>
                            </w:r>
                            <w:r w:rsidR="00DB60EB">
                              <w:t xml:space="preserve"> Niemcy (</w:t>
                            </w:r>
                            <w:r w:rsidR="00554618">
                              <w:t>59,5</w:t>
                            </w:r>
                            <w:r w:rsidR="00037B0A" w:rsidRPr="00726924">
                              <w:t xml:space="preserve">%), </w:t>
                            </w:r>
                            <w:r w:rsidR="00DB60EB">
                              <w:t>Czechy (</w:t>
                            </w:r>
                            <w:r w:rsidR="00554618">
                              <w:t>5,0</w:t>
                            </w:r>
                            <w:r w:rsidR="00DB60EB" w:rsidRPr="00726924">
                              <w:t>%)</w:t>
                            </w:r>
                            <w:r w:rsidR="00554618">
                              <w:t xml:space="preserve"> </w:t>
                            </w:r>
                            <w:r w:rsidR="00DB60EB">
                              <w:t>i S</w:t>
                            </w:r>
                            <w:r w:rsidR="00037B0A" w:rsidRPr="00726924">
                              <w:t xml:space="preserve">łowacja </w:t>
                            </w:r>
                            <w:r w:rsidR="00DB60EB">
                              <w:t>(</w:t>
                            </w:r>
                            <w:r w:rsidR="00554618">
                              <w:t>3,2</w:t>
                            </w:r>
                            <w:r w:rsidR="00037B0A" w:rsidRPr="00726924">
                              <w:t>%)</w:t>
                            </w:r>
                            <w:r w:rsidR="005B7E2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E418" id="Pole tekstowe 32" o:spid="_x0000_s1030" type="#_x0000_t202" alt="W 2025 r. głównymi krajami &#10;w tranzycie morsko-lądowym &#10;i lądowo-morskim przez polskie porty były: Niemcy (59,5%), Czechy (5,0%) i Słowacja (3,2%) &#10;" style="position:absolute;margin-left:408.5pt;margin-top:9.7pt;width:144.25pt;height:82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" filled="f" stroked="f">
                <v:textbox>
                  <w:txbxContent>
                    <w:p w14:paraId="074604C8" w14:textId="20335A10" w:rsidR="00D04587" w:rsidRPr="00726924" w:rsidRDefault="00047DD1" w:rsidP="00726924">
                      <w:pPr>
                        <w:pStyle w:val="tekstzboku"/>
                      </w:pPr>
                      <w:r w:rsidRPr="00726924">
                        <w:t xml:space="preserve">W </w:t>
                      </w:r>
                      <w:r w:rsidR="00037B0A" w:rsidRPr="00726924">
                        <w:t>202</w:t>
                      </w:r>
                      <w:r w:rsidR="00554618">
                        <w:t>5</w:t>
                      </w:r>
                      <w:r w:rsidR="00037B0A" w:rsidRPr="00726924">
                        <w:t xml:space="preserve"> r. głównymi krajami </w:t>
                      </w:r>
                      <w:r w:rsidR="00726924">
                        <w:br/>
                      </w:r>
                      <w:r w:rsidR="00037B0A" w:rsidRPr="00726924">
                        <w:t>w tranzycie morsko-lądowym</w:t>
                      </w:r>
                      <w:r w:rsidR="00726924">
                        <w:t xml:space="preserve"> </w:t>
                      </w:r>
                      <w:r w:rsidR="00726924">
                        <w:br/>
                      </w:r>
                      <w:r w:rsidR="00037B0A" w:rsidRPr="00726924">
                        <w:t>i l</w:t>
                      </w:r>
                      <w:r w:rsidR="00037B0A" w:rsidRPr="00B058F8">
                        <w:rPr>
                          <w:spacing w:val="-2"/>
                        </w:rPr>
                        <w:t xml:space="preserve">ądowo-morskim </w:t>
                      </w:r>
                      <w:r w:rsidR="00A51A38" w:rsidRPr="00B058F8">
                        <w:rPr>
                          <w:spacing w:val="-2"/>
                        </w:rPr>
                        <w:t>przez</w:t>
                      </w:r>
                      <w:r w:rsidR="00037B0A" w:rsidRPr="00B058F8">
                        <w:rPr>
                          <w:spacing w:val="-2"/>
                        </w:rPr>
                        <w:t xml:space="preserve"> polski</w:t>
                      </w:r>
                      <w:r w:rsidR="00A51A38" w:rsidRPr="00B058F8">
                        <w:rPr>
                          <w:spacing w:val="-2"/>
                        </w:rPr>
                        <w:t>e</w:t>
                      </w:r>
                      <w:r w:rsidR="00A51A38" w:rsidRPr="00726924">
                        <w:t xml:space="preserve"> porty</w:t>
                      </w:r>
                      <w:r w:rsidR="00037B0A" w:rsidRPr="00726924">
                        <w:t xml:space="preserve"> były</w:t>
                      </w:r>
                      <w:r w:rsidR="00A97324" w:rsidRPr="00726924">
                        <w:t>:</w:t>
                      </w:r>
                      <w:r w:rsidR="00DB60EB">
                        <w:t xml:space="preserve"> Niemcy (</w:t>
                      </w:r>
                      <w:r w:rsidR="00554618">
                        <w:t>59,5</w:t>
                      </w:r>
                      <w:r w:rsidR="00037B0A" w:rsidRPr="00726924">
                        <w:t xml:space="preserve">%), </w:t>
                      </w:r>
                      <w:r w:rsidR="00DB60EB">
                        <w:t>Czechy (</w:t>
                      </w:r>
                      <w:r w:rsidR="00554618">
                        <w:t>5,0</w:t>
                      </w:r>
                      <w:r w:rsidR="00DB60EB" w:rsidRPr="00726924">
                        <w:t>%)</w:t>
                      </w:r>
                      <w:r w:rsidR="00554618">
                        <w:t xml:space="preserve"> </w:t>
                      </w:r>
                      <w:r w:rsidR="00DB60EB">
                        <w:t>i S</w:t>
                      </w:r>
                      <w:r w:rsidR="00037B0A" w:rsidRPr="00726924">
                        <w:t xml:space="preserve">łowacja </w:t>
                      </w:r>
                      <w:r w:rsidR="00DB60EB">
                        <w:t>(</w:t>
                      </w:r>
                      <w:r w:rsidR="00554618">
                        <w:t>3,2</w:t>
                      </w:r>
                      <w:r w:rsidR="00037B0A" w:rsidRPr="00726924">
                        <w:t>%)</w:t>
                      </w:r>
                      <w:r w:rsidR="005B7E2D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4F80" w:rsidRPr="00BF5296">
        <w:rPr>
          <w:sz w:val="16"/>
          <w:szCs w:val="16"/>
        </w:rPr>
        <w:t>a Dane wstępne</w:t>
      </w:r>
      <w:r w:rsidR="00284F80">
        <w:t>.</w:t>
      </w:r>
    </w:p>
    <w:p w14:paraId="12C6E403" w14:textId="7C5EB15D" w:rsidR="00B35AEF" w:rsidRPr="00102812" w:rsidRDefault="00037B0A" w:rsidP="00E7656E">
      <w:r w:rsidRPr="00484564">
        <w:t>Obrót ładunkami tranzytowymi w 202</w:t>
      </w:r>
      <w:r w:rsidR="000F5F48">
        <w:t>5</w:t>
      </w:r>
      <w:r w:rsidR="00DB60EB" w:rsidRPr="00484564">
        <w:t xml:space="preserve"> r. wyniósł 2</w:t>
      </w:r>
      <w:r w:rsidR="007E3958">
        <w:t>4,7</w:t>
      </w:r>
      <w:r w:rsidR="00DB60EB" w:rsidRPr="00484564">
        <w:t xml:space="preserve"> mln ton i z</w:t>
      </w:r>
      <w:r w:rsidR="009E7A28">
        <w:t>więk</w:t>
      </w:r>
      <w:r w:rsidR="00DB60EB" w:rsidRPr="00484564">
        <w:t>szył</w:t>
      </w:r>
      <w:r w:rsidRPr="00484564">
        <w:t xml:space="preserve"> się w porównaniu </w:t>
      </w:r>
      <w:r w:rsidR="00726924" w:rsidRPr="00484564">
        <w:br/>
      </w:r>
      <w:r w:rsidR="00DB60EB" w:rsidRPr="00484564">
        <w:t xml:space="preserve">z rokiem poprzednim o </w:t>
      </w:r>
      <w:r w:rsidR="009E7A28">
        <w:t>1</w:t>
      </w:r>
      <w:r w:rsidR="00426E6E">
        <w:t>4,0</w:t>
      </w:r>
      <w:r w:rsidRPr="00484564">
        <w:t>%. Najwięcej ładunków tranzytowych pr</w:t>
      </w:r>
      <w:r w:rsidR="00DB60EB" w:rsidRPr="00484564">
        <w:t>zeładowano w porcie Gdańsk (6</w:t>
      </w:r>
      <w:r w:rsidR="00426E6E">
        <w:t>5,7</w:t>
      </w:r>
      <w:r w:rsidRPr="00484564">
        <w:t>%), następni</w:t>
      </w:r>
      <w:r w:rsidR="00DB60EB" w:rsidRPr="00484564">
        <w:t>e w portach: Świnoujście (</w:t>
      </w:r>
      <w:r w:rsidR="00426E6E">
        <w:t>25,9</w:t>
      </w:r>
      <w:r w:rsidR="00DF7B2A" w:rsidRPr="00484564">
        <w:t>%</w:t>
      </w:r>
      <w:r w:rsidR="00DB60EB" w:rsidRPr="00484564">
        <w:t>), Szczecin (</w:t>
      </w:r>
      <w:r w:rsidR="00426E6E">
        <w:t>5,9</w:t>
      </w:r>
      <w:r w:rsidRPr="00484564">
        <w:t>%), Gdyni</w:t>
      </w:r>
      <w:r w:rsidR="00726924" w:rsidRPr="00484564">
        <w:t>a</w:t>
      </w:r>
      <w:r w:rsidR="00DB60EB" w:rsidRPr="00484564">
        <w:t xml:space="preserve"> (2</w:t>
      </w:r>
      <w:r w:rsidR="00A51A38" w:rsidRPr="00484564">
        <w:t>,</w:t>
      </w:r>
      <w:r w:rsidR="00426E6E">
        <w:t>5</w:t>
      </w:r>
      <w:r w:rsidR="001F3597" w:rsidRPr="00484564">
        <w:t>%</w:t>
      </w:r>
      <w:r w:rsidRPr="00484564">
        <w:t xml:space="preserve">). </w:t>
      </w:r>
      <w:r w:rsidR="004330F2" w:rsidRPr="00484564">
        <w:br/>
      </w:r>
      <w:r w:rsidRPr="00484564">
        <w:t xml:space="preserve">W ujęciu rocznym wzrost masy obsłużonych ładunków tranzytowych wystąpił </w:t>
      </w:r>
      <w:r w:rsidR="00DB60EB" w:rsidRPr="00484564">
        <w:t xml:space="preserve">w porcie </w:t>
      </w:r>
      <w:r w:rsidR="002D072A">
        <w:br/>
      </w:r>
      <w:r w:rsidR="00C2648B" w:rsidRPr="00484564">
        <w:t>Świnoujści</w:t>
      </w:r>
      <w:r w:rsidR="00C2648B">
        <w:t>e</w:t>
      </w:r>
      <w:r w:rsidR="00C2648B" w:rsidRPr="00484564">
        <w:t xml:space="preserve"> </w:t>
      </w:r>
      <w:r w:rsidRPr="00484564">
        <w:t>(</w:t>
      </w:r>
      <w:r w:rsidR="00FE1CE7">
        <w:t xml:space="preserve">o </w:t>
      </w:r>
      <w:r w:rsidR="009E7A28">
        <w:t>19,6</w:t>
      </w:r>
      <w:r w:rsidR="00DB60EB" w:rsidRPr="00484564">
        <w:t>%</w:t>
      </w:r>
      <w:r w:rsidRPr="00484564">
        <w:t xml:space="preserve">), </w:t>
      </w:r>
      <w:r w:rsidR="009E7A28">
        <w:t>Gdańsk (</w:t>
      </w:r>
      <w:r w:rsidR="00FE1CE7">
        <w:t xml:space="preserve">o </w:t>
      </w:r>
      <w:r w:rsidR="009E7A28">
        <w:t>1</w:t>
      </w:r>
      <w:r w:rsidR="00426E6E">
        <w:t>5,2</w:t>
      </w:r>
      <w:r w:rsidR="009E7A28">
        <w:t>%)</w:t>
      </w:r>
      <w:r w:rsidR="004D54EE">
        <w:t xml:space="preserve"> i</w:t>
      </w:r>
      <w:r w:rsidR="00FE1CE7">
        <w:t xml:space="preserve"> </w:t>
      </w:r>
      <w:r w:rsidR="009E7A28">
        <w:t>Gdyni</w:t>
      </w:r>
      <w:r w:rsidR="004D54EE">
        <w:t>a</w:t>
      </w:r>
      <w:r w:rsidR="009E7A28">
        <w:t xml:space="preserve"> (</w:t>
      </w:r>
      <w:r w:rsidR="00FE1CE7">
        <w:t xml:space="preserve">o </w:t>
      </w:r>
      <w:r w:rsidR="00426E6E">
        <w:t>2,8</w:t>
      </w:r>
      <w:r w:rsidR="009E7A28">
        <w:t>%),</w:t>
      </w:r>
      <w:r w:rsidR="00426E6E">
        <w:t xml:space="preserve"> </w:t>
      </w:r>
      <w:r w:rsidR="00DB60EB" w:rsidRPr="00484564">
        <w:t xml:space="preserve">natomiast spadek odnotowano </w:t>
      </w:r>
      <w:r w:rsidR="00CD1999">
        <w:br/>
      </w:r>
      <w:r w:rsidR="00DB60EB" w:rsidRPr="00484564">
        <w:t xml:space="preserve">w </w:t>
      </w:r>
      <w:r w:rsidRPr="00484564">
        <w:t>Szczecinie</w:t>
      </w:r>
      <w:r w:rsidR="00DB60EB" w:rsidRPr="00484564">
        <w:t xml:space="preserve"> (o </w:t>
      </w:r>
      <w:r w:rsidR="00426E6E">
        <w:t>11,3</w:t>
      </w:r>
      <w:r w:rsidR="00DB60EB" w:rsidRPr="00484564">
        <w:t>%)</w:t>
      </w:r>
      <w:r w:rsidR="009E7A28">
        <w:t xml:space="preserve">. </w:t>
      </w:r>
      <w:r w:rsidRPr="002D072A">
        <w:rPr>
          <w:spacing w:val="-2"/>
        </w:rPr>
        <w:t>W porównaniu z rokiem poprzednim obroty ładunkami tranzytowymi</w:t>
      </w:r>
      <w:r w:rsidRPr="00484564">
        <w:t xml:space="preserve"> z</w:t>
      </w:r>
      <w:r w:rsidR="00426E6E">
        <w:t>więk</w:t>
      </w:r>
      <w:r w:rsidR="00DB60EB" w:rsidRPr="00484564">
        <w:t>szył</w:t>
      </w:r>
      <w:r w:rsidR="00B5006E" w:rsidRPr="00484564">
        <w:t>y</w:t>
      </w:r>
      <w:r w:rsidRPr="00484564">
        <w:t xml:space="preserve"> się </w:t>
      </w:r>
      <w:r w:rsidR="00DB60EB" w:rsidRPr="00484564">
        <w:t xml:space="preserve">zarówno </w:t>
      </w:r>
      <w:r w:rsidRPr="00484564">
        <w:t xml:space="preserve">w przywozie (o </w:t>
      </w:r>
      <w:r w:rsidR="00426E6E">
        <w:t>15,7</w:t>
      </w:r>
      <w:r w:rsidR="00DB60EB" w:rsidRPr="00484564">
        <w:t>%)</w:t>
      </w:r>
      <w:r w:rsidR="00B5006E" w:rsidRPr="00484564">
        <w:t>,</w:t>
      </w:r>
      <w:r w:rsidR="00DB60EB" w:rsidRPr="00484564">
        <w:t xml:space="preserve"> jak i </w:t>
      </w:r>
      <w:r w:rsidRPr="00484564">
        <w:t>w wy</w:t>
      </w:r>
      <w:r w:rsidR="00A51A38" w:rsidRPr="00484564">
        <w:t xml:space="preserve">wozie </w:t>
      </w:r>
      <w:r w:rsidR="00A97324" w:rsidRPr="00484564">
        <w:t>(</w:t>
      </w:r>
      <w:r w:rsidR="00DB60EB" w:rsidRPr="00484564">
        <w:t>o 2</w:t>
      </w:r>
      <w:r w:rsidR="00426E6E">
        <w:t>,3</w:t>
      </w:r>
      <w:r w:rsidR="00A51A38" w:rsidRPr="00484564">
        <w:t>%</w:t>
      </w:r>
      <w:r w:rsidR="00361394" w:rsidRPr="00484564">
        <w:t>).</w:t>
      </w:r>
    </w:p>
    <w:p w14:paraId="7325F099" w14:textId="13412C2D" w:rsidR="00B35AEF" w:rsidRPr="000B75B6" w:rsidRDefault="00B35AEF" w:rsidP="00E7656E">
      <w:pPr>
        <w:pStyle w:val="tytuwykresu"/>
      </w:pPr>
      <w:r w:rsidRPr="00E7656E">
        <w:t xml:space="preserve">Wykres </w:t>
      </w:r>
      <w:r w:rsidR="00B63FDA" w:rsidRPr="00E7656E">
        <w:t>4</w:t>
      </w:r>
      <w:r w:rsidR="00037B0A" w:rsidRPr="00E7656E">
        <w:t>. Struktura obrotów ładunkami tranzytowymi</w:t>
      </w:r>
      <w:r w:rsidRPr="00E7656E">
        <w:t xml:space="preserve"> w portach morskich w </w:t>
      </w:r>
      <w:r w:rsidRPr="000B75B6">
        <w:t>20</w:t>
      </w:r>
      <w:r w:rsidR="00490951" w:rsidRPr="000B75B6">
        <w:t>2</w:t>
      </w:r>
      <w:r w:rsidR="00702B00" w:rsidRPr="000B75B6">
        <w:t>5</w:t>
      </w:r>
      <w:r w:rsidR="00BE352F" w:rsidRPr="000B75B6">
        <w:t xml:space="preserve"> </w:t>
      </w:r>
      <w:r w:rsidRPr="000B75B6">
        <w:t>r.</w:t>
      </w:r>
    </w:p>
    <w:p w14:paraId="67E27028" w14:textId="23EA802D" w:rsidR="00952623" w:rsidRDefault="00952623" w:rsidP="000B75B6">
      <w:pPr>
        <w:pStyle w:val="Brakstyluakapitowego"/>
      </w:pPr>
      <w:r>
        <w:rPr>
          <w:noProof/>
        </w:rPr>
        <w:drawing>
          <wp:inline distT="0" distB="0" distL="0" distR="0" wp14:anchorId="76440AB2" wp14:editId="44E93CD5">
            <wp:extent cx="4788156" cy="1152000"/>
            <wp:effectExtent l="0" t="0" r="0" b="0"/>
            <wp:docPr id="21" name="Obraz 21" descr="Wykres słupkowy&#10;&#10;W 2025 roku w obrotach ładunków tranzytowych w porcie Gdańsk przywóz stanowił 87,2%, a wywóz – 12,8%, w porcie Gdynia – przywóz 92,3%, wywóz – 7,7%, w porcie Szczecin – przywóz 73,8%, wywóz – 26,2%, w porcie Świnoujście – przywóz 94,7%, wywóz – 5,3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słupkowy&#10;&#10;W 2025 roku w obrotach ładunków tranzytowych w porcie Gdańsk przywóz stanowił 87,2%, a wywóz – 12,8%, w porcie Gdynia – przywóz 92,3%, wywóz – 7,7%, w porcie Szczecin – przywóz 73,8%, wywóz – 26,2%, w porcie Świnoujście – przywóz 94,7%, wywóz – 5,3%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8156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EBA6" w14:textId="57C742C1" w:rsidR="00675B3C" w:rsidRDefault="00675B3C" w:rsidP="000B75B6"/>
    <w:p w14:paraId="30986DF6" w14:textId="166F9A05" w:rsidR="00172BAF" w:rsidRPr="004330F2" w:rsidRDefault="00172BAF" w:rsidP="00CD1999"/>
    <w:p w14:paraId="72FC0CA0" w14:textId="1BEC6A8E" w:rsidR="005830FE" w:rsidRPr="00527D35" w:rsidRDefault="005830FE">
      <w:r w:rsidRPr="000B75B6">
        <w:rPr>
          <w:spacing w:val="-2"/>
        </w:rPr>
        <w:lastRenderedPageBreak/>
        <w:t>W 202</w:t>
      </w:r>
      <w:r w:rsidR="00BF3ACE" w:rsidRPr="000B75B6">
        <w:rPr>
          <w:spacing w:val="-2"/>
        </w:rPr>
        <w:t>5</w:t>
      </w:r>
      <w:r w:rsidRPr="000B75B6">
        <w:rPr>
          <w:spacing w:val="-2"/>
        </w:rPr>
        <w:t xml:space="preserve"> r. w portach morskich podróż na statkach rozpoczęło lub zakończyło 2,</w:t>
      </w:r>
      <w:r w:rsidR="00BF3ACE" w:rsidRPr="000B75B6">
        <w:rPr>
          <w:spacing w:val="-2"/>
        </w:rPr>
        <w:t>4</w:t>
      </w:r>
      <w:r w:rsidRPr="000B75B6">
        <w:rPr>
          <w:spacing w:val="-2"/>
        </w:rPr>
        <w:t xml:space="preserve"> mln pasażerów</w:t>
      </w:r>
      <w:r w:rsidRPr="00527D35">
        <w:t xml:space="preserve">, tj. o </w:t>
      </w:r>
      <w:r w:rsidR="00BF3ACE" w:rsidRPr="00527D35">
        <w:t>2,7</w:t>
      </w:r>
      <w:r w:rsidRPr="00527D35">
        <w:t xml:space="preserve">% </w:t>
      </w:r>
      <w:r w:rsidR="00BF3ACE" w:rsidRPr="00527D35">
        <w:t>mniej</w:t>
      </w:r>
      <w:r w:rsidRPr="00527D35">
        <w:t xml:space="preserve"> niż w 202</w:t>
      </w:r>
      <w:r w:rsidR="00BF3ACE" w:rsidRPr="00527D35">
        <w:t>4</w:t>
      </w:r>
      <w:r w:rsidRPr="00527D35">
        <w:t xml:space="preserve"> r. W ruchu krajowym przewieziono </w:t>
      </w:r>
      <w:r w:rsidR="00BF3ACE" w:rsidRPr="00527D35">
        <w:t>602,6</w:t>
      </w:r>
      <w:r w:rsidRPr="00527D35">
        <w:t xml:space="preserve"> tys. osób (o </w:t>
      </w:r>
      <w:r w:rsidR="00BF3ACE" w:rsidRPr="00527D35">
        <w:t>13,9</w:t>
      </w:r>
      <w:r w:rsidRPr="00527D35">
        <w:t xml:space="preserve">% </w:t>
      </w:r>
      <w:r w:rsidR="00BF3ACE" w:rsidRPr="00527D35">
        <w:t>mniej</w:t>
      </w:r>
      <w:r w:rsidRPr="00527D35">
        <w:t>), a w ruchu międzynarodowym – 1,</w:t>
      </w:r>
      <w:r w:rsidR="00BF3ACE" w:rsidRPr="00527D35">
        <w:t>8</w:t>
      </w:r>
      <w:r w:rsidRPr="00527D35">
        <w:t xml:space="preserve"> mln osób (o </w:t>
      </w:r>
      <w:r w:rsidR="00BF3ACE" w:rsidRPr="00527D35">
        <w:t>1,9</w:t>
      </w:r>
      <w:r w:rsidRPr="00527D35">
        <w:t xml:space="preserve">% </w:t>
      </w:r>
      <w:r w:rsidR="00BF3ACE" w:rsidRPr="00527D35">
        <w:t>więcej</w:t>
      </w:r>
      <w:r w:rsidRPr="00527D35">
        <w:t>).</w:t>
      </w:r>
    </w:p>
    <w:p w14:paraId="197CBBE5" w14:textId="387A016F" w:rsidR="00B33AA6" w:rsidRDefault="005830FE">
      <w:r w:rsidRPr="000B75B6">
        <w:rPr>
          <w:spacing w:val="-2"/>
        </w:rPr>
        <w:t>Krajem, do którego wypłynęło lub z którego przypłynęło do polskich portów morskich najwięcej</w:t>
      </w:r>
      <w:r w:rsidRPr="00527D35">
        <w:t xml:space="preserve"> pasażerów była Szwecja (udział w międzynarodowym ruchu pasażerów wyniósł 99,</w:t>
      </w:r>
      <w:r w:rsidR="00DB5ADA" w:rsidRPr="00527D35">
        <w:t>8</w:t>
      </w:r>
      <w:r w:rsidRPr="00527D35">
        <w:t>%).</w:t>
      </w:r>
    </w:p>
    <w:p w14:paraId="6140F6E3" w14:textId="47616EF0" w:rsidR="00B35AEF" w:rsidRDefault="00B35AEF" w:rsidP="005619F1">
      <w:pPr>
        <w:pStyle w:val="tytuwykresu"/>
        <w:ind w:left="851" w:hanging="851"/>
      </w:pPr>
      <w:r w:rsidRPr="00D77058">
        <w:t xml:space="preserve">Wykres </w:t>
      </w:r>
      <w:r w:rsidR="00B63FDA" w:rsidRPr="00D77058">
        <w:t>5</w:t>
      </w:r>
      <w:r w:rsidRPr="00D77058">
        <w:t xml:space="preserve">. Międzynarodowy ruch pasażerów w portach </w:t>
      </w:r>
      <w:proofErr w:type="spellStart"/>
      <w:r w:rsidRPr="00D77058">
        <w:t>morskich</w:t>
      </w:r>
      <w:r w:rsidR="00C57C9D" w:rsidRPr="00BF5296">
        <w:rPr>
          <w:vertAlign w:val="superscript"/>
        </w:rPr>
        <w:t>a</w:t>
      </w:r>
      <w:proofErr w:type="spellEnd"/>
      <w:r w:rsidRPr="00D77058">
        <w:t xml:space="preserve"> w 20</w:t>
      </w:r>
      <w:r w:rsidR="00430670" w:rsidRPr="00D77058">
        <w:t>2</w:t>
      </w:r>
      <w:r w:rsidR="00FB6217">
        <w:t>5</w:t>
      </w:r>
      <w:r w:rsidRPr="00D77058">
        <w:t xml:space="preserve"> r.</w:t>
      </w:r>
    </w:p>
    <w:p w14:paraId="4829815F" w14:textId="148BC9DF" w:rsidR="008D59C4" w:rsidRDefault="008D59C4" w:rsidP="005619F1">
      <w:pPr>
        <w:pStyle w:val="tytuwykresu"/>
        <w:ind w:left="851" w:hanging="851"/>
      </w:pPr>
      <w:r>
        <w:rPr>
          <w:noProof/>
        </w:rPr>
        <w:drawing>
          <wp:inline distT="0" distB="0" distL="0" distR="0" wp14:anchorId="51CC262F" wp14:editId="221B3911">
            <wp:extent cx="4818248" cy="1296000"/>
            <wp:effectExtent l="0" t="0" r="1905" b="0"/>
            <wp:docPr id="17" name="Obraz 17" descr="Wykres słupkowy&#10;&#10;W 2025 roku w międzynarodowym ruchu pasażerskim w polskich portach morskich najwięcej pasażerów odnotowano w Świnoujściu – 1050,1 tys., następnie w Gdyni – 560,7 tys. oraz w Gdańsku – 148,0 tys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słupkowy&#10;&#10;W 2025 roku w międzynarodowym ruchu pasażerskim w polskich portach morskich najwięcej pasażerów odnotowano w Świnoujściu – 1050,1 tys., następnie w Gdyni – 560,7 tys. oraz w Gdańsku – 148,0 tys.&#10;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8248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E66F" w14:textId="2B0E8814" w:rsidR="00110288" w:rsidRPr="00BF5296" w:rsidRDefault="009A1D17" w:rsidP="00CD1999">
      <w:pPr>
        <w:rPr>
          <w:sz w:val="16"/>
          <w:szCs w:val="16"/>
        </w:rPr>
      </w:pPr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B76BB32" wp14:editId="00A9C2C8">
                <wp:simplePos x="0" y="0"/>
                <wp:positionH relativeFrom="column">
                  <wp:posOffset>5177434</wp:posOffset>
                </wp:positionH>
                <wp:positionV relativeFrom="paragraph">
                  <wp:posOffset>78232</wp:posOffset>
                </wp:positionV>
                <wp:extent cx="1859280" cy="802640"/>
                <wp:effectExtent l="0" t="0" r="0" b="0"/>
                <wp:wrapTight wrapText="bothSides">
                  <wp:wrapPolygon edited="0">
                    <wp:start x="664" y="0"/>
                    <wp:lineTo x="664" y="21019"/>
                    <wp:lineTo x="20803" y="21019"/>
                    <wp:lineTo x="20803" y="0"/>
                    <wp:lineTo x="664" y="0"/>
                  </wp:wrapPolygon>
                </wp:wrapTight>
                <wp:docPr id="44" name="Pole tekstowe 44" descr="W 2025 r. do polskich portów morskich zawinęło o 1,4% więcej statków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6639" w14:textId="49017EDC" w:rsidR="00D04587" w:rsidRPr="005A1D8D" w:rsidRDefault="005830FE" w:rsidP="00D77058">
                            <w:pPr>
                              <w:pStyle w:val="tekstzboku"/>
                            </w:pPr>
                            <w:r w:rsidRPr="00527D35">
                              <w:t>W 202</w:t>
                            </w:r>
                            <w:r w:rsidR="001348C8" w:rsidRPr="00527D35">
                              <w:t>5</w:t>
                            </w:r>
                            <w:r w:rsidRPr="00527D35">
                              <w:t xml:space="preserve"> r. do polskich portów morskich zawinęło o </w:t>
                            </w:r>
                            <w:r w:rsidR="001348C8" w:rsidRPr="00527D35">
                              <w:t>1,4</w:t>
                            </w:r>
                            <w:r w:rsidRPr="00527D35">
                              <w:t xml:space="preserve">% </w:t>
                            </w:r>
                            <w:r w:rsidRPr="00527D35">
                              <w:br/>
                            </w:r>
                            <w:r w:rsidR="00CA1187" w:rsidRPr="00527D35">
                              <w:t>więcej</w:t>
                            </w:r>
                            <w:r w:rsidRPr="00527D35">
                              <w:t xml:space="preserve">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BB32" id="Pole tekstowe 44" o:spid="_x0000_s1031" type="#_x0000_t202" alt="W 2025 r. do polskich portów morskich zawinęło o 1,4% więcej statków niż przed rokiem&#10;" style="position:absolute;margin-left:407.65pt;margin-top:6.15pt;width:146.4pt;height:63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" filled="f" stroked="f">
                <v:textbox>
                  <w:txbxContent>
                    <w:p w14:paraId="50A06639" w14:textId="49017EDC" w:rsidR="00D04587" w:rsidRPr="005A1D8D" w:rsidRDefault="005830FE" w:rsidP="00D77058">
                      <w:pPr>
                        <w:pStyle w:val="tekstzboku"/>
                      </w:pPr>
                      <w:r w:rsidRPr="00527D35">
                        <w:t>W 202</w:t>
                      </w:r>
                      <w:r w:rsidR="001348C8" w:rsidRPr="00527D35">
                        <w:t>5</w:t>
                      </w:r>
                      <w:r w:rsidRPr="00527D35">
                        <w:t xml:space="preserve"> r. do polskich portów morskich zawinęło o </w:t>
                      </w:r>
                      <w:r w:rsidR="001348C8" w:rsidRPr="00527D35">
                        <w:t>1,4</w:t>
                      </w:r>
                      <w:r w:rsidRPr="00527D35">
                        <w:t xml:space="preserve">% </w:t>
                      </w:r>
                      <w:r w:rsidRPr="00527D35">
                        <w:br/>
                      </w:r>
                      <w:r w:rsidR="00CA1187" w:rsidRPr="00527D35">
                        <w:t>więcej</w:t>
                      </w:r>
                      <w:r w:rsidRPr="00527D35">
                        <w:t xml:space="preserve">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4F80">
        <w:rPr>
          <w:sz w:val="16"/>
          <w:szCs w:val="16"/>
        </w:rPr>
        <w:t>a Dane wstępne.</w:t>
      </w:r>
    </w:p>
    <w:p w14:paraId="2739BF6B" w14:textId="2840231E" w:rsidR="005830FE" w:rsidRPr="00527D35" w:rsidRDefault="005830FE">
      <w:r w:rsidRPr="00527D35">
        <w:t>Do polskich portów w 202</w:t>
      </w:r>
      <w:r w:rsidR="00BF3ACE" w:rsidRPr="00527D35">
        <w:t>5</w:t>
      </w:r>
      <w:r w:rsidRPr="00527D35">
        <w:t xml:space="preserve"> r. zawinęło </w:t>
      </w:r>
      <w:r w:rsidR="00B06677" w:rsidRPr="00527D35">
        <w:t>20,</w:t>
      </w:r>
      <w:r w:rsidR="001348C8" w:rsidRPr="00527D35">
        <w:t>3</w:t>
      </w:r>
      <w:r w:rsidRPr="00527D35">
        <w:t xml:space="preserve"> tys. statków (wobec </w:t>
      </w:r>
      <w:r w:rsidR="001348C8" w:rsidRPr="00527D35">
        <w:t>20,0</w:t>
      </w:r>
      <w:r w:rsidRPr="00527D35">
        <w:t xml:space="preserve"> tys. jednostek w 202</w:t>
      </w:r>
      <w:r w:rsidR="001348C8" w:rsidRPr="00527D35">
        <w:t>4</w:t>
      </w:r>
      <w:r w:rsidRPr="00527D35">
        <w:t xml:space="preserve"> r.) </w:t>
      </w:r>
      <w:r w:rsidRPr="00527D35">
        <w:br/>
        <w:t xml:space="preserve">o pojemności brutto (GT) </w:t>
      </w:r>
      <w:r w:rsidR="001348C8" w:rsidRPr="00527D35">
        <w:t>312,2</w:t>
      </w:r>
      <w:r w:rsidRPr="00527D35">
        <w:t xml:space="preserve"> mln (o </w:t>
      </w:r>
      <w:r w:rsidR="00CA1187" w:rsidRPr="00527D35">
        <w:t>3,</w:t>
      </w:r>
      <w:r w:rsidR="001348C8" w:rsidRPr="00527D35">
        <w:t>4</w:t>
      </w:r>
      <w:r w:rsidRPr="00527D35">
        <w:t xml:space="preserve">% większej niż w roku poprzednim) i nośności (DWT) </w:t>
      </w:r>
      <w:r w:rsidR="001348C8" w:rsidRPr="00527D35">
        <w:t>236,0</w:t>
      </w:r>
      <w:r w:rsidRPr="00527D35">
        <w:t xml:space="preserve"> mln ton (o </w:t>
      </w:r>
      <w:r w:rsidR="00CA1187" w:rsidRPr="00527D35">
        <w:t>4,</w:t>
      </w:r>
      <w:r w:rsidR="001348C8" w:rsidRPr="00527D35">
        <w:t>7</w:t>
      </w:r>
      <w:r w:rsidRPr="00527D35">
        <w:t xml:space="preserve">% </w:t>
      </w:r>
      <w:r w:rsidR="001348C8" w:rsidRPr="00527D35">
        <w:t>większej</w:t>
      </w:r>
      <w:r w:rsidRPr="00527D35">
        <w:t xml:space="preserve">). </w:t>
      </w:r>
    </w:p>
    <w:p w14:paraId="4BD65B4A" w14:textId="77777777" w:rsidR="003F1246" w:rsidRPr="00D77058" w:rsidRDefault="00D45884" w:rsidP="00D77058">
      <w:pPr>
        <w:pStyle w:val="Nagwek1"/>
      </w:pPr>
      <w:r w:rsidRPr="006656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16A3E53" wp14:editId="6A283871">
                <wp:simplePos x="0" y="0"/>
                <wp:positionH relativeFrom="column">
                  <wp:posOffset>5200650</wp:posOffset>
                </wp:positionH>
                <wp:positionV relativeFrom="paragraph">
                  <wp:posOffset>229870</wp:posOffset>
                </wp:positionV>
                <wp:extent cx="1888490" cy="948055"/>
                <wp:effectExtent l="0" t="0" r="0" b="4445"/>
                <wp:wrapTight wrapText="bothSides">
                  <wp:wrapPolygon edited="0">
                    <wp:start x="654" y="0"/>
                    <wp:lineTo x="654" y="21267"/>
                    <wp:lineTo x="20917" y="21267"/>
                    <wp:lineTo x="20917" y="0"/>
                    <wp:lineTo x="654" y="0"/>
                  </wp:wrapPolygon>
                </wp:wrapTight>
                <wp:docPr id="2" name="Pole tekstowe 2" descr="W stosunku do 2024 r. odnotowano spadek pojemności brutto (GT) statków morskiej floty transportowej – o 11,0% oraz nośności (DWT) – o 8,7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92C3D" w14:textId="6B3EE48E" w:rsidR="00D04587" w:rsidRPr="00C91C68" w:rsidRDefault="00C91C68" w:rsidP="002F349C">
                            <w:pPr>
                              <w:pStyle w:val="tekstzboku"/>
                            </w:pPr>
                            <w:r w:rsidRPr="00C91C68">
                              <w:t xml:space="preserve">W </w:t>
                            </w:r>
                            <w:r w:rsidRPr="000B75B6">
                              <w:t>stosunku</w:t>
                            </w:r>
                            <w:r w:rsidRPr="00C91C68">
                              <w:t xml:space="preserve"> do 2024 r. odnotowano spadek pojemności brutto (GT) statków morskiej floty transportowej – o 11,0% oraz </w:t>
                            </w:r>
                            <w:r w:rsidRPr="00C91C68">
                              <w:br/>
                              <w:t>nośności (DWT) – o 8,7%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3E53" id="_x0000_s1032" type="#_x0000_t202" alt="W stosunku do 2024 r. odnotowano spadek pojemności brutto (GT) statków morskiej floty transportowej – o 11,0% oraz nośności (DWT) – o 8,7%&#10;&#10;" style="position:absolute;margin-left:409.5pt;margin-top:18.1pt;width:148.7pt;height:74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" filled="f" stroked="f">
                <v:textbox>
                  <w:txbxContent>
                    <w:p w14:paraId="75A92C3D" w14:textId="6B3EE48E" w:rsidR="00D04587" w:rsidRPr="00C91C68" w:rsidRDefault="00C91C68" w:rsidP="002F349C">
                      <w:pPr>
                        <w:pStyle w:val="tekstzboku"/>
                      </w:pPr>
                      <w:r w:rsidRPr="00C91C68">
                        <w:t xml:space="preserve">W </w:t>
                      </w:r>
                      <w:r w:rsidRPr="000B75B6">
                        <w:t>stosunku</w:t>
                      </w:r>
                      <w:r w:rsidRPr="00C91C68">
                        <w:t xml:space="preserve"> do 2024 r. odnotowano spadek pojemności brutto (GT) statków morskiej floty transportowej – o 11,0% oraz </w:t>
                      </w:r>
                      <w:r w:rsidRPr="00C91C68">
                        <w:br/>
                        <w:t>nośności (DWT) – o 8,7%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66560F">
        <w:t xml:space="preserve">Żegluga morska i </w:t>
      </w:r>
      <w:r w:rsidR="003F1246" w:rsidRPr="006778E7">
        <w:t>przybrzeżn</w:t>
      </w:r>
      <w:r w:rsidR="003F1246" w:rsidRPr="00D77058">
        <w:t>a</w:t>
      </w:r>
    </w:p>
    <w:p w14:paraId="575CEF5B" w14:textId="60608C64" w:rsidR="0042288B" w:rsidRPr="00C91C68" w:rsidRDefault="00C91C68">
      <w:r w:rsidRPr="00C91C68">
        <w:t xml:space="preserve">Na koniec 2025 r. morska flota transportowa obejmowała 83 statki (o sześć statków mniej </w:t>
      </w:r>
      <w:r w:rsidR="00BB0307">
        <w:br/>
      </w:r>
      <w:r w:rsidRPr="000B75B6">
        <w:rPr>
          <w:spacing w:val="-2"/>
        </w:rPr>
        <w:t>niż rok wcześniej) będących własnością lub współwłasnością polskich armatorów i operatorów</w:t>
      </w:r>
      <w:r w:rsidRPr="00C91C68">
        <w:t xml:space="preserve"> oraz dzierżawionych. Łączna nośność (DWT) statków morskiej floty wyniosła 2499,5 tys. ton, natomiast</w:t>
      </w:r>
      <w:r w:rsidRPr="00C91C68">
        <w:rPr>
          <w:spacing w:val="-6"/>
        </w:rPr>
        <w:t xml:space="preserve"> pojemność brutto (GT) – 1852,9 tys.</w:t>
      </w:r>
      <w:r w:rsidRPr="00C91C68">
        <w:rPr>
          <w:spacing w:val="-4"/>
        </w:rPr>
        <w:t xml:space="preserve"> (</w:t>
      </w:r>
      <w:r w:rsidRPr="00C91C68">
        <w:t xml:space="preserve">wobec odpowiednio 2807,1 tys. ton i </w:t>
      </w:r>
      <w:r w:rsidRPr="00C91C68">
        <w:rPr>
          <w:spacing w:val="-6"/>
        </w:rPr>
        <w:t xml:space="preserve">2029,0 </w:t>
      </w:r>
      <w:r w:rsidRPr="00C91C68">
        <w:t xml:space="preserve">tys. </w:t>
      </w:r>
      <w:r w:rsidR="00BB0307">
        <w:br/>
      </w:r>
      <w:r w:rsidRPr="00C91C68">
        <w:t>w 2024 r.).</w:t>
      </w:r>
    </w:p>
    <w:p w14:paraId="3397FB21" w14:textId="47C7A2D7" w:rsidR="003F1246" w:rsidRDefault="003F1246" w:rsidP="00E50FCF">
      <w:pPr>
        <w:pStyle w:val="tytuwykresu"/>
        <w:ind w:left="851" w:hanging="851"/>
        <w:rPr>
          <w:b w:val="0"/>
          <w:shd w:val="clear" w:color="auto" w:fill="FFFFFF"/>
        </w:rPr>
      </w:pPr>
      <w:r w:rsidRPr="00D77058">
        <w:t xml:space="preserve">Wykres </w:t>
      </w:r>
      <w:r w:rsidR="00B63FDA" w:rsidRPr="00D77058">
        <w:t>6</w:t>
      </w:r>
      <w:r w:rsidRPr="00D77058">
        <w:t>. Morska flota transportowa w 20</w:t>
      </w:r>
      <w:r w:rsidR="00FB2280" w:rsidRPr="00D77058">
        <w:t>2</w:t>
      </w:r>
      <w:r w:rsidR="00C91C68">
        <w:t>5</w:t>
      </w:r>
      <w:r w:rsidRPr="00D77058">
        <w:t xml:space="preserve"> r.</w:t>
      </w:r>
      <w:r w:rsidR="00D94724" w:rsidRPr="00D77058">
        <w:t xml:space="preserve"> </w:t>
      </w:r>
      <w:r w:rsidR="00D94724" w:rsidRPr="00D77058"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0A2B0B3A" w14:textId="0E569173" w:rsidR="00952623" w:rsidRDefault="00952623" w:rsidP="000B75B6">
      <w:pPr>
        <w:pStyle w:val="Brakstyluakapitoweg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2A169BA8" wp14:editId="5A3726BC">
            <wp:extent cx="4483402" cy="3060000"/>
            <wp:effectExtent l="0" t="0" r="0" b="7620"/>
            <wp:docPr id="30" name="Obraz 30" descr="Wykres słupkowy&#10;&#10;Na koniec grudnia 2025 roku odnotowano 64 statki do przewozu ładunków stałych, natomiast w grupie pozostałych jednostek morskiej floty transportowej były: 3 zbiornikowce, 9 promów towarowo-pasażerskich, 2 statki pasażerskie, 3 jachty morskie oraz 2 barki morsk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słupkowy&#10;&#10;Na koniec grudnia 2025 roku odnotowano 64 statki do przewozu ładunków stałych, natomiast w grupie pozostałych jednostek morskiej floty transportowej były: 3 zbiornikowce, 9 promów towarowo-pasażerskich, 2 statki pasażerskie, 3 jachty morskie oraz 2 barki morski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40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0F7D" w14:textId="45571233" w:rsidR="003F1246" w:rsidRDefault="00851FF9" w:rsidP="000B75B6">
      <w:pPr>
        <w:spacing w:before="240"/>
      </w:pPr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BF47AC" wp14:editId="32B2ADA3">
                <wp:simplePos x="0" y="0"/>
                <wp:positionH relativeFrom="column">
                  <wp:posOffset>3175</wp:posOffset>
                </wp:positionH>
                <wp:positionV relativeFrom="paragraph">
                  <wp:posOffset>38176</wp:posOffset>
                </wp:positionV>
                <wp:extent cx="719455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6BF7F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3pt" to="56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" strokecolor="#001d77" strokeweight=".5pt">
                <v:stroke joinstyle="miter"/>
              </v:line>
            </w:pict>
          </mc:Fallback>
        </mc:AlternateContent>
      </w:r>
      <w:r w:rsidR="003F1246" w:rsidRPr="00E91DF4">
        <w:rPr>
          <w:iCs/>
          <w:sz w:val="16"/>
        </w:rPr>
        <w:t>a</w:t>
      </w:r>
      <w:r w:rsidR="003F1246" w:rsidRPr="00EA49A8">
        <w:rPr>
          <w:sz w:val="16"/>
        </w:rPr>
        <w:t xml:space="preserve"> Z wyłączeniem promów</w:t>
      </w:r>
      <w:r w:rsidR="003F1246" w:rsidRPr="001F64BC">
        <w:t>.</w:t>
      </w:r>
    </w:p>
    <w:p w14:paraId="186F2B69" w14:textId="77777777" w:rsidR="008D59C4" w:rsidRPr="001F64BC" w:rsidRDefault="008D59C4" w:rsidP="000B75B6">
      <w:pPr>
        <w:spacing w:before="240"/>
      </w:pPr>
    </w:p>
    <w:p w14:paraId="188F5C6B" w14:textId="6EE2C099" w:rsidR="00C91C68" w:rsidRPr="00C91C68" w:rsidRDefault="00D07241" w:rsidP="00DD127C">
      <w:r w:rsidRPr="00C91C6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7AC59D52" wp14:editId="78490560">
                <wp:simplePos x="0" y="0"/>
                <wp:positionH relativeFrom="page">
                  <wp:align>right</wp:align>
                </wp:positionH>
                <wp:positionV relativeFrom="page">
                  <wp:posOffset>483946</wp:posOffset>
                </wp:positionV>
                <wp:extent cx="1864800" cy="817200"/>
                <wp:effectExtent l="0" t="0" r="0" b="2540"/>
                <wp:wrapTight wrapText="bothSides">
                  <wp:wrapPolygon edited="0">
                    <wp:start x="662" y="0"/>
                    <wp:lineTo x="662" y="21163"/>
                    <wp:lineTo x="20747" y="21163"/>
                    <wp:lineTo x="20747" y="0"/>
                    <wp:lineTo x="662" y="0"/>
                  </wp:wrapPolygon>
                </wp:wrapTight>
                <wp:docPr id="16" name="Pole tekstowe 16" descr="Morską flotą transportową &#10;polscy przewoźnicy przetransportowali o 5,9% więcej ładunków niż w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800" cy="81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6F356" w14:textId="77777777" w:rsidR="00C91C68" w:rsidRPr="00C22D3B" w:rsidRDefault="00C91C68" w:rsidP="00DD127C">
                            <w:pPr>
                              <w:pStyle w:val="tekstzboku"/>
                            </w:pPr>
                            <w:r w:rsidRPr="00C91C68">
                              <w:t xml:space="preserve">Morską flotą transportową </w:t>
                            </w:r>
                            <w:r w:rsidRPr="00C91C68">
                              <w:br/>
                              <w:t xml:space="preserve">polscy przewoźnicy </w:t>
                            </w:r>
                            <w:r w:rsidRPr="00DD127C">
                              <w:t>przetransportowali</w:t>
                            </w:r>
                            <w:r w:rsidRPr="00C91C68">
                              <w:t xml:space="preserve"> o 5,9% więcej ładunków niż w 2024 r.</w:t>
                            </w:r>
                          </w:p>
                          <w:p w14:paraId="6CB21B4E" w14:textId="77777777" w:rsidR="00C91C68" w:rsidRPr="00C22D3B" w:rsidRDefault="00C91C68" w:rsidP="00C91C6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9D52" id="Pole tekstowe 16" o:spid="_x0000_s1033" type="#_x0000_t202" alt="Morską flotą transportową &#10;polscy przewoźnicy przetransportowali o 5,9% więcej ładunków niż w 2024 r.&#10;" style="position:absolute;margin-left:95.65pt;margin-top:38.1pt;width:146.85pt;height:64.35pt;z-index:-2515619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" filled="f" stroked="f">
                <v:textbox>
                  <w:txbxContent>
                    <w:p w14:paraId="7306F356" w14:textId="77777777" w:rsidR="00C91C68" w:rsidRPr="00C22D3B" w:rsidRDefault="00C91C68" w:rsidP="00DD127C">
                      <w:pPr>
                        <w:pStyle w:val="tekstzboku"/>
                      </w:pPr>
                      <w:r w:rsidRPr="00C91C68">
                        <w:t xml:space="preserve">Morską flotą transportową </w:t>
                      </w:r>
                      <w:r w:rsidRPr="00C91C68">
                        <w:br/>
                        <w:t xml:space="preserve">polscy przewoźnicy </w:t>
                      </w:r>
                      <w:r w:rsidRPr="00DD127C">
                        <w:t>przetransportowali</w:t>
                      </w:r>
                      <w:r w:rsidRPr="00C91C68">
                        <w:t xml:space="preserve"> o 5,9% więcej ładunków niż w 2024 r.</w:t>
                      </w:r>
                    </w:p>
                    <w:p w14:paraId="6CB21B4E" w14:textId="77777777" w:rsidR="00C91C68" w:rsidRPr="00C22D3B" w:rsidRDefault="00C91C68" w:rsidP="00C91C68">
                      <w:pPr>
                        <w:pStyle w:val="tekstzboku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91C68" w:rsidRPr="00C91C68">
        <w:t xml:space="preserve">Na koniec 2025 r. statki pod polską banderą stanowiły 15,7% ogólnej liczby jednostek morskiej floty transportowej. Łączna nośność (DWT) statków pod polską banderą (13 statków) </w:t>
      </w:r>
      <w:r w:rsidR="00C91C68" w:rsidRPr="00C91C68">
        <w:br/>
        <w:t xml:space="preserve">wyniosła 18,0 tys. ton (0,7% ogółu nośności statków morskiej floty), a pojemność brutto </w:t>
      </w:r>
      <w:r w:rsidR="00C91C68" w:rsidRPr="00C91C68">
        <w:br/>
        <w:t xml:space="preserve">(GT) – 13,7 tys. (0,7% ogółu pojemności brutto). </w:t>
      </w:r>
      <w:r w:rsidR="00C91C68" w:rsidRPr="00C91C68">
        <w:rPr>
          <w:spacing w:val="-2"/>
        </w:rPr>
        <w:t>Morską flotą transportową polscy przewoźnicy przewieźli 7104,2 tys. ton ładunków (wobec 6683,8 tys. ton w 2024 r.).</w:t>
      </w:r>
    </w:p>
    <w:p w14:paraId="4ED920A1" w14:textId="76A1C0AD" w:rsidR="00C91C68" w:rsidRPr="0003562B" w:rsidRDefault="00C91C68" w:rsidP="00DD127C">
      <w:r w:rsidRPr="00C91C68">
        <w:t>Śre</w:t>
      </w:r>
      <w:r w:rsidRPr="00C91C68">
        <w:rPr>
          <w:spacing w:val="-2"/>
        </w:rPr>
        <w:t>dni wiek statku w morskiej flocie transportowej wyniósł 18,5 roku (dla statków pływających</w:t>
      </w:r>
      <w:r w:rsidRPr="00C91C68">
        <w:t xml:space="preserve"> </w:t>
      </w:r>
      <w:r w:rsidRPr="00C91C68">
        <w:rPr>
          <w:spacing w:val="-6"/>
        </w:rPr>
        <w:t>pod polską banderą – 42,8 roku, natomiast dla statków pływających pod banderą obcą – 14</w:t>
      </w:r>
      <w:r w:rsidR="0039305B">
        <w:rPr>
          <w:spacing w:val="-6"/>
        </w:rPr>
        <w:t xml:space="preserve"> lat</w:t>
      </w:r>
      <w:r w:rsidRPr="00C91C68">
        <w:rPr>
          <w:spacing w:val="-6"/>
        </w:rPr>
        <w:t>).</w:t>
      </w:r>
      <w:r w:rsidRPr="00A823E5">
        <w:rPr>
          <w:spacing w:val="-2"/>
        </w:rPr>
        <w:t xml:space="preserve"> </w:t>
      </w:r>
    </w:p>
    <w:p w14:paraId="5CE8FF13" w14:textId="1F6488D9" w:rsidR="003F1246" w:rsidRDefault="003F1246" w:rsidP="000B75B6">
      <w:pPr>
        <w:pStyle w:val="tytuwykresu"/>
        <w:ind w:left="851" w:hanging="851"/>
      </w:pPr>
      <w:r w:rsidRPr="00C91C68">
        <w:t xml:space="preserve">Wykres </w:t>
      </w:r>
      <w:r w:rsidR="00B63FDA" w:rsidRPr="00C91C68">
        <w:t>7</w:t>
      </w:r>
      <w:r w:rsidRPr="00C91C68">
        <w:t xml:space="preserve">. Struktura przewozów morską flotą transportową według </w:t>
      </w:r>
      <w:r w:rsidR="00AA5F4F" w:rsidRPr="00C91C68">
        <w:t>kategorii</w:t>
      </w:r>
      <w:r w:rsidRPr="00C91C68">
        <w:t xml:space="preserve"> ładunkowych </w:t>
      </w:r>
      <w:r w:rsidR="00B3407F" w:rsidRPr="00C91C68">
        <w:br/>
      </w:r>
      <w:r w:rsidRPr="00C91C68">
        <w:t>w 20</w:t>
      </w:r>
      <w:r w:rsidR="00BC5C7E" w:rsidRPr="00C91C68">
        <w:t>2</w:t>
      </w:r>
      <w:r w:rsidR="00C91C68">
        <w:t>5</w:t>
      </w:r>
      <w:r w:rsidRPr="00C91C68">
        <w:t xml:space="preserve"> r.</w:t>
      </w:r>
    </w:p>
    <w:p w14:paraId="33EFB240" w14:textId="4D80438B" w:rsidR="00115229" w:rsidRDefault="00115229" w:rsidP="00115229">
      <w:pPr>
        <w:pStyle w:val="Brakstyluakapitowego"/>
      </w:pPr>
      <w:r>
        <w:rPr>
          <w:noProof/>
        </w:rPr>
        <w:drawing>
          <wp:inline distT="0" distB="0" distL="0" distR="0" wp14:anchorId="4CAC0842" wp14:editId="04A37262">
            <wp:extent cx="3971307" cy="2052000"/>
            <wp:effectExtent l="0" t="0" r="0" b="5715"/>
            <wp:docPr id="1" name="Obraz 1" descr="Wykres kołowy&#10;&#10;W 2025 roku w strukturze przewozów ładunków morską flotą transportową ładunki toczne stanowiły 56,9%, pozostałe ładunki drobnicowe – 33,7%, masowe suche – 8,0%, masowe ciekłe – 1,0%, kontenery duże – 0,4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kołowy&#10;&#10;W 2025 roku w strukturze przewozów ładunków morską flotą transportową ładunki toczne stanowiły 56,9%, pozostałe ładunki drobnicowe – 33,7%, masowe suche – 8,0%, masowe ciekłe – 1,0%, kontenery duże – 0,4%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7130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259D" w14:textId="77777777" w:rsidR="00A334CD" w:rsidRDefault="00A334CD" w:rsidP="00115229"/>
    <w:p w14:paraId="24F61E5D" w14:textId="32937645" w:rsidR="0042288B" w:rsidRPr="004456EF" w:rsidRDefault="00C91C68">
      <w:pPr>
        <w:rPr>
          <w:color w:val="000000" w:themeColor="text1"/>
        </w:rPr>
      </w:pPr>
      <w:r w:rsidRPr="00C91C68">
        <w:rPr>
          <w:color w:val="000000" w:themeColor="text1"/>
          <w:spacing w:val="-2"/>
        </w:rPr>
        <w:t>W relacji z portami polskimi morską flotą transportową przewieziono 6002,5 tys. ton ładunków</w:t>
      </w:r>
      <w:r w:rsidRPr="00C91C68">
        <w:rPr>
          <w:color w:val="000000" w:themeColor="text1"/>
        </w:rPr>
        <w:t xml:space="preserve"> (o 7,9% więcej niż </w:t>
      </w:r>
      <w:r w:rsidRPr="00C91C68">
        <w:t xml:space="preserve">w 2024 r.), z czego wywóz z portów polskich do portów zagranicznych </w:t>
      </w:r>
      <w:r w:rsidRPr="00C91C68">
        <w:br/>
        <w:t xml:space="preserve">stanowił 47,6% (o 2,2% mniej niż przed rokiem), a przywóz – 52,4% (o 19,1% więcej). </w:t>
      </w:r>
      <w:r w:rsidRPr="00C91C68">
        <w:br/>
        <w:t>Pomiędzy portami obcymi przewieziono 1030,7 tys. ton ładunków (o 2,9% mniej w porównaniu z rokie</w:t>
      </w:r>
      <w:r w:rsidRPr="00C91C68">
        <w:rPr>
          <w:spacing w:val="-4"/>
        </w:rPr>
        <w:t>m poprzednim), natomiast pomiędzy portami polskimi – 50,6 tys. ton (</w:t>
      </w:r>
      <w:r w:rsidRPr="00C91C68">
        <w:t>o 20,5% więcej). Przewozy wewnątrzportowe stanowiły 0,3% ogółu przewiezionych ładunków morską flotą transportową i wyniosły 20,4 tys. ton.</w:t>
      </w:r>
    </w:p>
    <w:p w14:paraId="6E9D2859" w14:textId="77777777" w:rsidR="003F1246" w:rsidRDefault="003F1246" w:rsidP="00BE7855">
      <w:pPr>
        <w:pStyle w:val="tytuwykresu"/>
      </w:pPr>
      <w:r w:rsidRPr="00BE7855">
        <w:t xml:space="preserve">Wykres </w:t>
      </w:r>
      <w:r w:rsidR="00B63FDA" w:rsidRPr="00BE7855">
        <w:t>8</w:t>
      </w:r>
      <w:r w:rsidRPr="00BE7855">
        <w:t>. Przewoz</w:t>
      </w:r>
      <w:r w:rsidR="00E54E57" w:rsidRPr="00BE7855">
        <w:t>y</w:t>
      </w:r>
      <w:r w:rsidRPr="00BE7855">
        <w:t xml:space="preserve"> ładunków </w:t>
      </w:r>
      <w:r w:rsidR="00E54E57" w:rsidRPr="00BE7855">
        <w:t>oraz wykonana praca przewozowa według rodzajów żeglugi</w:t>
      </w:r>
    </w:p>
    <w:p w14:paraId="1EC18B5B" w14:textId="2EBA06D8" w:rsidR="00666458" w:rsidRDefault="00666458" w:rsidP="00666458">
      <w:pPr>
        <w:pStyle w:val="Brakstyluakapitowego"/>
      </w:pPr>
      <w:r>
        <w:rPr>
          <w:noProof/>
        </w:rPr>
        <w:drawing>
          <wp:inline distT="0" distB="0" distL="0" distR="0" wp14:anchorId="31A56543" wp14:editId="0FF85644">
            <wp:extent cx="4466415" cy="2340000"/>
            <wp:effectExtent l="0" t="0" r="0" b="3175"/>
            <wp:docPr id="5" name="Obraz 5" descr="Wykres słupkowy skumulowany&#10;&#10;Dwa wykresy prezentujące dane za lata 2024 i 2025; z lewej strony – w mln ton, z prawej – w mld tonokilometrów. Przewozy ładunków w 2024 roku żeglugą dalekiego zasięgu (oceaniczną) wyniosły 1,0 mln ton, a żeglugą bliskiego zasięgu – 5,7 mln ton; w 2025 roku odpowiednio 1,0 mln ton i 6,2 mln ton. Praca przewozowa wykonana żeglugą dalekiego zasięgu (oceaniczną) w 2024 roku wyniosła 17,3 mld tonokilometrów, a żeglugą bliskiego zasięgu – 1,4 mld tonokilometrów; w 2025 roku odpowiednio 19,6 mld tonokilometrów i 1,4 mld tonokilomet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słupkowy skumulowany&#10;&#10;Dwa wykresy prezentujące dane za lata 2024 i 2025; z lewej strony – w mln ton, z prawej – w mld tonokilometrów. Przewozy ładunków w 2024 roku żeglugą dalekiego zasięgu (oceaniczną) wyniosły 1,0 mln ton, a żeglugą bliskiego zasięgu – 5,7 mln ton; w 2025 roku odpowiednio 1,0 mln ton i 6,2 mln ton. Praca przewozowa wykonana żeglugą dalekiego zasięgu (oceaniczną) w 2024 roku wyniosła 17,3 mld tonokilometrów, a żeglugą bliskiego zasięgu – 1,4 mld tonokilometrów; w 2025 roku odpowiednio 19,6 mld tonokilometrów i 1,4 mld tonokilometrów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64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DFF9" w14:textId="4A65071D" w:rsidR="00A334CD" w:rsidRDefault="009F4496" w:rsidP="00A823E5">
      <w:r w:rsidRPr="004D6A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937AF" wp14:editId="0FA2C420">
                <wp:simplePos x="0" y="0"/>
                <wp:positionH relativeFrom="page">
                  <wp:posOffset>5678754</wp:posOffset>
                </wp:positionH>
                <wp:positionV relativeFrom="paragraph">
                  <wp:posOffset>189306</wp:posOffset>
                </wp:positionV>
                <wp:extent cx="1832610" cy="825500"/>
                <wp:effectExtent l="0" t="0" r="0" b="0"/>
                <wp:wrapTight wrapText="bothSides">
                  <wp:wrapPolygon edited="0">
                    <wp:start x="674" y="0"/>
                    <wp:lineTo x="674" y="20935"/>
                    <wp:lineTo x="20881" y="20935"/>
                    <wp:lineTo x="20881" y="0"/>
                    <wp:lineTo x="674" y="0"/>
                  </wp:wrapPolygon>
                </wp:wrapTight>
                <wp:docPr id="6" name="Pole tekstowe 6" descr="Liczba pasażerów przewiezionych w komunikacji międzynarodowej zwiększyła się o 1,3% w porównaniu z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855B3" w14:textId="77777777" w:rsidR="00C91C68" w:rsidRPr="005D3009" w:rsidRDefault="00C91C68" w:rsidP="00C91C68">
                            <w:pPr>
                              <w:pStyle w:val="tekstzboku"/>
                            </w:pPr>
                            <w:r w:rsidRPr="00C91C68">
                              <w:t xml:space="preserve">Liczba pasażerów przewiezionych w komunikacji międzynarodowej zwiększyła się o 1,3% </w:t>
                            </w:r>
                            <w:r w:rsidRPr="00C91C68">
                              <w:br/>
                              <w:t>w porównaniu z 2024 r.</w:t>
                            </w:r>
                          </w:p>
                          <w:p w14:paraId="41C1D451" w14:textId="1CE56A93" w:rsidR="00D04587" w:rsidRPr="00744E52" w:rsidRDefault="00D04587" w:rsidP="00CB2DD0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37AF" id="Pole tekstowe 6" o:spid="_x0000_s1034" type="#_x0000_t202" alt="Liczba pasażerów przewiezionych w komunikacji międzynarodowej zwiększyła się o 1,3% w porównaniu z 2024 r.&#10;" style="position:absolute;margin-left:447.15pt;margin-top:14.9pt;width:144.3pt;height: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" filled="f" stroked="f">
                <v:textbox>
                  <w:txbxContent>
                    <w:p w14:paraId="077855B3" w14:textId="77777777" w:rsidR="00C91C68" w:rsidRPr="005D3009" w:rsidRDefault="00C91C68" w:rsidP="00C91C68">
                      <w:pPr>
                        <w:pStyle w:val="tekstzboku"/>
                      </w:pPr>
                      <w:r w:rsidRPr="00C91C68">
                        <w:t xml:space="preserve">Liczba pasażerów przewiezionych w komunikacji międzynarodowej zwiększyła się o 1,3% </w:t>
                      </w:r>
                      <w:r w:rsidRPr="00C91C68">
                        <w:br/>
                        <w:t>w porównaniu z 2024 r.</w:t>
                      </w:r>
                    </w:p>
                    <w:p w14:paraId="41C1D451" w14:textId="1CE56A93" w:rsidR="00D04587" w:rsidRPr="00744E52" w:rsidRDefault="00D04587" w:rsidP="00CB2DD0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F976B23" w14:textId="77777777" w:rsidR="00C91C68" w:rsidRDefault="00C91C68" w:rsidP="00C91C68">
      <w:r w:rsidRPr="00C91C68">
        <w:t xml:space="preserve">W 2025 r. morską flotą transportową polscy armatorzy i operatorzy przewieźli w komunikacji międzynarodowej 543,0 tys. pasażerów. Ponadto, promami przetransportowano 205,6 tys. </w:t>
      </w:r>
      <w:r w:rsidRPr="00C91C68">
        <w:br/>
        <w:t>kierowców samochodów ciężarowych (o 11,0% mniej niż w roku poprzednim).</w:t>
      </w:r>
    </w:p>
    <w:p w14:paraId="3124856A" w14:textId="77777777" w:rsidR="00FC5688" w:rsidRPr="008641D9" w:rsidRDefault="00FC5688" w:rsidP="005D3009">
      <w:pPr>
        <w:rPr>
          <w:spacing w:val="-4"/>
        </w:rPr>
      </w:pPr>
    </w:p>
    <w:p w14:paraId="66479E28" w14:textId="06189C11" w:rsidR="003F1246" w:rsidRDefault="003F1246" w:rsidP="004456EF">
      <w:pPr>
        <w:pStyle w:val="tytuwykresu"/>
        <w:ind w:left="851" w:hanging="851"/>
      </w:pPr>
      <w:r w:rsidRPr="0032075C">
        <w:lastRenderedPageBreak/>
        <w:t xml:space="preserve">Wykres </w:t>
      </w:r>
      <w:r w:rsidR="00B63FDA" w:rsidRPr="0032075C">
        <w:t>9</w:t>
      </w:r>
      <w:r w:rsidRPr="0032075C">
        <w:t xml:space="preserve">. </w:t>
      </w:r>
      <w:r w:rsidRPr="006369ED">
        <w:rPr>
          <w:spacing w:val="-2"/>
        </w:rPr>
        <w:t xml:space="preserve">Struktura przewozów pasażerów morską i przybrzeżną flotą transportową </w:t>
      </w:r>
      <w:r w:rsidR="006369ED" w:rsidRPr="006369ED">
        <w:rPr>
          <w:spacing w:val="-2"/>
          <w:vertAlign w:val="superscript"/>
        </w:rPr>
        <w:t>a</w:t>
      </w:r>
      <w:r w:rsidR="006369ED" w:rsidRPr="006369ED">
        <w:rPr>
          <w:spacing w:val="-2"/>
        </w:rPr>
        <w:t xml:space="preserve"> </w:t>
      </w:r>
      <w:r w:rsidRPr="006369ED">
        <w:rPr>
          <w:spacing w:val="-2"/>
        </w:rPr>
        <w:t>w 20</w:t>
      </w:r>
      <w:r w:rsidR="004B6E82" w:rsidRPr="006369ED">
        <w:rPr>
          <w:spacing w:val="-2"/>
        </w:rPr>
        <w:t>2</w:t>
      </w:r>
      <w:r w:rsidR="00C91C68" w:rsidRPr="006369ED">
        <w:rPr>
          <w:spacing w:val="-2"/>
        </w:rPr>
        <w:t>5</w:t>
      </w:r>
      <w:r w:rsidRPr="006369ED">
        <w:rPr>
          <w:spacing w:val="-2"/>
        </w:rPr>
        <w:t xml:space="preserve"> r.</w:t>
      </w:r>
      <w:r w:rsidR="00B66A25" w:rsidRPr="0032075C">
        <w:t xml:space="preserve"> </w:t>
      </w:r>
    </w:p>
    <w:p w14:paraId="36BF2A04" w14:textId="32411CB1" w:rsidR="003D736A" w:rsidRDefault="003D736A" w:rsidP="000B75B6">
      <w:pPr>
        <w:pStyle w:val="Brakstyluakapitowego"/>
      </w:pPr>
      <w:r>
        <w:rPr>
          <w:noProof/>
        </w:rPr>
        <w:drawing>
          <wp:inline distT="0" distB="0" distL="0" distR="0" wp14:anchorId="06F671FE" wp14:editId="3C849FF0">
            <wp:extent cx="4010884" cy="1980000"/>
            <wp:effectExtent l="0" t="0" r="8890" b="1270"/>
            <wp:docPr id="42" name="Obraz 42" descr="Wykres kołowy&#10;&#10;W 2025 roku w strukturze przewozów pasażerów morską i przybrzeżną flotą transportową udział przewozów w komunikacji międzynarodowej stanowił 36,7%, pomiędzy portami polskimi – 20,5%, a przewozów wewnątrzportowych – 42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kołowy&#10;&#10;W 2025 roku w strukturze przewozów pasażerów morską i przybrzeżną flotą transportową udział przewozów w komunikacji międzynarodowej stanowił 36,7%, pomiędzy portami polskimi – 20,5%, a przewozów wewnątrzportowych – 42,8%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088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F4B1" w14:textId="77777777" w:rsidR="007810D5" w:rsidRPr="007810D5" w:rsidRDefault="007810D5" w:rsidP="006369ED">
      <w:pPr>
        <w:pStyle w:val="Przypis0"/>
        <w:rPr>
          <w:sz w:val="19"/>
          <w:lang w:val="pl-PL"/>
        </w:rPr>
      </w:pPr>
    </w:p>
    <w:p w14:paraId="7A141CBE" w14:textId="4773F4AB" w:rsidR="006369ED" w:rsidRPr="00DE0FFB" w:rsidRDefault="00C309EA" w:rsidP="006369ED">
      <w:pPr>
        <w:pStyle w:val="Przypis0"/>
        <w:rPr>
          <w:sz w:val="19"/>
          <w:lang w:val="pl-PL"/>
        </w:rPr>
      </w:pPr>
      <w:r w:rsidRPr="00A446B3">
        <w:rPr>
          <w:szCs w:val="16"/>
          <w:lang w:val="pl-PL"/>
        </w:rPr>
        <w:t>a</w:t>
      </w:r>
      <w:r w:rsidR="007810D5" w:rsidRPr="007810D5">
        <w:rPr>
          <w:sz w:val="19"/>
          <w:lang w:val="pl-PL"/>
        </w:rPr>
        <w:t xml:space="preserve"> </w:t>
      </w:r>
      <w:r w:rsidR="007810D5" w:rsidRPr="007810D5">
        <w:rPr>
          <w:szCs w:val="16"/>
          <w:lang w:val="pl-PL"/>
        </w:rPr>
        <w:t>B</w:t>
      </w:r>
      <w:proofErr w:type="spellStart"/>
      <w:r w:rsidR="006369ED" w:rsidRPr="007810D5">
        <w:t>ez</w:t>
      </w:r>
      <w:proofErr w:type="spellEnd"/>
      <w:r w:rsidR="006369ED" w:rsidRPr="0032075C">
        <w:t xml:space="preserve"> </w:t>
      </w:r>
      <w:proofErr w:type="spellStart"/>
      <w:r w:rsidR="006369ED" w:rsidRPr="0032075C">
        <w:t>kierowców</w:t>
      </w:r>
      <w:proofErr w:type="spellEnd"/>
      <w:r w:rsidR="006369ED" w:rsidRPr="0032075C">
        <w:t xml:space="preserve"> </w:t>
      </w:r>
      <w:proofErr w:type="spellStart"/>
      <w:r w:rsidR="006369ED" w:rsidRPr="0032075C">
        <w:t>samochodów</w:t>
      </w:r>
      <w:proofErr w:type="spellEnd"/>
      <w:r w:rsidR="006369ED" w:rsidRPr="0032075C">
        <w:t xml:space="preserve"> </w:t>
      </w:r>
      <w:proofErr w:type="spellStart"/>
      <w:r w:rsidR="006369ED" w:rsidRPr="0032075C">
        <w:t>ciężarowych</w:t>
      </w:r>
      <w:proofErr w:type="spellEnd"/>
      <w:r w:rsidR="007810D5">
        <w:t>.</w:t>
      </w:r>
    </w:p>
    <w:p w14:paraId="4FB053FB" w14:textId="6EC9842A" w:rsidR="00D038F7" w:rsidRDefault="00D038F7"/>
    <w:p w14:paraId="3F00D3CA" w14:textId="43E02529" w:rsidR="004757BC" w:rsidRPr="004757BC" w:rsidRDefault="00ED7DF0" w:rsidP="006938EE">
      <w:pPr>
        <w:rPr>
          <w:szCs w:val="19"/>
        </w:rPr>
      </w:pPr>
      <w:r w:rsidRPr="00E454FE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10640F40" wp14:editId="33F4F41E">
                <wp:simplePos x="0" y="0"/>
                <wp:positionH relativeFrom="page">
                  <wp:align>right</wp:align>
                </wp:positionH>
                <wp:positionV relativeFrom="paragraph">
                  <wp:posOffset>438861</wp:posOffset>
                </wp:positionV>
                <wp:extent cx="1896745" cy="899160"/>
                <wp:effectExtent l="0" t="0" r="0" b="0"/>
                <wp:wrapTight wrapText="bothSides">
                  <wp:wrapPolygon edited="0">
                    <wp:start x="651" y="0"/>
                    <wp:lineTo x="651" y="21051"/>
                    <wp:lineTo x="20826" y="21051"/>
                    <wp:lineTo x="20826" y="0"/>
                    <wp:lineTo x="651" y="0"/>
                  </wp:wrapPolygon>
                </wp:wrapTight>
                <wp:docPr id="7" name="Pole tekstowe 7" descr="W porównaniu z 2024 r. odnotowano wzrost liczby pasaże-rów przewiezionych między portami polskimi o 60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D4DBC" w14:textId="2E35C102" w:rsidR="00D04587" w:rsidRDefault="00484682" w:rsidP="0009538B">
                            <w:pPr>
                              <w:pStyle w:val="tekstzboku"/>
                            </w:pPr>
                            <w:r w:rsidRPr="00484682">
                              <w:t xml:space="preserve">W porównaniu </w:t>
                            </w:r>
                            <w:r>
                              <w:t>z</w:t>
                            </w:r>
                            <w:r w:rsidRPr="00484682">
                              <w:t xml:space="preserve"> 2024 r. odnotowano wzrost liczby pasażerów przewiezionych między portami polskimi o 60,6%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0F40" id="Pole tekstowe 7" o:spid="_x0000_s1035" type="#_x0000_t202" alt="W porównaniu z 2024 r. odnotowano wzrost liczby pasaże-rów przewiezionych między portami polskimi o 60,6%" style="position:absolute;margin-left:98.15pt;margin-top:34.55pt;width:149.35pt;height:70.8pt;z-index:-251588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" filled="f" stroked="f">
                <v:textbox>
                  <w:txbxContent>
                    <w:p w14:paraId="0E2D4DBC" w14:textId="2E35C102" w:rsidR="00D04587" w:rsidRDefault="00484682" w:rsidP="0009538B">
                      <w:pPr>
                        <w:pStyle w:val="tekstzboku"/>
                      </w:pPr>
                      <w:r w:rsidRPr="00484682">
                        <w:t xml:space="preserve">W porównaniu </w:t>
                      </w:r>
                      <w:r>
                        <w:t>z</w:t>
                      </w:r>
                      <w:r w:rsidRPr="00484682">
                        <w:t xml:space="preserve"> 2024 r. odnotowano wzrost liczby pasażerów przewiezionych między portami polskimi o 60,6%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757BC" w:rsidRPr="004757BC">
        <w:t xml:space="preserve">Przybrzeżna flota transportowa na koniec 2025 r. liczyła 41 statków o łącznej nośności (DWT) </w:t>
      </w:r>
      <w:r w:rsidR="004757BC" w:rsidRPr="004757BC">
        <w:br/>
        <w:t>11,5 tys. ton i pojemności brutto (GT) 9,9 tys. Wszystkie statki morskiej przybrzeżnej floty transportowej pływały pod banderą polską. Średni wiek statku wyniósł 50,4 roku.</w:t>
      </w:r>
    </w:p>
    <w:p w14:paraId="1DC9BB10" w14:textId="0ADF6BF1" w:rsidR="004757BC" w:rsidRPr="004757BC" w:rsidRDefault="004757BC" w:rsidP="006938EE">
      <w:r w:rsidRPr="004757BC">
        <w:t xml:space="preserve">Statkami pasażerskimi przybrzeżnej floty transportowej w komunikacji pomiędzy portami polskimi w 2025 r. przewieziono 247,1 tys. pasażerów (o 60,6% więcej niż w poprzednim roku), </w:t>
      </w:r>
      <w:r w:rsidRPr="004757BC">
        <w:br/>
        <w:t xml:space="preserve">a praca przewozowa wyniosła 5137,5 tys. pasażerokilometrów (o 60,2% więcej). Wewnątrzportowe przewozy pasażerów statkami żeglugi przybrzeżnej wyniosły 583,4 tys. osób (spadek </w:t>
      </w:r>
      <w:r w:rsidR="00E41155">
        <w:br/>
      </w:r>
      <w:r w:rsidRPr="004757BC">
        <w:t>o 4,5% w skali roku), a średnia odległość przewozu jednego pasażera – 7,1 km.</w:t>
      </w:r>
    </w:p>
    <w:p w14:paraId="5F1A0C08" w14:textId="1674D02A" w:rsidR="004757BC" w:rsidRPr="004D6AF4" w:rsidRDefault="004757BC" w:rsidP="006938EE">
      <w:r w:rsidRPr="004757BC">
        <w:t>Stan załóg morskiej i przybrzeżnej floty transportowej na koniec 2025 r. wyn</w:t>
      </w:r>
      <w:r w:rsidR="00984FE2">
        <w:t>iósł</w:t>
      </w:r>
      <w:r w:rsidRPr="004757BC">
        <w:t xml:space="preserve"> 1927 os</w:t>
      </w:r>
      <w:r w:rsidR="00984FE2">
        <w:t>ób</w:t>
      </w:r>
      <w:r w:rsidRPr="004757BC">
        <w:br/>
        <w:t>(spadek o 4,7% w porównaniu z 2024 r.), z tego w morskiej flocie transportowej – 1762 os</w:t>
      </w:r>
      <w:r w:rsidR="00984FE2">
        <w:t>oby</w:t>
      </w:r>
      <w:r w:rsidRPr="004757BC">
        <w:t xml:space="preserve"> (spadek o 5,1%), a we flocie przybrzeżnej – 165 osób.</w:t>
      </w:r>
    </w:p>
    <w:p w14:paraId="231B8AA9" w14:textId="477A10A1" w:rsidR="003F1246" w:rsidRPr="00BE7855" w:rsidRDefault="003F1246" w:rsidP="006778E7">
      <w:pPr>
        <w:pStyle w:val="Nagwek1"/>
      </w:pPr>
      <w:r w:rsidRPr="00BE7855">
        <w:t>Przemysł stoczniowy</w:t>
      </w:r>
      <w:r w:rsidR="005A003C" w:rsidRPr="00BE7855">
        <w:rPr>
          <w:vertAlign w:val="superscript"/>
        </w:rPr>
        <w:t>1</w:t>
      </w:r>
    </w:p>
    <w:p w14:paraId="322FAC31" w14:textId="09673C23" w:rsidR="002C27B3" w:rsidRPr="00D947C3" w:rsidRDefault="002C27B3" w:rsidP="002C27B3">
      <w:pPr>
        <w:spacing w:before="0"/>
      </w:pPr>
      <w:r w:rsidRPr="00D947C3">
        <w:t>W skali roku z</w:t>
      </w:r>
      <w:r>
        <w:t xml:space="preserve">większył </w:t>
      </w:r>
      <w:r w:rsidRPr="00D947C3">
        <w:t>się portfel zamówień. Na koniec 202</w:t>
      </w:r>
      <w:r>
        <w:t>5</w:t>
      </w:r>
      <w:r w:rsidRPr="00D947C3">
        <w:t xml:space="preserve"> r. obejmował on </w:t>
      </w:r>
      <w:r>
        <w:t xml:space="preserve">12 </w:t>
      </w:r>
      <w:r w:rsidRPr="00D947C3">
        <w:t xml:space="preserve">statków (przed rokiem odpowiednio </w:t>
      </w:r>
      <w:r>
        <w:t>5</w:t>
      </w:r>
      <w:r w:rsidRPr="00D947C3">
        <w:t xml:space="preserve"> statków).</w:t>
      </w:r>
    </w:p>
    <w:p w14:paraId="59967304" w14:textId="0B5E43AD" w:rsidR="002C27B3" w:rsidRDefault="002C27B3" w:rsidP="002C27B3">
      <w:pPr>
        <w:spacing w:before="0"/>
      </w:pPr>
      <w:r>
        <w:t xml:space="preserve">W </w:t>
      </w:r>
      <w:r w:rsidRPr="00101B40">
        <w:t>202</w:t>
      </w:r>
      <w:r>
        <w:t>5</w:t>
      </w:r>
      <w:r w:rsidRPr="00101B40">
        <w:t xml:space="preserve"> r. w polskich stoczniach wyremontowano </w:t>
      </w:r>
      <w:r>
        <w:t>387</w:t>
      </w:r>
      <w:r w:rsidRPr="00101B40">
        <w:t xml:space="preserve"> jednost</w:t>
      </w:r>
      <w:r>
        <w:t>ek</w:t>
      </w:r>
      <w:r w:rsidRPr="00101B40">
        <w:t xml:space="preserve"> o łącznej pojemności brutto (GT) </w:t>
      </w:r>
      <w:r>
        <w:t>powyżej 4,0 mln</w:t>
      </w:r>
      <w:r w:rsidRPr="00101B40">
        <w:t xml:space="preserve"> (</w:t>
      </w:r>
      <w:r>
        <w:t>przed rokiem –</w:t>
      </w:r>
      <w:r w:rsidRPr="00101B40">
        <w:t xml:space="preserve"> </w:t>
      </w:r>
      <w:r>
        <w:t>403</w:t>
      </w:r>
      <w:r w:rsidRPr="00101B40">
        <w:t xml:space="preserve"> jednost</w:t>
      </w:r>
      <w:r>
        <w:t>ki</w:t>
      </w:r>
      <w:r w:rsidRPr="00101B40">
        <w:t xml:space="preserve"> o łącznej pojemności brutto </w:t>
      </w:r>
      <w:r>
        <w:t xml:space="preserve">powyżej </w:t>
      </w:r>
      <w:r>
        <w:br/>
        <w:t>3,8</w:t>
      </w:r>
      <w:r w:rsidRPr="008F505B">
        <w:t xml:space="preserve"> </w:t>
      </w:r>
      <w:r>
        <w:t>mln</w:t>
      </w:r>
      <w:r w:rsidRPr="00101B40">
        <w:t>)</w:t>
      </w:r>
      <w:r>
        <w:t>.</w:t>
      </w:r>
    </w:p>
    <w:p w14:paraId="2A37E4BC" w14:textId="1BC8082E" w:rsidR="00C72FE0" w:rsidRPr="00D72960" w:rsidRDefault="00C72FE0" w:rsidP="00C72FE0">
      <w:pPr>
        <w:pStyle w:val="Nagwek1"/>
        <w:rPr>
          <w:highlight w:val="yellow"/>
        </w:rPr>
      </w:pPr>
      <w:r w:rsidRPr="00DE0FFB">
        <w:t>Rybołówstwo morskie</w:t>
      </w:r>
    </w:p>
    <w:p w14:paraId="25909568" w14:textId="6F548D56" w:rsidR="00DE0FFB" w:rsidRPr="00DE0FFB" w:rsidRDefault="00DE0FFB" w:rsidP="00DE0FFB">
      <w:pPr>
        <w:rPr>
          <w:noProof/>
        </w:rPr>
      </w:pPr>
      <w:r w:rsidRPr="00DE0FFB">
        <w:rPr>
          <w:noProof/>
        </w:rPr>
        <w:t xml:space="preserve">Według stanu na koniec </w:t>
      </w:r>
      <w:r w:rsidR="00534602" w:rsidRPr="00DE0FFB">
        <w:rPr>
          <w:noProof/>
        </w:rPr>
        <w:t>202</w:t>
      </w:r>
      <w:r w:rsidR="00534602">
        <w:rPr>
          <w:noProof/>
        </w:rPr>
        <w:t>5</w:t>
      </w:r>
      <w:r w:rsidR="00534602" w:rsidRPr="00DE0FFB">
        <w:rPr>
          <w:noProof/>
        </w:rPr>
        <w:t xml:space="preserve"> </w:t>
      </w:r>
      <w:r w:rsidRPr="00DE0FFB">
        <w:rPr>
          <w:noProof/>
        </w:rPr>
        <w:t xml:space="preserve">r. polska flota rybacka liczyła </w:t>
      </w:r>
      <w:r w:rsidR="00534602">
        <w:rPr>
          <w:noProof/>
        </w:rPr>
        <w:t>663</w:t>
      </w:r>
      <w:r w:rsidR="00534602" w:rsidRPr="00DE0FFB">
        <w:rPr>
          <w:noProof/>
        </w:rPr>
        <w:t xml:space="preserve"> </w:t>
      </w:r>
      <w:r w:rsidRPr="00DE0FFB">
        <w:rPr>
          <w:noProof/>
        </w:rPr>
        <w:t>statk</w:t>
      </w:r>
      <w:r w:rsidR="00984FE2">
        <w:rPr>
          <w:noProof/>
        </w:rPr>
        <w:t>i</w:t>
      </w:r>
      <w:r w:rsidRPr="00DE0FFB">
        <w:rPr>
          <w:noProof/>
        </w:rPr>
        <w:t xml:space="preserve"> i łodzi</w:t>
      </w:r>
      <w:r w:rsidR="00984FE2">
        <w:rPr>
          <w:noProof/>
        </w:rPr>
        <w:t>e</w:t>
      </w:r>
      <w:r w:rsidRPr="00DE0FFB">
        <w:rPr>
          <w:noProof/>
        </w:rPr>
        <w:t xml:space="preserve"> (o </w:t>
      </w:r>
      <w:r w:rsidR="00534602">
        <w:rPr>
          <w:noProof/>
        </w:rPr>
        <w:t>8,0</w:t>
      </w:r>
      <w:r w:rsidRPr="00DE0FFB">
        <w:rPr>
          <w:noProof/>
        </w:rPr>
        <w:t xml:space="preserve">% mniej </w:t>
      </w:r>
      <w:r w:rsidRPr="00DE0FFB">
        <w:rPr>
          <w:noProof/>
        </w:rPr>
        <w:br/>
        <w:t>w po</w:t>
      </w:r>
      <w:r w:rsidRPr="000B75B6">
        <w:rPr>
          <w:noProof/>
          <w:spacing w:val="-4"/>
        </w:rPr>
        <w:t xml:space="preserve">równaniu z </w:t>
      </w:r>
      <w:r w:rsidR="00534602" w:rsidRPr="000B75B6">
        <w:rPr>
          <w:noProof/>
          <w:spacing w:val="-4"/>
        </w:rPr>
        <w:t xml:space="preserve">2024 </w:t>
      </w:r>
      <w:r w:rsidRPr="000B75B6">
        <w:rPr>
          <w:noProof/>
          <w:spacing w:val="-4"/>
        </w:rPr>
        <w:t xml:space="preserve">r.) o łącznej pojemności brutto (GT) </w:t>
      </w:r>
      <w:r w:rsidR="00534602" w:rsidRPr="000B75B6">
        <w:rPr>
          <w:noProof/>
          <w:spacing w:val="-4"/>
        </w:rPr>
        <w:t>33,1</w:t>
      </w:r>
      <w:r w:rsidRPr="000B75B6">
        <w:rPr>
          <w:noProof/>
          <w:spacing w:val="-4"/>
        </w:rPr>
        <w:t xml:space="preserve"> tys. (o </w:t>
      </w:r>
      <w:r w:rsidR="00534602" w:rsidRPr="000B75B6">
        <w:rPr>
          <w:noProof/>
          <w:spacing w:val="-4"/>
        </w:rPr>
        <w:t>2,6</w:t>
      </w:r>
      <w:r w:rsidRPr="000B75B6">
        <w:rPr>
          <w:noProof/>
          <w:spacing w:val="-4"/>
        </w:rPr>
        <w:t>% mniejszej</w:t>
      </w:r>
      <w:r w:rsidR="00B245A1" w:rsidRPr="000B75B6">
        <w:rPr>
          <w:noProof/>
          <w:spacing w:val="-4"/>
        </w:rPr>
        <w:t xml:space="preserve"> </w:t>
      </w:r>
      <w:r w:rsidRPr="000B75B6">
        <w:rPr>
          <w:noProof/>
          <w:spacing w:val="-4"/>
        </w:rPr>
        <w:t xml:space="preserve">w porównaniu </w:t>
      </w:r>
      <w:r w:rsidRPr="00DE0FFB">
        <w:rPr>
          <w:noProof/>
        </w:rPr>
        <w:t xml:space="preserve">z rokiem poprzednim) oraz o mocy </w:t>
      </w:r>
      <w:r w:rsidR="00534602">
        <w:rPr>
          <w:noProof/>
        </w:rPr>
        <w:t>72,1</w:t>
      </w:r>
      <w:r w:rsidRPr="00DE0FFB">
        <w:rPr>
          <w:noProof/>
        </w:rPr>
        <w:t xml:space="preserve"> tys. kW (o </w:t>
      </w:r>
      <w:r w:rsidR="00534602">
        <w:rPr>
          <w:noProof/>
        </w:rPr>
        <w:t>5,5</w:t>
      </w:r>
      <w:r w:rsidRPr="00DE0FFB">
        <w:rPr>
          <w:noProof/>
        </w:rPr>
        <w:t xml:space="preserve">% mniejszej). </w:t>
      </w:r>
    </w:p>
    <w:p w14:paraId="11FF67E3" w14:textId="2114A41D" w:rsidR="00C72FE0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 xml:space="preserve">W skład polskiej floty rybackiej wchodziły 2 trawlery, </w:t>
      </w:r>
      <w:r w:rsidR="00534602" w:rsidRPr="00DE0FFB">
        <w:rPr>
          <w:shd w:val="clear" w:color="auto" w:fill="FFFFFF"/>
        </w:rPr>
        <w:t>10</w:t>
      </w:r>
      <w:r w:rsidR="00534602">
        <w:rPr>
          <w:shd w:val="clear" w:color="auto" w:fill="FFFFFF"/>
        </w:rPr>
        <w:t>2</w:t>
      </w:r>
      <w:r w:rsidR="00534602" w:rsidRPr="00DE0FFB">
        <w:rPr>
          <w:shd w:val="clear" w:color="auto" w:fill="FFFFFF"/>
        </w:rPr>
        <w:t xml:space="preserve"> kutr</w:t>
      </w:r>
      <w:r w:rsidR="00534602">
        <w:rPr>
          <w:shd w:val="clear" w:color="auto" w:fill="FFFFFF"/>
        </w:rPr>
        <w:t>y</w:t>
      </w:r>
      <w:r w:rsidR="00534602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 xml:space="preserve">oraz </w:t>
      </w:r>
      <w:r w:rsidR="00534602">
        <w:rPr>
          <w:shd w:val="clear" w:color="auto" w:fill="FFFFFF"/>
        </w:rPr>
        <w:t xml:space="preserve">559 </w:t>
      </w:r>
      <w:r w:rsidRPr="00DE0FFB">
        <w:rPr>
          <w:shd w:val="clear" w:color="auto" w:fill="FFFFFF"/>
        </w:rPr>
        <w:t>łodzi. Dla trawlerów portem macierzystym pozostała Gdynia. Większość kutrów (</w:t>
      </w:r>
      <w:r w:rsidR="00534602">
        <w:rPr>
          <w:shd w:val="clear" w:color="auto" w:fill="FFFFFF"/>
        </w:rPr>
        <w:t>74,5</w:t>
      </w:r>
      <w:r w:rsidRPr="00DE0FFB">
        <w:rPr>
          <w:shd w:val="clear" w:color="auto" w:fill="FFFFFF"/>
        </w:rPr>
        <w:t xml:space="preserve">%) stacjonowała w województwie pomorskim, a pozostałe – w zachodniopomorskim. </w:t>
      </w:r>
      <w:r w:rsidRPr="00DE0FFB">
        <w:rPr>
          <w:shd w:val="clear" w:color="auto" w:fill="FFFFFF"/>
        </w:rPr>
        <w:br/>
        <w:t>Ło</w:t>
      </w:r>
      <w:r w:rsidRPr="00DE0FFB">
        <w:rPr>
          <w:spacing w:val="-2"/>
        </w:rPr>
        <w:t xml:space="preserve">dzie rybackie natomiast stacjonowały we wszystkich województwach nadbałtyckich: </w:t>
      </w:r>
      <w:r w:rsidRPr="00DE0FFB">
        <w:rPr>
          <w:spacing w:val="-2"/>
        </w:rPr>
        <w:br/>
        <w:t>pomorskim (</w:t>
      </w:r>
      <w:r w:rsidR="00534602">
        <w:rPr>
          <w:spacing w:val="-2"/>
        </w:rPr>
        <w:t>47,2</w:t>
      </w:r>
      <w:r w:rsidRPr="00DE0FFB">
        <w:rPr>
          <w:spacing w:val="-2"/>
        </w:rPr>
        <w:t xml:space="preserve">% </w:t>
      </w:r>
      <w:r w:rsidRPr="00DE0FFB">
        <w:t>łącznej liczby polskich łodzi rybackich</w:t>
      </w:r>
      <w:r w:rsidRPr="00DE0FFB">
        <w:rPr>
          <w:spacing w:val="-2"/>
        </w:rPr>
        <w:t>),</w:t>
      </w:r>
      <w:r w:rsidRPr="00DE0FFB">
        <w:t xml:space="preserve"> zachodniopomorskim (</w:t>
      </w:r>
      <w:r w:rsidR="00534602">
        <w:t>39,9</w:t>
      </w:r>
      <w:r w:rsidRPr="00DE0FFB">
        <w:t xml:space="preserve">%) </w:t>
      </w:r>
      <w:r w:rsidRPr="00DE0FFB">
        <w:br/>
        <w:t>oraz warmińsko-mazurskim (</w:t>
      </w:r>
      <w:r w:rsidR="00534602">
        <w:t>12,9</w:t>
      </w:r>
      <w:r w:rsidRPr="00DE0FFB">
        <w:t>%).</w:t>
      </w:r>
    </w:p>
    <w:p w14:paraId="26DDB955" w14:textId="397D39A8" w:rsidR="00FC5688" w:rsidRPr="00D72960" w:rsidRDefault="00FC5688" w:rsidP="00171AB1">
      <w:pPr>
        <w:rPr>
          <w:highlight w:val="yellow"/>
          <w:shd w:val="clear" w:color="auto" w:fill="FFFFFF"/>
        </w:rPr>
      </w:pPr>
    </w:p>
    <w:p w14:paraId="231BA68E" w14:textId="77777777" w:rsidR="00FC5688" w:rsidRPr="00D72960" w:rsidRDefault="00FC5688" w:rsidP="00171AB1">
      <w:pPr>
        <w:rPr>
          <w:highlight w:val="yellow"/>
          <w:shd w:val="clear" w:color="auto" w:fill="FFFFFF"/>
        </w:rPr>
      </w:pPr>
    </w:p>
    <w:p w14:paraId="0BEEB8A1" w14:textId="4DDAB252" w:rsidR="00171AB1" w:rsidRPr="00D72960" w:rsidRDefault="00171AB1" w:rsidP="00171AB1">
      <w:pPr>
        <w:rPr>
          <w:highlight w:val="yellow"/>
          <w:shd w:val="clear" w:color="auto" w:fill="FFFFFF"/>
        </w:rPr>
      </w:pPr>
      <w:r w:rsidRPr="00D72960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8F5B56" wp14:editId="150B0EF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684301" id="Łącznik prosty 2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602DA884" w14:textId="5E3E7E1C" w:rsidR="00171AB1" w:rsidRPr="00DE0FFB" w:rsidRDefault="00171AB1" w:rsidP="00171AB1">
      <w:pPr>
        <w:pStyle w:val="Przypis0"/>
        <w:rPr>
          <w:sz w:val="19"/>
          <w:lang w:val="pl-PL"/>
        </w:rPr>
      </w:pPr>
      <w:r w:rsidRPr="00DE0FFB">
        <w:rPr>
          <w:sz w:val="19"/>
          <w:vertAlign w:val="superscript"/>
          <w:lang w:val="pl-PL"/>
        </w:rPr>
        <w:t>1</w:t>
      </w:r>
      <w:r w:rsidRPr="00DE0FFB">
        <w:rPr>
          <w:sz w:val="19"/>
          <w:lang w:val="pl-PL"/>
        </w:rPr>
        <w:t xml:space="preserve"> Na podstawie danych Centrum Techniki Okrętowej S.A. w</w:t>
      </w:r>
      <w:r w:rsidR="00331214" w:rsidRPr="00DE0FFB">
        <w:rPr>
          <w:sz w:val="19"/>
          <w:lang w:val="pl-PL"/>
        </w:rPr>
        <w:t xml:space="preserve"> Gdańsku.</w:t>
      </w:r>
    </w:p>
    <w:p w14:paraId="5ABF9730" w14:textId="0DF42DF0" w:rsidR="00F60D24" w:rsidRPr="00DE0FFB" w:rsidRDefault="00DE0FFB" w:rsidP="00DE0FFB">
      <w:pPr>
        <w:rPr>
          <w:shd w:val="clear" w:color="auto" w:fill="FFFFFF"/>
        </w:rPr>
      </w:pPr>
      <w:r w:rsidRPr="00DE0FFB">
        <w:rPr>
          <w:strike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19E1B521" wp14:editId="0B392FF5">
                <wp:simplePos x="0" y="0"/>
                <wp:positionH relativeFrom="page">
                  <wp:align>right</wp:align>
                </wp:positionH>
                <wp:positionV relativeFrom="page">
                  <wp:posOffset>572135</wp:posOffset>
                </wp:positionV>
                <wp:extent cx="1846800" cy="900000"/>
                <wp:effectExtent l="0" t="0" r="0" b="0"/>
                <wp:wrapTight wrapText="bothSides">
                  <wp:wrapPolygon edited="0">
                    <wp:start x="669" y="0"/>
                    <wp:lineTo x="669" y="21036"/>
                    <wp:lineTo x="20724" y="21036"/>
                    <wp:lineTo x="20724" y="0"/>
                    <wp:lineTo x="669" y="0"/>
                  </wp:wrapPolygon>
                </wp:wrapTight>
                <wp:docPr id="34" name="Pole tekstowe 34" descr="Połowy ryb i bezkręgowców pozyskane w wodach morskich były o 13,2%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8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DD78E" w14:textId="5AE7FC42" w:rsidR="00AE5EA4" w:rsidRPr="00BE19A6" w:rsidRDefault="009154BB" w:rsidP="00AE5EA4">
                            <w:pPr>
                              <w:pStyle w:val="tekstzboku"/>
                              <w:spacing w:before="0"/>
                            </w:pP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Połowy ryb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 xml:space="preserve">i bezkręgowców 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>po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 xml:space="preserve">zyskane w wodach morskich 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były o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13,2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wyższe</w:t>
                            </w:r>
                            <w:r w:rsidRPr="00BE19A6">
                              <w:rPr>
                                <w:noProof/>
                                <w:szCs w:val="19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B521" id="Pole tekstowe 34" o:spid="_x0000_s1036" type="#_x0000_t202" alt="Połowy ryb i bezkręgowców pozyskane w wodach morskich były o 13,2% wyższe niż przed rokiem" style="position:absolute;margin-left:94.2pt;margin-top:45.05pt;width:145.4pt;height:70.85pt;z-index:-2515752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" filled="f" stroked="f">
                <v:textbox>
                  <w:txbxContent>
                    <w:p w14:paraId="607DD78E" w14:textId="5AE7FC42" w:rsidR="00AE5EA4" w:rsidRPr="00BE19A6" w:rsidRDefault="009154BB" w:rsidP="00AE5EA4">
                      <w:pPr>
                        <w:pStyle w:val="tekstzboku"/>
                        <w:spacing w:before="0"/>
                      </w:pPr>
                      <w:r w:rsidRPr="00BE19A6">
                        <w:rPr>
                          <w:noProof/>
                          <w:szCs w:val="19"/>
                        </w:rPr>
                        <w:t xml:space="preserve">Połowy ryb </w:t>
                      </w:r>
                      <w:r>
                        <w:rPr>
                          <w:noProof/>
                          <w:szCs w:val="19"/>
                        </w:rPr>
                        <w:t xml:space="preserve">i bezkręgowców </w:t>
                      </w:r>
                      <w:r w:rsidRPr="00BE19A6">
                        <w:rPr>
                          <w:noProof/>
                          <w:szCs w:val="19"/>
                        </w:rPr>
                        <w:t>po</w:t>
                      </w:r>
                      <w:r>
                        <w:rPr>
                          <w:noProof/>
                          <w:szCs w:val="19"/>
                        </w:rPr>
                        <w:t xml:space="preserve">zyskane w wodach morskich 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były o </w:t>
                      </w:r>
                      <w:r>
                        <w:rPr>
                          <w:noProof/>
                          <w:szCs w:val="19"/>
                        </w:rPr>
                        <w:t>13,2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% </w:t>
                      </w:r>
                      <w:r>
                        <w:rPr>
                          <w:noProof/>
                          <w:szCs w:val="19"/>
                        </w:rPr>
                        <w:t>wyższe</w:t>
                      </w:r>
                      <w:r w:rsidRPr="00BE19A6">
                        <w:rPr>
                          <w:noProof/>
                          <w:szCs w:val="19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DE0FFB">
        <w:rPr>
          <w:shd w:val="clear" w:color="auto" w:fill="FFFFFF"/>
        </w:rPr>
        <w:t>W 202</w:t>
      </w:r>
      <w:r w:rsidR="00534602">
        <w:rPr>
          <w:shd w:val="clear" w:color="auto" w:fill="FFFFFF"/>
        </w:rPr>
        <w:t>5</w:t>
      </w:r>
      <w:r w:rsidRPr="00DE0FFB">
        <w:rPr>
          <w:shd w:val="clear" w:color="auto" w:fill="FFFFFF"/>
        </w:rPr>
        <w:t xml:space="preserve"> r. z łowisk bałtyckich pozyskano </w:t>
      </w:r>
      <w:r w:rsidR="00534602">
        <w:rPr>
          <w:shd w:val="clear" w:color="auto" w:fill="FFFFFF"/>
        </w:rPr>
        <w:t>71,6</w:t>
      </w:r>
      <w:r w:rsidRPr="00DE0FFB">
        <w:rPr>
          <w:shd w:val="clear" w:color="auto" w:fill="FFFFFF"/>
        </w:rPr>
        <w:t xml:space="preserve"> tys. ton ryb (stanowiących </w:t>
      </w:r>
      <w:r w:rsidR="00534602">
        <w:rPr>
          <w:shd w:val="clear" w:color="auto" w:fill="FFFFFF"/>
        </w:rPr>
        <w:t>48,3</w:t>
      </w:r>
      <w:r w:rsidRPr="00DE0FFB">
        <w:rPr>
          <w:shd w:val="clear" w:color="auto" w:fill="FFFFFF"/>
        </w:rPr>
        <w:t xml:space="preserve">% łącznej masy połowów), czyli o </w:t>
      </w:r>
      <w:r w:rsidR="00534602">
        <w:rPr>
          <w:shd w:val="clear" w:color="auto" w:fill="FFFFFF"/>
        </w:rPr>
        <w:t>5,1</w:t>
      </w:r>
      <w:r w:rsidRPr="00DE0FFB">
        <w:rPr>
          <w:shd w:val="clear" w:color="auto" w:fill="FFFFFF"/>
        </w:rPr>
        <w:t xml:space="preserve">% mniej w porównaniu z </w:t>
      </w:r>
      <w:r w:rsidR="00534602" w:rsidRPr="00DE0FFB">
        <w:rPr>
          <w:shd w:val="clear" w:color="auto" w:fill="FFFFFF"/>
        </w:rPr>
        <w:t>202</w:t>
      </w:r>
      <w:r w:rsidR="00534602">
        <w:rPr>
          <w:shd w:val="clear" w:color="auto" w:fill="FFFFFF"/>
        </w:rPr>
        <w:t>4</w:t>
      </w:r>
      <w:r w:rsidR="00534602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 xml:space="preserve">r. Poza Morzem Bałtyckim polscy rybacy </w:t>
      </w:r>
      <w:r w:rsidRPr="000B75B6">
        <w:rPr>
          <w:spacing w:val="-2"/>
          <w:shd w:val="clear" w:color="auto" w:fill="FFFFFF"/>
        </w:rPr>
        <w:t xml:space="preserve">prowadzili działalność połowową na akwenach Atlantyku północno-wschodniego </w:t>
      </w:r>
      <w:r w:rsidR="00534602" w:rsidRPr="000B75B6">
        <w:rPr>
          <w:spacing w:val="-2"/>
          <w:shd w:val="clear" w:color="auto" w:fill="FFFFFF"/>
        </w:rPr>
        <w:t xml:space="preserve">oraz </w:t>
      </w:r>
      <w:r w:rsidRPr="000B75B6">
        <w:rPr>
          <w:spacing w:val="-2"/>
          <w:shd w:val="clear" w:color="auto" w:fill="FFFFFF"/>
        </w:rPr>
        <w:t>Pacyfiku</w:t>
      </w:r>
      <w:r w:rsidRPr="00DE0FFB">
        <w:rPr>
          <w:shd w:val="clear" w:color="auto" w:fill="FFFFFF"/>
        </w:rPr>
        <w:t xml:space="preserve"> </w:t>
      </w:r>
      <w:r w:rsidR="009A2476" w:rsidRPr="000B75B6">
        <w:rPr>
          <w:spacing w:val="-2"/>
          <w:shd w:val="clear" w:color="auto" w:fill="FFFFFF"/>
        </w:rPr>
        <w:t>p</w:t>
      </w:r>
      <w:r w:rsidR="00534602" w:rsidRPr="000B75B6">
        <w:rPr>
          <w:spacing w:val="-2"/>
          <w:shd w:val="clear" w:color="auto" w:fill="FFFFFF"/>
        </w:rPr>
        <w:t>ołudniowego</w:t>
      </w:r>
      <w:r w:rsidRPr="000B75B6">
        <w:rPr>
          <w:spacing w:val="-2"/>
          <w:shd w:val="clear" w:color="auto" w:fill="FFFFFF"/>
        </w:rPr>
        <w:t>. Połowy dalekomorskie</w:t>
      </w:r>
      <w:r w:rsidR="00534602" w:rsidRPr="000B75B6">
        <w:rPr>
          <w:spacing w:val="-2"/>
          <w:shd w:val="clear" w:color="auto" w:fill="FFFFFF"/>
        </w:rPr>
        <w:t xml:space="preserve"> były o 38,3% wyższe niż przed rokiem</w:t>
      </w:r>
      <w:r w:rsidRPr="000B75B6">
        <w:rPr>
          <w:spacing w:val="-2"/>
          <w:shd w:val="clear" w:color="auto" w:fill="FFFFFF"/>
        </w:rPr>
        <w:t xml:space="preserve"> </w:t>
      </w:r>
      <w:r w:rsidR="00534602" w:rsidRPr="000B75B6">
        <w:rPr>
          <w:spacing w:val="-2"/>
          <w:shd w:val="clear" w:color="auto" w:fill="FFFFFF"/>
        </w:rPr>
        <w:t xml:space="preserve">i osiągnęły </w:t>
      </w:r>
      <w:r w:rsidR="0030204C" w:rsidRPr="000B75B6">
        <w:rPr>
          <w:spacing w:val="-2"/>
          <w:shd w:val="clear" w:color="auto" w:fill="FFFFFF"/>
        </w:rPr>
        <w:t>poziom</w:t>
      </w:r>
      <w:r w:rsidR="00534602" w:rsidRPr="00DE0FFB">
        <w:rPr>
          <w:shd w:val="clear" w:color="auto" w:fill="FFFFFF"/>
        </w:rPr>
        <w:t xml:space="preserve"> </w:t>
      </w:r>
      <w:r w:rsidR="0030204C">
        <w:rPr>
          <w:shd w:val="clear" w:color="auto" w:fill="FFFFFF"/>
        </w:rPr>
        <w:t>76,5</w:t>
      </w:r>
      <w:r w:rsidRPr="00DE0FFB">
        <w:rPr>
          <w:shd w:val="clear" w:color="auto" w:fill="FFFFFF"/>
        </w:rPr>
        <w:t xml:space="preserve"> tys. ton.</w:t>
      </w:r>
    </w:p>
    <w:p w14:paraId="6536D41C" w14:textId="6B931917" w:rsidR="00DE0FFB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>W strukturze gatunkowej połowów</w:t>
      </w:r>
      <w:r w:rsidR="00E66A8A">
        <w:rPr>
          <w:shd w:val="clear" w:color="auto" w:fill="FFFFFF"/>
        </w:rPr>
        <w:t xml:space="preserve"> </w:t>
      </w:r>
      <w:r w:rsidR="007A1A22" w:rsidRPr="00DE0FFB">
        <w:rPr>
          <w:shd w:val="clear" w:color="auto" w:fill="FFFFFF"/>
        </w:rPr>
        <w:t>na łowiskach bałtyckich</w:t>
      </w:r>
      <w:r w:rsidR="007A1A22" w:rsidRPr="007A1A22">
        <w:t xml:space="preserve"> </w:t>
      </w:r>
      <w:r w:rsidR="007A1A22" w:rsidRPr="007A1A22">
        <w:rPr>
          <w:shd w:val="clear" w:color="auto" w:fill="FFFFFF"/>
        </w:rPr>
        <w:t>utrzymała się dominacja szprota</w:t>
      </w:r>
      <w:r w:rsidRPr="00DE0FFB">
        <w:rPr>
          <w:shd w:val="clear" w:color="auto" w:fill="FFFFFF"/>
        </w:rPr>
        <w:t xml:space="preserve">. W </w:t>
      </w:r>
      <w:r w:rsidR="007A1A22" w:rsidRPr="00DE0FFB">
        <w:rPr>
          <w:shd w:val="clear" w:color="auto" w:fill="FFFFFF"/>
        </w:rPr>
        <w:t>202</w:t>
      </w:r>
      <w:r w:rsidR="007A1A22">
        <w:rPr>
          <w:shd w:val="clear" w:color="auto" w:fill="FFFFFF"/>
        </w:rPr>
        <w:t>5</w:t>
      </w:r>
      <w:r w:rsidR="007A1A22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 xml:space="preserve">r. </w:t>
      </w:r>
      <w:r w:rsidR="00834DD8">
        <w:rPr>
          <w:shd w:val="clear" w:color="auto" w:fill="FFFFFF"/>
        </w:rPr>
        <w:t>jego</w:t>
      </w:r>
      <w:r w:rsidR="007A1A22">
        <w:rPr>
          <w:shd w:val="clear" w:color="auto" w:fill="FFFFFF"/>
        </w:rPr>
        <w:t xml:space="preserve"> połowy wyniosły 41,0</w:t>
      </w:r>
      <w:r w:rsidRPr="00DE0FFB">
        <w:rPr>
          <w:shd w:val="clear" w:color="auto" w:fill="FFFFFF"/>
        </w:rPr>
        <w:t xml:space="preserve"> tys. ton, co stanowiło </w:t>
      </w:r>
      <w:r w:rsidR="007A1A22">
        <w:rPr>
          <w:shd w:val="clear" w:color="auto" w:fill="FFFFFF"/>
        </w:rPr>
        <w:t>60,4</w:t>
      </w:r>
      <w:r w:rsidRPr="00DE0FFB">
        <w:rPr>
          <w:shd w:val="clear" w:color="auto" w:fill="FFFFFF"/>
        </w:rPr>
        <w:t xml:space="preserve">% łącznej masy </w:t>
      </w:r>
      <w:r w:rsidR="007A1A22">
        <w:rPr>
          <w:shd w:val="clear" w:color="auto" w:fill="FFFFFF"/>
        </w:rPr>
        <w:t>połowów</w:t>
      </w:r>
      <w:r w:rsidR="00E66A8A">
        <w:rPr>
          <w:shd w:val="clear" w:color="auto" w:fill="FFFFFF"/>
        </w:rPr>
        <w:t xml:space="preserve"> ryb morskich</w:t>
      </w:r>
      <w:r w:rsidR="007A1A22">
        <w:rPr>
          <w:shd w:val="clear" w:color="auto" w:fill="FFFFFF"/>
        </w:rPr>
        <w:t>.</w:t>
      </w:r>
    </w:p>
    <w:p w14:paraId="03741376" w14:textId="539ACA72" w:rsidR="00DE0FFB" w:rsidRPr="00DE0FFB" w:rsidRDefault="00DE0FFB" w:rsidP="00DE0FFB">
      <w:pPr>
        <w:rPr>
          <w:shd w:val="clear" w:color="auto" w:fill="FFFFFF"/>
        </w:rPr>
      </w:pPr>
      <w:r w:rsidRPr="00DE0FFB">
        <w:rPr>
          <w:shd w:val="clear" w:color="auto" w:fill="FFFFFF"/>
        </w:rPr>
        <w:t xml:space="preserve">Wśród </w:t>
      </w:r>
      <w:r w:rsidR="00B97BE5">
        <w:rPr>
          <w:shd w:val="clear" w:color="auto" w:fill="FFFFFF"/>
        </w:rPr>
        <w:t xml:space="preserve">organizmów </w:t>
      </w:r>
      <w:r w:rsidRPr="00DE0FFB">
        <w:rPr>
          <w:shd w:val="clear" w:color="auto" w:fill="FFFFFF"/>
        </w:rPr>
        <w:t xml:space="preserve">poławianych na Bałtyku i zalewach oprócz ryb morskich pozyskiwano </w:t>
      </w:r>
      <w:r w:rsidRPr="00DE0FFB">
        <w:rPr>
          <w:spacing w:val="-2"/>
          <w:shd w:val="clear" w:color="auto" w:fill="FFFFFF"/>
        </w:rPr>
        <w:t>również gatunki typowe dla wód słodkich i słonawych (ryby słodkowodne i dwuśrodowiskowe),</w:t>
      </w:r>
      <w:r w:rsidRPr="00DE0FFB">
        <w:rPr>
          <w:shd w:val="clear" w:color="auto" w:fill="FFFFFF"/>
        </w:rPr>
        <w:t xml:space="preserve"> których łączna masa w </w:t>
      </w:r>
      <w:r w:rsidR="007A1A22" w:rsidRPr="00DE0FFB">
        <w:rPr>
          <w:shd w:val="clear" w:color="auto" w:fill="FFFFFF"/>
        </w:rPr>
        <w:t>202</w:t>
      </w:r>
      <w:r w:rsidR="007A1A22">
        <w:rPr>
          <w:shd w:val="clear" w:color="auto" w:fill="FFFFFF"/>
        </w:rPr>
        <w:t>5</w:t>
      </w:r>
      <w:r w:rsidR="007A1A22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>r. wyniosła 3,</w:t>
      </w:r>
      <w:r w:rsidR="007A1A22">
        <w:rPr>
          <w:shd w:val="clear" w:color="auto" w:fill="FFFFFF"/>
        </w:rPr>
        <w:t>6</w:t>
      </w:r>
      <w:r w:rsidR="007A1A22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 xml:space="preserve">tys. ton. </w:t>
      </w:r>
      <w:r w:rsidR="00B97BE5">
        <w:rPr>
          <w:shd w:val="clear" w:color="auto" w:fill="FFFFFF"/>
        </w:rPr>
        <w:t>Największy udział</w:t>
      </w:r>
      <w:r w:rsidRPr="00DE0FFB">
        <w:rPr>
          <w:shd w:val="clear" w:color="auto" w:fill="FFFFFF"/>
        </w:rPr>
        <w:t xml:space="preserve"> w tej grupie </w:t>
      </w:r>
      <w:r w:rsidR="00B97BE5">
        <w:rPr>
          <w:shd w:val="clear" w:color="auto" w:fill="FFFFFF"/>
        </w:rPr>
        <w:t>miał</w:t>
      </w:r>
      <w:r w:rsidR="00B97BE5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 xml:space="preserve">leszcz, którego połowy stanowiły </w:t>
      </w:r>
      <w:r w:rsidR="007A1A22">
        <w:rPr>
          <w:shd w:val="clear" w:color="auto" w:fill="FFFFFF"/>
        </w:rPr>
        <w:t>44,1</w:t>
      </w:r>
      <w:r w:rsidRPr="00DE0FFB">
        <w:rPr>
          <w:shd w:val="clear" w:color="auto" w:fill="FFFFFF"/>
        </w:rPr>
        <w:t xml:space="preserve">% łącznej masy ryb dwuśrodowiskowych i słodkowodnych, </w:t>
      </w:r>
      <w:r w:rsidR="00E41155">
        <w:rPr>
          <w:shd w:val="clear" w:color="auto" w:fill="FFFFFF"/>
        </w:rPr>
        <w:br/>
      </w:r>
      <w:r w:rsidRPr="00DE0FFB">
        <w:rPr>
          <w:shd w:val="clear" w:color="auto" w:fill="FFFFFF"/>
        </w:rPr>
        <w:t>następnie</w:t>
      </w:r>
      <w:r w:rsidR="007A1A22" w:rsidRPr="007A1A22">
        <w:rPr>
          <w:shd w:val="clear" w:color="auto" w:fill="FFFFFF"/>
        </w:rPr>
        <w:t xml:space="preserve"> </w:t>
      </w:r>
      <w:r w:rsidR="007A1A22" w:rsidRPr="00DE0FFB">
        <w:rPr>
          <w:shd w:val="clear" w:color="auto" w:fill="FFFFFF"/>
        </w:rPr>
        <w:t>okoń (</w:t>
      </w:r>
      <w:r w:rsidR="007A1A22">
        <w:rPr>
          <w:shd w:val="clear" w:color="auto" w:fill="FFFFFF"/>
        </w:rPr>
        <w:t>26,1</w:t>
      </w:r>
      <w:r w:rsidR="007A1A22" w:rsidRPr="00DE0FFB">
        <w:rPr>
          <w:shd w:val="clear" w:color="auto" w:fill="FFFFFF"/>
        </w:rPr>
        <w:t>%)</w:t>
      </w:r>
      <w:r w:rsidRPr="00DE0FFB">
        <w:rPr>
          <w:shd w:val="clear" w:color="auto" w:fill="FFFFFF"/>
        </w:rPr>
        <w:t xml:space="preserve"> </w:t>
      </w:r>
      <w:r w:rsidR="007A1A22" w:rsidRPr="00DE0FFB">
        <w:rPr>
          <w:shd w:val="clear" w:color="auto" w:fill="FFFFFF"/>
        </w:rPr>
        <w:t xml:space="preserve">oraz </w:t>
      </w:r>
      <w:r w:rsidRPr="00DE0FFB">
        <w:rPr>
          <w:shd w:val="clear" w:color="auto" w:fill="FFFFFF"/>
        </w:rPr>
        <w:t>płoć (</w:t>
      </w:r>
      <w:r w:rsidR="007A1A22">
        <w:rPr>
          <w:shd w:val="clear" w:color="auto" w:fill="FFFFFF"/>
        </w:rPr>
        <w:t>17,2</w:t>
      </w:r>
      <w:r w:rsidRPr="00DE0FFB">
        <w:rPr>
          <w:shd w:val="clear" w:color="auto" w:fill="FFFFFF"/>
        </w:rPr>
        <w:t>%).</w:t>
      </w:r>
    </w:p>
    <w:p w14:paraId="11AA6126" w14:textId="6E5B67F4" w:rsidR="00AF6386" w:rsidRPr="00D72960" w:rsidRDefault="00DE0FFB" w:rsidP="00DE0FFB">
      <w:pPr>
        <w:rPr>
          <w:highlight w:val="yellow"/>
          <w:shd w:val="clear" w:color="auto" w:fill="FFFFFF"/>
        </w:rPr>
      </w:pPr>
      <w:r w:rsidRPr="00DE0FFB">
        <w:rPr>
          <w:shd w:val="clear" w:color="auto" w:fill="FFFFFF"/>
        </w:rPr>
        <w:t xml:space="preserve">W połowach dalekomorskich w </w:t>
      </w:r>
      <w:r w:rsidR="00F07A99" w:rsidRPr="00DE0FFB">
        <w:rPr>
          <w:shd w:val="clear" w:color="auto" w:fill="FFFFFF"/>
        </w:rPr>
        <w:t>202</w:t>
      </w:r>
      <w:r w:rsidR="00F07A99">
        <w:rPr>
          <w:shd w:val="clear" w:color="auto" w:fill="FFFFFF"/>
        </w:rPr>
        <w:t>5</w:t>
      </w:r>
      <w:r w:rsidR="00F07A99" w:rsidRPr="00DE0FFB">
        <w:rPr>
          <w:shd w:val="clear" w:color="auto" w:fill="FFFFFF"/>
        </w:rPr>
        <w:t xml:space="preserve"> </w:t>
      </w:r>
      <w:r w:rsidRPr="00DE0FFB">
        <w:rPr>
          <w:shd w:val="clear" w:color="auto" w:fill="FFFFFF"/>
        </w:rPr>
        <w:t>r. dominowały błękitek (</w:t>
      </w:r>
      <w:r w:rsidR="00F07A99">
        <w:rPr>
          <w:shd w:val="clear" w:color="auto" w:fill="FFFFFF"/>
        </w:rPr>
        <w:t>71,4</w:t>
      </w:r>
      <w:r w:rsidRPr="00DE0FFB">
        <w:rPr>
          <w:shd w:val="clear" w:color="auto" w:fill="FFFFFF"/>
        </w:rPr>
        <w:t>%) i ostrobok (</w:t>
      </w:r>
      <w:r w:rsidR="005E1E85">
        <w:rPr>
          <w:shd w:val="clear" w:color="auto" w:fill="FFFFFF"/>
        </w:rPr>
        <w:t>22,7</w:t>
      </w:r>
      <w:r w:rsidRPr="00DE0FFB">
        <w:rPr>
          <w:shd w:val="clear" w:color="auto" w:fill="FFFFFF"/>
        </w:rPr>
        <w:t xml:space="preserve">% łącznej masy ryb i innych organizmów morskich pozyskanych z akwenów atlantyckich i pacyficznych). </w:t>
      </w:r>
    </w:p>
    <w:p w14:paraId="3B80986F" w14:textId="11A06535" w:rsidR="00F60D24" w:rsidRPr="00C57C9D" w:rsidRDefault="00F60D24" w:rsidP="00D10445">
      <w:pPr>
        <w:pStyle w:val="tytuwykresu"/>
        <w:rPr>
          <w:spacing w:val="-2"/>
        </w:rPr>
      </w:pPr>
      <w:r w:rsidRPr="00C57C9D">
        <w:rPr>
          <w:spacing w:val="-2"/>
          <w:szCs w:val="18"/>
        </w:rPr>
        <w:t>Wykres 10.</w:t>
      </w:r>
      <w:r w:rsidRPr="00C57C9D">
        <w:rPr>
          <w:spacing w:val="-2"/>
          <w:szCs w:val="18"/>
          <w:shd w:val="clear" w:color="auto" w:fill="FFFFFF"/>
        </w:rPr>
        <w:t xml:space="preserve"> </w:t>
      </w:r>
      <w:r w:rsidRPr="00C57C9D">
        <w:rPr>
          <w:spacing w:val="-2"/>
        </w:rPr>
        <w:t>Struktura połowów ryb i innych organizmów morskich</w:t>
      </w:r>
      <w:r w:rsidR="00BA6478" w:rsidRPr="00C57C9D">
        <w:rPr>
          <w:spacing w:val="-2"/>
        </w:rPr>
        <w:t xml:space="preserve"> według </w:t>
      </w:r>
      <w:proofErr w:type="spellStart"/>
      <w:r w:rsidR="00BA6478" w:rsidRPr="00C57C9D">
        <w:rPr>
          <w:spacing w:val="-2"/>
        </w:rPr>
        <w:t>gatunków</w:t>
      </w:r>
      <w:r w:rsidR="004C5BA8" w:rsidRPr="00C57C9D">
        <w:rPr>
          <w:spacing w:val="-2"/>
          <w:vertAlign w:val="superscript"/>
        </w:rPr>
        <w:t>a</w:t>
      </w:r>
      <w:proofErr w:type="spellEnd"/>
      <w:r w:rsidRPr="00C57C9D">
        <w:rPr>
          <w:spacing w:val="-2"/>
        </w:rPr>
        <w:t xml:space="preserve"> w </w:t>
      </w:r>
      <w:r w:rsidR="007A1A22" w:rsidRPr="00C57C9D">
        <w:rPr>
          <w:spacing w:val="-2"/>
        </w:rPr>
        <w:t xml:space="preserve">2025 </w:t>
      </w:r>
      <w:r w:rsidRPr="00C57C9D">
        <w:rPr>
          <w:spacing w:val="-2"/>
        </w:rPr>
        <w:t>r.</w:t>
      </w:r>
    </w:p>
    <w:p w14:paraId="789AFDC1" w14:textId="4B5F5002" w:rsidR="003D736A" w:rsidRDefault="003D736A" w:rsidP="000B75B6">
      <w:pPr>
        <w:pStyle w:val="Brakstyluakapitowego"/>
      </w:pPr>
      <w:r>
        <w:rPr>
          <w:noProof/>
        </w:rPr>
        <w:drawing>
          <wp:inline distT="0" distB="0" distL="0" distR="0" wp14:anchorId="228D3AEA" wp14:editId="00C7D43C">
            <wp:extent cx="4376937" cy="2247905"/>
            <wp:effectExtent l="0" t="0" r="5080" b="0"/>
            <wp:docPr id="43" name="Obraz 43" descr="Wykres kołowy&#10;&#10;W 2025 roku w strukturze połowów ryb i innych organizmów morskich szproty stanowiły 27,7%, śledzie – 16,3%, błękitki – 36,9%, ryby płaskie – 1,6%, ostroboki – 11,7%, makrele – 1,5%, a pozostałe – 4,3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kołowy&#10;&#10;W 2025 roku w strukturze połowów ryb i innych organizmów morskich szproty stanowiły 27,7%, śledzie – 16,3%, błękitki – 36,9%, ryby płaskie – 1,6%, ostroboki – 11,7%, makrele – 1,5%, a pozostałe – 4,3%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224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BBBCE" w14:textId="19BF17BA" w:rsidR="00C72945" w:rsidRDefault="00C72945" w:rsidP="00AE524A"/>
    <w:p w14:paraId="2760C2F3" w14:textId="299DED0C" w:rsidR="00C72945" w:rsidRPr="00BF5296" w:rsidRDefault="004C5BA8" w:rsidP="00C72945">
      <w:pPr>
        <w:rPr>
          <w:sz w:val="16"/>
          <w:szCs w:val="16"/>
        </w:rPr>
      </w:pPr>
      <w:r w:rsidRPr="00BF5296">
        <w:rPr>
          <w:sz w:val="16"/>
          <w:szCs w:val="16"/>
        </w:rPr>
        <w:t xml:space="preserve">a </w:t>
      </w:r>
      <w:r w:rsidR="009E7DC0" w:rsidRPr="009E7DC0">
        <w:rPr>
          <w:sz w:val="16"/>
          <w:szCs w:val="16"/>
        </w:rPr>
        <w:t>Morski Instytut Rybacki – Państwowy Instytut Badawczy. Dane wstępne.</w:t>
      </w:r>
    </w:p>
    <w:p w14:paraId="018D9420" w14:textId="3776D259" w:rsidR="002E6CB6" w:rsidRDefault="002E6CB6" w:rsidP="00C72945">
      <w:pPr>
        <w:rPr>
          <w:highlight w:val="yellow"/>
        </w:rPr>
      </w:pPr>
    </w:p>
    <w:p w14:paraId="2F7836F7" w14:textId="77777777" w:rsidR="002E6CB6" w:rsidRPr="00D72960" w:rsidRDefault="002E6CB6" w:rsidP="00C72945">
      <w:pPr>
        <w:rPr>
          <w:highlight w:val="yellow"/>
        </w:rPr>
      </w:pPr>
    </w:p>
    <w:p w14:paraId="1F2A06A0" w14:textId="037BCD05" w:rsidR="00C971E3" w:rsidRDefault="00C971E3" w:rsidP="002E6CB6"/>
    <w:p w14:paraId="7109E1F6" w14:textId="77777777" w:rsidR="00D10445" w:rsidRDefault="00D10445" w:rsidP="002E6CB6"/>
    <w:p w14:paraId="232E8EBC" w14:textId="77777777" w:rsidR="00D10445" w:rsidRDefault="00D10445" w:rsidP="00CD4D9F"/>
    <w:p w14:paraId="4C267938" w14:textId="77777777" w:rsidR="00D10445" w:rsidRDefault="00D10445" w:rsidP="00CD4D9F"/>
    <w:p w14:paraId="7B0538A6" w14:textId="77777777" w:rsidR="00D10445" w:rsidRDefault="00D10445" w:rsidP="00CD4D9F"/>
    <w:p w14:paraId="13E1DA7C" w14:textId="77777777" w:rsidR="00D10445" w:rsidRDefault="00D10445" w:rsidP="00CD4D9F"/>
    <w:p w14:paraId="5A8773A1" w14:textId="77777777" w:rsidR="00D10445" w:rsidRDefault="00D10445" w:rsidP="00CD4D9F"/>
    <w:p w14:paraId="3CA9EA9C" w14:textId="547EBE87" w:rsidR="003F1246" w:rsidRPr="00D72960" w:rsidRDefault="00DA538B" w:rsidP="003F1246">
      <w:pPr>
        <w:rPr>
          <w:spacing w:val="-2"/>
        </w:rPr>
        <w:sectPr w:rsidR="003F1246" w:rsidRPr="00D72960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B0CD8" w14:paraId="3535CB92" w14:textId="77777777" w:rsidTr="00D04587">
        <w:trPr>
          <w:trHeight w:val="1626"/>
        </w:trPr>
        <w:tc>
          <w:tcPr>
            <w:tcW w:w="4926" w:type="dxa"/>
          </w:tcPr>
          <w:p w14:paraId="5D9A40C8" w14:textId="77777777" w:rsidR="001B0CD8" w:rsidRPr="003D1074" w:rsidRDefault="001B0CD8" w:rsidP="001B0CD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1074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1B417E5" w14:textId="77777777" w:rsidR="001B0CD8" w:rsidRPr="003D1074" w:rsidRDefault="001B0CD8" w:rsidP="001B0CD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D1074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C129A05" w14:textId="77777777" w:rsidR="001B0CD8" w:rsidRPr="003D1074" w:rsidRDefault="001B0CD8" w:rsidP="001B0CD8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color w:val="000000" w:themeColor="text1"/>
                <w:sz w:val="22"/>
                <w:szCs w:val="28"/>
              </w:rPr>
            </w:pPr>
            <w:r w:rsidRPr="003D1074">
              <w:rPr>
                <w:b/>
                <w:color w:val="000000" w:themeColor="text1"/>
                <w:sz w:val="20"/>
                <w:lang w:val="fi-FI"/>
              </w:rPr>
              <w:t xml:space="preserve">Dyrektor </w:t>
            </w:r>
            <w:r w:rsidRPr="003D1074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96D9DB7" w14:textId="70AB9F5C" w:rsidR="001B0CD8" w:rsidRPr="003D1074" w:rsidRDefault="001B0CD8" w:rsidP="001B0CD8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D1074">
              <w:rPr>
                <w:rFonts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1F329B38" w14:textId="77777777" w:rsidR="001B0CD8" w:rsidRDefault="001B0CD8" w:rsidP="001B0CD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737981A4" w14:textId="77777777" w:rsidR="001B0CD8" w:rsidRPr="0091780E" w:rsidRDefault="001B0CD8" w:rsidP="001B0CD8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76F69AA" w14:textId="77777777" w:rsidR="001B0CD8" w:rsidRPr="0091780E" w:rsidRDefault="001B0CD8" w:rsidP="001B0CD8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835669E" w14:textId="77777777" w:rsidR="001B0CD8" w:rsidRDefault="001B0CD8" w:rsidP="001B0CD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7C54006" w14:textId="73696307" w:rsidR="001B0CD8" w:rsidRDefault="001B0CD8" w:rsidP="001B0CD8">
            <w:pPr>
              <w:spacing w:before="0" w:line="276" w:lineRule="auto"/>
              <w:rPr>
                <w:sz w:val="18"/>
              </w:rPr>
            </w:pPr>
          </w:p>
        </w:tc>
      </w:tr>
      <w:tr w:rsidR="001B0CD8" w14:paraId="076B1D05" w14:textId="77777777" w:rsidTr="00D04587">
        <w:trPr>
          <w:trHeight w:val="418"/>
        </w:trPr>
        <w:tc>
          <w:tcPr>
            <w:tcW w:w="4926" w:type="dxa"/>
            <w:vMerge w:val="restart"/>
          </w:tcPr>
          <w:p w14:paraId="4BB2D5D6" w14:textId="1E5F21D5" w:rsidR="001B0CD8" w:rsidRPr="00361394" w:rsidRDefault="001B0CD8" w:rsidP="001B0CD8">
            <w:pPr>
              <w:rPr>
                <w:sz w:val="18"/>
                <w:lang w:val="de-DE"/>
              </w:rPr>
            </w:pPr>
          </w:p>
        </w:tc>
        <w:tc>
          <w:tcPr>
            <w:tcW w:w="4927" w:type="dxa"/>
            <w:vAlign w:val="center"/>
          </w:tcPr>
          <w:p w14:paraId="26C24F5B" w14:textId="76FCEC3E" w:rsidR="001B0CD8" w:rsidRDefault="001B0CD8" w:rsidP="001B0CD8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FFFEDEC" wp14:editId="3FB0971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1B0CD8" w14:paraId="3C23E7FF" w14:textId="77777777" w:rsidTr="00D04587">
        <w:trPr>
          <w:trHeight w:val="418"/>
        </w:trPr>
        <w:tc>
          <w:tcPr>
            <w:tcW w:w="4926" w:type="dxa"/>
            <w:vMerge/>
          </w:tcPr>
          <w:p w14:paraId="3344FCD1" w14:textId="77777777" w:rsidR="001B0CD8" w:rsidRPr="00C91687" w:rsidRDefault="001B0CD8" w:rsidP="001B0CD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A3BA02" w14:textId="3B10FA45" w:rsidR="001B0CD8" w:rsidRDefault="001B0CD8" w:rsidP="001B0CD8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155DEB28" wp14:editId="0D545FA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0CD8" w14:paraId="7E466EC8" w14:textId="77777777" w:rsidTr="00BD733E">
        <w:trPr>
          <w:trHeight w:val="510"/>
        </w:trPr>
        <w:tc>
          <w:tcPr>
            <w:tcW w:w="4926" w:type="dxa"/>
            <w:vMerge/>
          </w:tcPr>
          <w:p w14:paraId="4887F27C" w14:textId="77777777" w:rsidR="001B0CD8" w:rsidRPr="00C91687" w:rsidRDefault="001B0CD8" w:rsidP="001B0CD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6E5883" w14:textId="630139DA" w:rsidR="001B0CD8" w:rsidRDefault="00000000" w:rsidP="001B0CD8">
            <w:pPr>
              <w:spacing w:line="240" w:lineRule="exact"/>
              <w:ind w:firstLine="680"/>
              <w:rPr>
                <w:sz w:val="18"/>
              </w:rPr>
            </w:pPr>
            <w:hyperlink r:id="rId27" w:history="1">
              <w:r w:rsidR="001B0CD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41155622" wp14:editId="3E96F1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B0CD8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1B0CD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B0CD8" w14:paraId="56EA0040" w14:textId="77777777" w:rsidTr="00D04587">
        <w:trPr>
          <w:trHeight w:val="426"/>
        </w:trPr>
        <w:tc>
          <w:tcPr>
            <w:tcW w:w="4926" w:type="dxa"/>
            <w:vMerge/>
          </w:tcPr>
          <w:p w14:paraId="6F14DCA6" w14:textId="77777777" w:rsidR="001B0CD8" w:rsidRPr="00C91687" w:rsidRDefault="001B0CD8" w:rsidP="001B0CD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61BF06" w14:textId="4722E1D0" w:rsidR="001B0CD8" w:rsidRDefault="001B0CD8" w:rsidP="001B0CD8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203DCA6C" wp14:editId="3A9699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B0CD8" w14:paraId="12E9749E" w14:textId="77777777" w:rsidTr="00D04587">
        <w:trPr>
          <w:trHeight w:val="504"/>
        </w:trPr>
        <w:tc>
          <w:tcPr>
            <w:tcW w:w="4926" w:type="dxa"/>
            <w:vMerge/>
          </w:tcPr>
          <w:p w14:paraId="6A18847E" w14:textId="77777777" w:rsidR="001B0CD8" w:rsidRPr="00C91687" w:rsidRDefault="001B0CD8" w:rsidP="001B0CD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9FCF88" w14:textId="270D054F" w:rsidR="001B0CD8" w:rsidRDefault="001B0CD8" w:rsidP="001B0CD8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39917A45" wp14:editId="5F54283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B0CD8" w14:paraId="7D213C10" w14:textId="77777777" w:rsidTr="00BD733E">
        <w:trPr>
          <w:trHeight w:val="785"/>
        </w:trPr>
        <w:tc>
          <w:tcPr>
            <w:tcW w:w="4926" w:type="dxa"/>
            <w:vMerge/>
          </w:tcPr>
          <w:p w14:paraId="212B8D91" w14:textId="77777777" w:rsidR="001B0CD8" w:rsidRPr="00C91687" w:rsidRDefault="001B0CD8" w:rsidP="001B0CD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E2C80C" w14:textId="200C2FA1" w:rsidR="001B0CD8" w:rsidRDefault="00000000" w:rsidP="001B0CD8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1B0CD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B0CD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E8BFB93" wp14:editId="0A364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2FE1" w14:paraId="750BA259" w14:textId="77777777" w:rsidTr="00344AD6">
        <w:trPr>
          <w:trHeight w:val="240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F0A2B7E" w14:textId="77777777" w:rsidR="002E2FE1" w:rsidRDefault="002E2FE1" w:rsidP="002E2FE1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4338060" w14:textId="609BE232" w:rsidR="002E2FE1" w:rsidRPr="00230223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>
              <w:rPr>
                <w:szCs w:val="19"/>
              </w:rPr>
              <w:instrText>HYPERLINK "https://stat.gov.pl/obszary-tematyczne/transport-i-lacznosc/transport/gospodarka-morska-w-polsce-w-latach-2023-i-2024,8,7.html" \o "Link do publikacji \"Gospodarka morska w Polsce w latach 2023 i 2024\"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 w:rsidRPr="00230223">
              <w:rPr>
                <w:rStyle w:val="Hipercze"/>
                <w:rFonts w:cstheme="minorBidi"/>
                <w:szCs w:val="19"/>
              </w:rPr>
              <w:t>Gospodarka morska w Polsce w latach 2023 i 2024</w:t>
            </w:r>
          </w:p>
          <w:p w14:paraId="09C5BC09" w14:textId="52FDFB3C" w:rsidR="002E2FE1" w:rsidRPr="00634EC3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end"/>
            </w:r>
            <w:r>
              <w:rPr>
                <w:color w:val="0000FF"/>
                <w:szCs w:val="19"/>
              </w:rPr>
              <w:fldChar w:fldCharType="begin"/>
            </w:r>
            <w:r>
              <w:rPr>
                <w:color w:val="0000FF"/>
                <w:szCs w:val="19"/>
              </w:rPr>
              <w:instrText>HYPERLINK "https://stat.gov.pl/obszary-tematyczne/roczniki-statystyczne/roczniki-statystyczne/rocznik-statystyczny-gospodarki-morskiej-2025,11,18.html" \o "Link do publikacji \"Rocznik Statystyczny Gospodarki Morskiej 2025\"</w:instrText>
            </w:r>
            <w:r>
              <w:rPr>
                <w:color w:val="0000FF"/>
                <w:szCs w:val="19"/>
              </w:rPr>
            </w:r>
            <w:r>
              <w:rPr>
                <w:color w:val="0000FF"/>
                <w:szCs w:val="19"/>
              </w:rPr>
              <w:fldChar w:fldCharType="separate"/>
            </w:r>
            <w:r w:rsidRPr="00A823E5">
              <w:rPr>
                <w:rStyle w:val="Hipercze"/>
                <w:rFonts w:cstheme="minorBidi"/>
              </w:rPr>
              <w:t>Rocznik Statystyczny Gospodarki Morskiej 202</w:t>
            </w:r>
            <w:r>
              <w:rPr>
                <w:rStyle w:val="Hipercze"/>
                <w:rFonts w:cstheme="minorBidi"/>
              </w:rPr>
              <w:t>5</w:t>
            </w:r>
            <w:r>
              <w:rPr>
                <w:rStyle w:val="Hipercze"/>
                <w:rFonts w:cstheme="minorBidi"/>
                <w:szCs w:val="19"/>
              </w:rPr>
              <w:t xml:space="preserve">  </w:t>
            </w:r>
          </w:p>
          <w:p w14:paraId="12D2F3E9" w14:textId="2DD77274" w:rsidR="002E2FE1" w:rsidRPr="00694D63" w:rsidRDefault="002E2FE1" w:rsidP="002E2FE1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color w:val="0000FF"/>
                <w:szCs w:val="19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1E3F8C0" w14:textId="3A61A9B3" w:rsidR="002E2FE1" w:rsidRPr="00DE642B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>
              <w:rPr>
                <w:szCs w:val="19"/>
              </w:rPr>
              <w:instrText>HYPERLINK "http://stat.gov.pl/metainformacje/slownik-pojec/pojecia-stosowane-w-statystyce-publicznej/1683,pojecie.html" \o "Link do pojęcia: Port morski"</w:instrText>
            </w:r>
            <w:r>
              <w:rPr>
                <w:szCs w:val="19"/>
              </w:rPr>
            </w:r>
            <w:r>
              <w:rPr>
                <w:szCs w:val="19"/>
              </w:rPr>
              <w:fldChar w:fldCharType="separate"/>
            </w:r>
            <w:r w:rsidRPr="00DE642B">
              <w:rPr>
                <w:rStyle w:val="Hipercze"/>
                <w:rFonts w:cstheme="minorBidi"/>
                <w:szCs w:val="19"/>
              </w:rPr>
              <w:t>Port morski</w:t>
            </w:r>
          </w:p>
          <w:p w14:paraId="61CAC60C" w14:textId="762A082F" w:rsidR="002E2FE1" w:rsidRPr="0073510A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end"/>
            </w:r>
            <w:hyperlink r:id="rId35" w:tooltip="Link do pojęcia: Statek morski" w:history="1">
              <w:r w:rsidRPr="0073510A">
                <w:rPr>
                  <w:rStyle w:val="Hipercze"/>
                  <w:rFonts w:cstheme="minorBidi"/>
                  <w:szCs w:val="19"/>
                </w:rPr>
                <w:t>Statek morski</w:t>
              </w:r>
            </w:hyperlink>
          </w:p>
          <w:p w14:paraId="3B1CB491" w14:textId="749BFD44" w:rsidR="002E2FE1" w:rsidRPr="0073510A" w:rsidRDefault="00000000" w:rsidP="002E2FE1">
            <w:pPr>
              <w:spacing w:line="240" w:lineRule="exact"/>
              <w:rPr>
                <w:color w:val="0000FF"/>
                <w:szCs w:val="19"/>
              </w:rPr>
            </w:pPr>
            <w:hyperlink r:id="rId36" w:tooltip="Link do pojęcia: Pojemność brutto statku (GT)" w:history="1">
              <w:r w:rsidR="002E2FE1" w:rsidRPr="0073510A">
                <w:rPr>
                  <w:rStyle w:val="Hipercze"/>
                  <w:szCs w:val="19"/>
                </w:rPr>
                <w:t>Pojemność brutto statku (GT)</w:t>
              </w:r>
            </w:hyperlink>
            <w:r w:rsidR="002E2FE1" w:rsidRPr="0073510A">
              <w:rPr>
                <w:color w:val="0000FF"/>
                <w:szCs w:val="19"/>
              </w:rPr>
              <w:t xml:space="preserve"> </w:t>
            </w:r>
          </w:p>
          <w:p w14:paraId="57480254" w14:textId="139A774A" w:rsidR="002E2FE1" w:rsidRPr="0073510A" w:rsidRDefault="00000000" w:rsidP="002E2FE1">
            <w:pPr>
              <w:spacing w:line="240" w:lineRule="exact"/>
              <w:rPr>
                <w:color w:val="0000FF"/>
                <w:szCs w:val="19"/>
              </w:rPr>
            </w:pPr>
            <w:hyperlink r:id="rId37" w:tooltip="Link do pojęcia: Pojemność netto statku (NT)" w:history="1">
              <w:r w:rsidR="002E2FE1" w:rsidRPr="0073510A">
                <w:rPr>
                  <w:rStyle w:val="Hipercze"/>
                  <w:szCs w:val="19"/>
                </w:rPr>
                <w:t>Pojemność netto statku (NT)</w:t>
              </w:r>
            </w:hyperlink>
          </w:p>
          <w:p w14:paraId="008E40B0" w14:textId="486B1531" w:rsidR="002E2FE1" w:rsidRPr="00A35FF1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"https://stat.gov.pl/metainformacje/slownik-pojec/pojecia-stosowane-w-statystyce-publicznej/881,pojecie.html" \o "Link do pojęcia: Praca przewozowa przy przewozie ładunków morską foltą transportową" </w:instrText>
            </w:r>
            <w:r>
              <w:rPr>
                <w:rStyle w:val="Hipercze"/>
                <w:szCs w:val="19"/>
              </w:rPr>
            </w:r>
            <w:r>
              <w:rPr>
                <w:rStyle w:val="Hipercze"/>
                <w:szCs w:val="19"/>
              </w:rPr>
              <w:fldChar w:fldCharType="separate"/>
            </w:r>
            <w:r w:rsidRPr="00A35FF1">
              <w:rPr>
                <w:rStyle w:val="Hipercze"/>
                <w:szCs w:val="19"/>
              </w:rPr>
              <w:t>Praca przewozowa przy przewozie ładunków morską flotą transportową</w:t>
            </w:r>
          </w:p>
          <w:p w14:paraId="6C545030" w14:textId="18F19B4D" w:rsidR="002E2FE1" w:rsidRPr="00A35FF1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>HYPERLINK "http://stat.gov.pl/metainformacje/slownik-pojec/pojecia-stosowane-w-statystyce-publicznej/1692,pojecie.html" \o "Link do pojęcia: Przybrzeżna flota transportowa"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Pr="00A35FF1">
              <w:rPr>
                <w:rStyle w:val="Hipercze"/>
                <w:rFonts w:cstheme="minorBidi"/>
                <w:szCs w:val="19"/>
              </w:rPr>
              <w:t>Przybrzeżna flota transportowa</w:t>
            </w:r>
          </w:p>
          <w:p w14:paraId="799540BD" w14:textId="77D557A5" w:rsidR="002E2FE1" w:rsidRPr="00A35FF1" w:rsidRDefault="002E2FE1" w:rsidP="002E2FE1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"http://stat.gov.pl/metainformacje/slownik-pojec/pojecia-stosowane-w-statystyce-publicznej/806,pojecie.html" \o "Link do pojęcia: Obroty ładunkowe w portach morskich" 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Pr="00A35FF1">
              <w:rPr>
                <w:rStyle w:val="Hipercze"/>
                <w:rFonts w:cstheme="minorBidi"/>
                <w:szCs w:val="19"/>
              </w:rPr>
              <w:t>Obroty ładunkowe w portach morskich</w:t>
            </w:r>
          </w:p>
          <w:p w14:paraId="6DE18F6A" w14:textId="26641559" w:rsidR="002E2FE1" w:rsidRPr="0073510A" w:rsidRDefault="002E2FE1" w:rsidP="002E2FE1">
            <w:pPr>
              <w:spacing w:line="240" w:lineRule="exact"/>
              <w:rPr>
                <w:color w:val="0000FF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38" w:tooltip="Link do pojęcia: Średnia odległość przewozu ładunku morską i przybrzeżną flotą transportową" w:history="1">
              <w:r w:rsidRPr="00A35FF1">
                <w:rPr>
                  <w:rStyle w:val="Hipercze"/>
                  <w:szCs w:val="19"/>
                </w:rPr>
                <w:t>Średnia odległość przewozu ładunku morską i przybrzeżną flotą transportową</w:t>
              </w:r>
            </w:hyperlink>
            <w:r w:rsidRPr="0073510A">
              <w:rPr>
                <w:color w:val="0000FF"/>
                <w:szCs w:val="19"/>
              </w:rPr>
              <w:t xml:space="preserve"> </w:t>
            </w:r>
          </w:p>
          <w:p w14:paraId="389CDE5F" w14:textId="314512F3" w:rsidR="002E2FE1" w:rsidRPr="00361394" w:rsidRDefault="00000000" w:rsidP="002E2FE1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9" w:tooltip="Link do pojęcia: Średnia odległość przewozu pasażera morską i przybrzeżną flotą transportową" w:history="1">
              <w:r w:rsidR="002E2FE1" w:rsidRPr="0073510A">
                <w:rPr>
                  <w:rStyle w:val="Hipercze"/>
                  <w:szCs w:val="19"/>
                </w:rPr>
                <w:t>Średnia odległość przewozu pasażera morską i przybrzeżną flotą transportową</w:t>
              </w:r>
            </w:hyperlink>
          </w:p>
        </w:tc>
      </w:tr>
    </w:tbl>
    <w:p w14:paraId="5A6032B5" w14:textId="77777777" w:rsidR="00344AD6" w:rsidRDefault="00344AD6" w:rsidP="003F1246">
      <w:pPr>
        <w:rPr>
          <w:sz w:val="18"/>
        </w:rPr>
      </w:pPr>
    </w:p>
    <w:sectPr w:rsidR="00344AD6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8CFA" w14:textId="77777777" w:rsidR="00B605DA" w:rsidRDefault="00B605DA" w:rsidP="000662E2">
      <w:pPr>
        <w:spacing w:after="0" w:line="240" w:lineRule="auto"/>
      </w:pPr>
      <w:r>
        <w:separator/>
      </w:r>
    </w:p>
  </w:endnote>
  <w:endnote w:type="continuationSeparator" w:id="0">
    <w:p w14:paraId="14F4C8F5" w14:textId="77777777" w:rsidR="00B605DA" w:rsidRDefault="00B605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A3235E-CCA9-4F51-91BE-BBC166C90286}"/>
    <w:embedBold r:id="rId2" w:fontKey="{2A1C05B9-69A9-44D2-8DE0-EC399364311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85D1618-DF1A-4DDA-A22E-97C839B50C2C}"/>
    <w:embedBold r:id="rId4" w:fontKey="{10478619-D48D-44AA-AC45-E4FBBDBBEA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DE2DF0-688A-487F-883D-5683F9782AA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E0B8E56-9EFE-491A-BDB2-F9F7FEA2E9CE}"/>
    <w:embedItalic r:id="rId7" w:fontKey="{F2C63DB2-F376-4E03-9C8D-F9E0B689B95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FFC202E-1D58-4D64-A1FC-43279BF9596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5BE53D4-798C-4300-8747-193529DFDA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BC43003-0622-4A64-AF35-169FD1092A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0892718"/>
      <w:docPartObj>
        <w:docPartGallery w:val="Page Numbers (Bottom of Page)"/>
        <w:docPartUnique/>
      </w:docPartObj>
    </w:sdtPr>
    <w:sdtContent>
      <w:p w14:paraId="637A302B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6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947326"/>
      <w:docPartObj>
        <w:docPartGallery w:val="Page Numbers (Bottom of Page)"/>
        <w:docPartUnique/>
      </w:docPartObj>
    </w:sdtPr>
    <w:sdtContent>
      <w:p w14:paraId="2935D989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6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0D8135AF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6B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3041" w14:textId="77777777" w:rsidR="00B605DA" w:rsidRDefault="00B605DA" w:rsidP="000662E2">
      <w:pPr>
        <w:spacing w:after="0" w:line="240" w:lineRule="auto"/>
      </w:pPr>
      <w:r>
        <w:separator/>
      </w:r>
    </w:p>
  </w:footnote>
  <w:footnote w:type="continuationSeparator" w:id="0">
    <w:p w14:paraId="1912F5B5" w14:textId="77777777" w:rsidR="00B605DA" w:rsidRDefault="00B605D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C039" w14:textId="77777777" w:rsidR="00D04587" w:rsidRDefault="00D045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A09895" wp14:editId="2B0A366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D5585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5B72BBE" w14:textId="77777777" w:rsidR="00D04587" w:rsidRDefault="00D045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8C9E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55EE3" wp14:editId="31A60C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855154" w14:textId="77777777" w:rsidR="00D04587" w:rsidRPr="003C6C8D" w:rsidRDefault="00D0458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55EE3" id="Schemat blokowy: opóźnienie 6" o:spid="_x0000_s1037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855154" w14:textId="77777777" w:rsidR="00D04587" w:rsidRPr="003C6C8D" w:rsidRDefault="00D0458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2808B0" wp14:editId="7CE21E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FFCEA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9C68603" wp14:editId="200FDB76">
          <wp:extent cx="1005842" cy="432817"/>
          <wp:effectExtent l="0" t="0" r="3810" b="571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18901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630474" wp14:editId="3424CE00">
              <wp:simplePos x="0" y="0"/>
              <wp:positionH relativeFrom="column">
                <wp:posOffset>5177502</wp:posOffset>
              </wp:positionH>
              <wp:positionV relativeFrom="paragraph">
                <wp:posOffset>248887</wp:posOffset>
              </wp:positionV>
              <wp:extent cx="1181595" cy="336589"/>
              <wp:effectExtent l="0" t="0" r="0" b="6350"/>
              <wp:wrapNone/>
              <wp:docPr id="8" name="Pole tekstowe 2" descr="Data publikacji informacji sygnalnej&#10;28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59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880A2" w14:textId="0AAECE21" w:rsidR="00D04587" w:rsidRPr="008A57EE" w:rsidRDefault="00D045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C058C7"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.04.202</w:t>
                          </w:r>
                          <w:r w:rsidR="004415C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Pr="008A57EE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3047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&#10;28.04.2026 r." style="position:absolute;margin-left:407.7pt;margin-top:19.6pt;width:93.0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" filled="f" stroked="f">
              <v:textbox>
                <w:txbxContent>
                  <w:p w14:paraId="28F880A2" w14:textId="0AAECE21" w:rsidR="00D04587" w:rsidRPr="008A57EE" w:rsidRDefault="00D045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C058C7"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.04.202</w:t>
                    </w:r>
                    <w:r w:rsidR="004415CC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Pr="008A57EE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30AC" w14:textId="77777777" w:rsidR="00D04587" w:rsidRDefault="00D04587">
    <w:pPr>
      <w:pStyle w:val="Nagwek"/>
    </w:pPr>
  </w:p>
  <w:p w14:paraId="315030B2" w14:textId="77777777" w:rsidR="00D04587" w:rsidRDefault="00D045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59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4B07601"/>
    <w:multiLevelType w:val="multilevel"/>
    <w:tmpl w:val="AFA2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19912000">
    <w:abstractNumId w:val="5"/>
  </w:num>
  <w:num w:numId="2" w16cid:durableId="1625886501">
    <w:abstractNumId w:val="2"/>
  </w:num>
  <w:num w:numId="3" w16cid:durableId="1250038323">
    <w:abstractNumId w:val="1"/>
  </w:num>
  <w:num w:numId="4" w16cid:durableId="1868373484">
    <w:abstractNumId w:val="7"/>
  </w:num>
  <w:num w:numId="5" w16cid:durableId="1760443562">
    <w:abstractNumId w:val="6"/>
  </w:num>
  <w:num w:numId="6" w16cid:durableId="1110516668">
    <w:abstractNumId w:val="3"/>
  </w:num>
  <w:num w:numId="7" w16cid:durableId="294337963">
    <w:abstractNumId w:val="4"/>
  </w:num>
  <w:num w:numId="8" w16cid:durableId="55956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1E3"/>
    <w:rsid w:val="00004BC4"/>
    <w:rsid w:val="000050FB"/>
    <w:rsid w:val="00005D23"/>
    <w:rsid w:val="00005DFB"/>
    <w:rsid w:val="00006978"/>
    <w:rsid w:val="0000709F"/>
    <w:rsid w:val="000108B8"/>
    <w:rsid w:val="0001116D"/>
    <w:rsid w:val="00013CA1"/>
    <w:rsid w:val="000152F5"/>
    <w:rsid w:val="0002006E"/>
    <w:rsid w:val="00024A67"/>
    <w:rsid w:val="00025213"/>
    <w:rsid w:val="000306BC"/>
    <w:rsid w:val="000311EF"/>
    <w:rsid w:val="00031E0D"/>
    <w:rsid w:val="00032641"/>
    <w:rsid w:val="000352AD"/>
    <w:rsid w:val="0003562B"/>
    <w:rsid w:val="00036D93"/>
    <w:rsid w:val="00037B0A"/>
    <w:rsid w:val="00041FEB"/>
    <w:rsid w:val="00042105"/>
    <w:rsid w:val="0004582E"/>
    <w:rsid w:val="000458B7"/>
    <w:rsid w:val="00045FB1"/>
    <w:rsid w:val="000470AA"/>
    <w:rsid w:val="00047DD1"/>
    <w:rsid w:val="000515E4"/>
    <w:rsid w:val="00052354"/>
    <w:rsid w:val="000541C4"/>
    <w:rsid w:val="000552FF"/>
    <w:rsid w:val="00055C49"/>
    <w:rsid w:val="00057C45"/>
    <w:rsid w:val="00057CA1"/>
    <w:rsid w:val="00060556"/>
    <w:rsid w:val="00062760"/>
    <w:rsid w:val="000634D0"/>
    <w:rsid w:val="000651A9"/>
    <w:rsid w:val="00065389"/>
    <w:rsid w:val="000659FF"/>
    <w:rsid w:val="000662E2"/>
    <w:rsid w:val="00066883"/>
    <w:rsid w:val="00067065"/>
    <w:rsid w:val="00070CCE"/>
    <w:rsid w:val="00071D2C"/>
    <w:rsid w:val="00073F1A"/>
    <w:rsid w:val="000749F8"/>
    <w:rsid w:val="00074DD8"/>
    <w:rsid w:val="00075B4E"/>
    <w:rsid w:val="000777BB"/>
    <w:rsid w:val="000806F7"/>
    <w:rsid w:val="000821AB"/>
    <w:rsid w:val="000844CA"/>
    <w:rsid w:val="00087283"/>
    <w:rsid w:val="000903E3"/>
    <w:rsid w:val="00091422"/>
    <w:rsid w:val="00093558"/>
    <w:rsid w:val="0009356B"/>
    <w:rsid w:val="0009360B"/>
    <w:rsid w:val="00093EDA"/>
    <w:rsid w:val="0009454C"/>
    <w:rsid w:val="000951E5"/>
    <w:rsid w:val="0009538B"/>
    <w:rsid w:val="000955E8"/>
    <w:rsid w:val="00095DE0"/>
    <w:rsid w:val="000971E9"/>
    <w:rsid w:val="00097840"/>
    <w:rsid w:val="000A1497"/>
    <w:rsid w:val="000A1E7D"/>
    <w:rsid w:val="000A2E75"/>
    <w:rsid w:val="000A435F"/>
    <w:rsid w:val="000A4E0E"/>
    <w:rsid w:val="000A5F7D"/>
    <w:rsid w:val="000A60F7"/>
    <w:rsid w:val="000B0727"/>
    <w:rsid w:val="000B0D9E"/>
    <w:rsid w:val="000B202F"/>
    <w:rsid w:val="000B2F39"/>
    <w:rsid w:val="000B75B6"/>
    <w:rsid w:val="000B7CEA"/>
    <w:rsid w:val="000C135D"/>
    <w:rsid w:val="000C1A91"/>
    <w:rsid w:val="000C435B"/>
    <w:rsid w:val="000C5DAB"/>
    <w:rsid w:val="000C6F1C"/>
    <w:rsid w:val="000C74CD"/>
    <w:rsid w:val="000C75E5"/>
    <w:rsid w:val="000D05D1"/>
    <w:rsid w:val="000D0C78"/>
    <w:rsid w:val="000D1D43"/>
    <w:rsid w:val="000D225C"/>
    <w:rsid w:val="000D2A5C"/>
    <w:rsid w:val="000E0918"/>
    <w:rsid w:val="000E4106"/>
    <w:rsid w:val="000E6884"/>
    <w:rsid w:val="000E74FD"/>
    <w:rsid w:val="000E7D93"/>
    <w:rsid w:val="000E7FA0"/>
    <w:rsid w:val="000F08ED"/>
    <w:rsid w:val="000F147E"/>
    <w:rsid w:val="000F1681"/>
    <w:rsid w:val="000F3399"/>
    <w:rsid w:val="000F5F48"/>
    <w:rsid w:val="000F6320"/>
    <w:rsid w:val="000F6D3F"/>
    <w:rsid w:val="000F6F22"/>
    <w:rsid w:val="00100B7E"/>
    <w:rsid w:val="001011C3"/>
    <w:rsid w:val="00101B40"/>
    <w:rsid w:val="00102812"/>
    <w:rsid w:val="00103BA4"/>
    <w:rsid w:val="00103DE6"/>
    <w:rsid w:val="00110288"/>
    <w:rsid w:val="00110D87"/>
    <w:rsid w:val="001122A2"/>
    <w:rsid w:val="00114DB9"/>
    <w:rsid w:val="00115229"/>
    <w:rsid w:val="00116087"/>
    <w:rsid w:val="001167AF"/>
    <w:rsid w:val="00117D30"/>
    <w:rsid w:val="001206EA"/>
    <w:rsid w:val="00121B59"/>
    <w:rsid w:val="00127165"/>
    <w:rsid w:val="001273FE"/>
    <w:rsid w:val="00130296"/>
    <w:rsid w:val="001306F5"/>
    <w:rsid w:val="0013132C"/>
    <w:rsid w:val="00131DB8"/>
    <w:rsid w:val="00132E29"/>
    <w:rsid w:val="00132F07"/>
    <w:rsid w:val="0013317A"/>
    <w:rsid w:val="001331F9"/>
    <w:rsid w:val="001348C8"/>
    <w:rsid w:val="001375A7"/>
    <w:rsid w:val="00137A12"/>
    <w:rsid w:val="0014005B"/>
    <w:rsid w:val="00140461"/>
    <w:rsid w:val="0014205E"/>
    <w:rsid w:val="001423B6"/>
    <w:rsid w:val="00143D8A"/>
    <w:rsid w:val="001448A7"/>
    <w:rsid w:val="00144B98"/>
    <w:rsid w:val="00146621"/>
    <w:rsid w:val="0014770B"/>
    <w:rsid w:val="00151090"/>
    <w:rsid w:val="00152167"/>
    <w:rsid w:val="001528D6"/>
    <w:rsid w:val="00154DF1"/>
    <w:rsid w:val="00156264"/>
    <w:rsid w:val="001570B2"/>
    <w:rsid w:val="00157F33"/>
    <w:rsid w:val="00160B41"/>
    <w:rsid w:val="00162325"/>
    <w:rsid w:val="001630AD"/>
    <w:rsid w:val="0016373C"/>
    <w:rsid w:val="0016464D"/>
    <w:rsid w:val="00165357"/>
    <w:rsid w:val="00165468"/>
    <w:rsid w:val="00165FAB"/>
    <w:rsid w:val="00166CEE"/>
    <w:rsid w:val="001702A7"/>
    <w:rsid w:val="00171AB1"/>
    <w:rsid w:val="00172BAF"/>
    <w:rsid w:val="00172D20"/>
    <w:rsid w:val="001732E9"/>
    <w:rsid w:val="001737FE"/>
    <w:rsid w:val="001744B4"/>
    <w:rsid w:val="0017660E"/>
    <w:rsid w:val="00176707"/>
    <w:rsid w:val="00177BDA"/>
    <w:rsid w:val="00183FE1"/>
    <w:rsid w:val="0018522F"/>
    <w:rsid w:val="00187905"/>
    <w:rsid w:val="00190F3D"/>
    <w:rsid w:val="00191150"/>
    <w:rsid w:val="001939DE"/>
    <w:rsid w:val="00194C01"/>
    <w:rsid w:val="0019512B"/>
    <w:rsid w:val="001951DA"/>
    <w:rsid w:val="001A3B0B"/>
    <w:rsid w:val="001A4428"/>
    <w:rsid w:val="001A53A9"/>
    <w:rsid w:val="001A56EC"/>
    <w:rsid w:val="001A68EF"/>
    <w:rsid w:val="001A6FFF"/>
    <w:rsid w:val="001B0CD8"/>
    <w:rsid w:val="001B180B"/>
    <w:rsid w:val="001B4096"/>
    <w:rsid w:val="001B7B1E"/>
    <w:rsid w:val="001C0800"/>
    <w:rsid w:val="001C3269"/>
    <w:rsid w:val="001C3AA5"/>
    <w:rsid w:val="001C48F8"/>
    <w:rsid w:val="001C512C"/>
    <w:rsid w:val="001C51EC"/>
    <w:rsid w:val="001C56DF"/>
    <w:rsid w:val="001C65EE"/>
    <w:rsid w:val="001D191F"/>
    <w:rsid w:val="001D1DB4"/>
    <w:rsid w:val="001D25BF"/>
    <w:rsid w:val="001D4A71"/>
    <w:rsid w:val="001E0F6F"/>
    <w:rsid w:val="001E2971"/>
    <w:rsid w:val="001E3258"/>
    <w:rsid w:val="001E5622"/>
    <w:rsid w:val="001E6054"/>
    <w:rsid w:val="001E74F3"/>
    <w:rsid w:val="001F02FE"/>
    <w:rsid w:val="001F1286"/>
    <w:rsid w:val="001F16BC"/>
    <w:rsid w:val="001F1BB0"/>
    <w:rsid w:val="001F3597"/>
    <w:rsid w:val="001F39E6"/>
    <w:rsid w:val="001F64BC"/>
    <w:rsid w:val="00200FF3"/>
    <w:rsid w:val="002016A6"/>
    <w:rsid w:val="00202E65"/>
    <w:rsid w:val="00202E7C"/>
    <w:rsid w:val="002037FE"/>
    <w:rsid w:val="00203847"/>
    <w:rsid w:val="0020686F"/>
    <w:rsid w:val="00206D22"/>
    <w:rsid w:val="00210A4A"/>
    <w:rsid w:val="002121E6"/>
    <w:rsid w:val="0021299F"/>
    <w:rsid w:val="0021664B"/>
    <w:rsid w:val="00220F2C"/>
    <w:rsid w:val="00220FD5"/>
    <w:rsid w:val="00221CEC"/>
    <w:rsid w:val="002238C0"/>
    <w:rsid w:val="002240CC"/>
    <w:rsid w:val="002257F2"/>
    <w:rsid w:val="0022626E"/>
    <w:rsid w:val="00226563"/>
    <w:rsid w:val="00230223"/>
    <w:rsid w:val="00233002"/>
    <w:rsid w:val="00237A88"/>
    <w:rsid w:val="002404D5"/>
    <w:rsid w:val="00241649"/>
    <w:rsid w:val="002448DE"/>
    <w:rsid w:val="00244DF0"/>
    <w:rsid w:val="00246450"/>
    <w:rsid w:val="00247428"/>
    <w:rsid w:val="00252B74"/>
    <w:rsid w:val="00254082"/>
    <w:rsid w:val="00254160"/>
    <w:rsid w:val="00254C9C"/>
    <w:rsid w:val="002574F9"/>
    <w:rsid w:val="00257FDE"/>
    <w:rsid w:val="002606BE"/>
    <w:rsid w:val="00262B61"/>
    <w:rsid w:val="002714B1"/>
    <w:rsid w:val="00273072"/>
    <w:rsid w:val="00273A8D"/>
    <w:rsid w:val="002755B8"/>
    <w:rsid w:val="00276748"/>
    <w:rsid w:val="00276811"/>
    <w:rsid w:val="00280DB8"/>
    <w:rsid w:val="0028176C"/>
    <w:rsid w:val="00282699"/>
    <w:rsid w:val="00284F80"/>
    <w:rsid w:val="002909EE"/>
    <w:rsid w:val="002926DF"/>
    <w:rsid w:val="002930C6"/>
    <w:rsid w:val="00293D5B"/>
    <w:rsid w:val="0029565B"/>
    <w:rsid w:val="0029667F"/>
    <w:rsid w:val="00296697"/>
    <w:rsid w:val="00297A24"/>
    <w:rsid w:val="002A0017"/>
    <w:rsid w:val="002A6213"/>
    <w:rsid w:val="002A6407"/>
    <w:rsid w:val="002B006D"/>
    <w:rsid w:val="002B0472"/>
    <w:rsid w:val="002B08B2"/>
    <w:rsid w:val="002B180F"/>
    <w:rsid w:val="002B2282"/>
    <w:rsid w:val="002B2DDF"/>
    <w:rsid w:val="002B3BEE"/>
    <w:rsid w:val="002B3E3E"/>
    <w:rsid w:val="002B483E"/>
    <w:rsid w:val="002B4DCE"/>
    <w:rsid w:val="002B5BF7"/>
    <w:rsid w:val="002B5F24"/>
    <w:rsid w:val="002B6145"/>
    <w:rsid w:val="002B6739"/>
    <w:rsid w:val="002B6B12"/>
    <w:rsid w:val="002B6BAC"/>
    <w:rsid w:val="002B6D57"/>
    <w:rsid w:val="002C27B3"/>
    <w:rsid w:val="002C3309"/>
    <w:rsid w:val="002C3A22"/>
    <w:rsid w:val="002C4DFF"/>
    <w:rsid w:val="002C6A2E"/>
    <w:rsid w:val="002D070F"/>
    <w:rsid w:val="002D072A"/>
    <w:rsid w:val="002D1D79"/>
    <w:rsid w:val="002D1FAB"/>
    <w:rsid w:val="002D2676"/>
    <w:rsid w:val="002D2FB3"/>
    <w:rsid w:val="002D6C57"/>
    <w:rsid w:val="002D760C"/>
    <w:rsid w:val="002E03A0"/>
    <w:rsid w:val="002E15CC"/>
    <w:rsid w:val="002E2FE1"/>
    <w:rsid w:val="002E3935"/>
    <w:rsid w:val="002E43D2"/>
    <w:rsid w:val="002E6140"/>
    <w:rsid w:val="002E6985"/>
    <w:rsid w:val="002E6CB6"/>
    <w:rsid w:val="002E71B6"/>
    <w:rsid w:val="002E77C2"/>
    <w:rsid w:val="002E7A62"/>
    <w:rsid w:val="002F0CD2"/>
    <w:rsid w:val="002F1A83"/>
    <w:rsid w:val="002F349C"/>
    <w:rsid w:val="002F6F92"/>
    <w:rsid w:val="002F77C8"/>
    <w:rsid w:val="0030204C"/>
    <w:rsid w:val="00302D10"/>
    <w:rsid w:val="00304F22"/>
    <w:rsid w:val="00305ABE"/>
    <w:rsid w:val="00306C7C"/>
    <w:rsid w:val="003115EE"/>
    <w:rsid w:val="00314A83"/>
    <w:rsid w:val="00314A93"/>
    <w:rsid w:val="00320277"/>
    <w:rsid w:val="0032075C"/>
    <w:rsid w:val="003210C3"/>
    <w:rsid w:val="00321AD8"/>
    <w:rsid w:val="00322EDD"/>
    <w:rsid w:val="00323B32"/>
    <w:rsid w:val="00325F24"/>
    <w:rsid w:val="00326468"/>
    <w:rsid w:val="00330B55"/>
    <w:rsid w:val="00331214"/>
    <w:rsid w:val="00332320"/>
    <w:rsid w:val="003331C0"/>
    <w:rsid w:val="00341E5B"/>
    <w:rsid w:val="00342706"/>
    <w:rsid w:val="00342E60"/>
    <w:rsid w:val="00343523"/>
    <w:rsid w:val="00344A48"/>
    <w:rsid w:val="00344AD6"/>
    <w:rsid w:val="0034602E"/>
    <w:rsid w:val="00347D72"/>
    <w:rsid w:val="003535DC"/>
    <w:rsid w:val="003539D7"/>
    <w:rsid w:val="003564AC"/>
    <w:rsid w:val="00357611"/>
    <w:rsid w:val="00357AF5"/>
    <w:rsid w:val="00360D2B"/>
    <w:rsid w:val="00361394"/>
    <w:rsid w:val="0036178D"/>
    <w:rsid w:val="003652E9"/>
    <w:rsid w:val="0036684A"/>
    <w:rsid w:val="00367237"/>
    <w:rsid w:val="00367544"/>
    <w:rsid w:val="0037077F"/>
    <w:rsid w:val="003707F6"/>
    <w:rsid w:val="00372411"/>
    <w:rsid w:val="00373882"/>
    <w:rsid w:val="0037486E"/>
    <w:rsid w:val="0037553B"/>
    <w:rsid w:val="00377047"/>
    <w:rsid w:val="003814A6"/>
    <w:rsid w:val="00381717"/>
    <w:rsid w:val="003833DB"/>
    <w:rsid w:val="003843DB"/>
    <w:rsid w:val="00384E76"/>
    <w:rsid w:val="00385F10"/>
    <w:rsid w:val="003909AE"/>
    <w:rsid w:val="0039305B"/>
    <w:rsid w:val="00393761"/>
    <w:rsid w:val="00393B26"/>
    <w:rsid w:val="00394900"/>
    <w:rsid w:val="00395CED"/>
    <w:rsid w:val="00397AF7"/>
    <w:rsid w:val="00397D18"/>
    <w:rsid w:val="003A1B36"/>
    <w:rsid w:val="003A61DB"/>
    <w:rsid w:val="003A6DFD"/>
    <w:rsid w:val="003A7ABA"/>
    <w:rsid w:val="003A7ECA"/>
    <w:rsid w:val="003B1454"/>
    <w:rsid w:val="003B18B6"/>
    <w:rsid w:val="003B2D40"/>
    <w:rsid w:val="003B312C"/>
    <w:rsid w:val="003B5181"/>
    <w:rsid w:val="003B565C"/>
    <w:rsid w:val="003B5BF5"/>
    <w:rsid w:val="003B661E"/>
    <w:rsid w:val="003B6988"/>
    <w:rsid w:val="003C3F66"/>
    <w:rsid w:val="003C57D5"/>
    <w:rsid w:val="003C59E0"/>
    <w:rsid w:val="003C5D62"/>
    <w:rsid w:val="003C5E80"/>
    <w:rsid w:val="003C644D"/>
    <w:rsid w:val="003C6C17"/>
    <w:rsid w:val="003C6C8D"/>
    <w:rsid w:val="003C6EE4"/>
    <w:rsid w:val="003D0624"/>
    <w:rsid w:val="003D1074"/>
    <w:rsid w:val="003D28EF"/>
    <w:rsid w:val="003D3676"/>
    <w:rsid w:val="003D403F"/>
    <w:rsid w:val="003D4F95"/>
    <w:rsid w:val="003D5F42"/>
    <w:rsid w:val="003D606D"/>
    <w:rsid w:val="003D60A9"/>
    <w:rsid w:val="003D736A"/>
    <w:rsid w:val="003D76B0"/>
    <w:rsid w:val="003D7C44"/>
    <w:rsid w:val="003E00A2"/>
    <w:rsid w:val="003E429B"/>
    <w:rsid w:val="003E5065"/>
    <w:rsid w:val="003E634F"/>
    <w:rsid w:val="003E67D2"/>
    <w:rsid w:val="003F1246"/>
    <w:rsid w:val="003F1D4A"/>
    <w:rsid w:val="003F1EDE"/>
    <w:rsid w:val="003F2248"/>
    <w:rsid w:val="003F253F"/>
    <w:rsid w:val="003F41AB"/>
    <w:rsid w:val="003F4C97"/>
    <w:rsid w:val="003F5E46"/>
    <w:rsid w:val="003F6F44"/>
    <w:rsid w:val="003F7FE6"/>
    <w:rsid w:val="00400193"/>
    <w:rsid w:val="00400F8A"/>
    <w:rsid w:val="004037ED"/>
    <w:rsid w:val="00405985"/>
    <w:rsid w:val="00407C6B"/>
    <w:rsid w:val="004104DC"/>
    <w:rsid w:val="004112D8"/>
    <w:rsid w:val="00412CD7"/>
    <w:rsid w:val="004212E7"/>
    <w:rsid w:val="0042288B"/>
    <w:rsid w:val="0042428C"/>
    <w:rsid w:val="0042446D"/>
    <w:rsid w:val="00425991"/>
    <w:rsid w:val="004268BD"/>
    <w:rsid w:val="00426E6E"/>
    <w:rsid w:val="00427ADB"/>
    <w:rsid w:val="00427BF8"/>
    <w:rsid w:val="00430670"/>
    <w:rsid w:val="004308FF"/>
    <w:rsid w:val="00430B45"/>
    <w:rsid w:val="00431C02"/>
    <w:rsid w:val="0043274F"/>
    <w:rsid w:val="004330F2"/>
    <w:rsid w:val="00433C68"/>
    <w:rsid w:val="00435923"/>
    <w:rsid w:val="00437395"/>
    <w:rsid w:val="00437A4A"/>
    <w:rsid w:val="0044143F"/>
    <w:rsid w:val="004415CC"/>
    <w:rsid w:val="00442604"/>
    <w:rsid w:val="00442F9C"/>
    <w:rsid w:val="004435E9"/>
    <w:rsid w:val="004439F3"/>
    <w:rsid w:val="00445047"/>
    <w:rsid w:val="00445379"/>
    <w:rsid w:val="004456EF"/>
    <w:rsid w:val="00445A66"/>
    <w:rsid w:val="00445A77"/>
    <w:rsid w:val="004500D9"/>
    <w:rsid w:val="00451379"/>
    <w:rsid w:val="00451577"/>
    <w:rsid w:val="00452553"/>
    <w:rsid w:val="00452560"/>
    <w:rsid w:val="00454F5F"/>
    <w:rsid w:val="00455DBD"/>
    <w:rsid w:val="00457912"/>
    <w:rsid w:val="00457E86"/>
    <w:rsid w:val="00461508"/>
    <w:rsid w:val="00461D87"/>
    <w:rsid w:val="00463E39"/>
    <w:rsid w:val="004657FC"/>
    <w:rsid w:val="00465C1A"/>
    <w:rsid w:val="004733F6"/>
    <w:rsid w:val="00474A5A"/>
    <w:rsid w:val="00474BE7"/>
    <w:rsid w:val="00474E69"/>
    <w:rsid w:val="004757BC"/>
    <w:rsid w:val="00481659"/>
    <w:rsid w:val="00481D62"/>
    <w:rsid w:val="00484564"/>
    <w:rsid w:val="00484682"/>
    <w:rsid w:val="00485126"/>
    <w:rsid w:val="00487128"/>
    <w:rsid w:val="00490232"/>
    <w:rsid w:val="00490951"/>
    <w:rsid w:val="004909B3"/>
    <w:rsid w:val="00494287"/>
    <w:rsid w:val="00494409"/>
    <w:rsid w:val="00495437"/>
    <w:rsid w:val="0049621B"/>
    <w:rsid w:val="00496F70"/>
    <w:rsid w:val="00497438"/>
    <w:rsid w:val="00497A8C"/>
    <w:rsid w:val="004A2E63"/>
    <w:rsid w:val="004A715F"/>
    <w:rsid w:val="004A7E15"/>
    <w:rsid w:val="004B338E"/>
    <w:rsid w:val="004B5171"/>
    <w:rsid w:val="004B5DC6"/>
    <w:rsid w:val="004B6E82"/>
    <w:rsid w:val="004C1895"/>
    <w:rsid w:val="004C1DAA"/>
    <w:rsid w:val="004C1F0D"/>
    <w:rsid w:val="004C5BA8"/>
    <w:rsid w:val="004C6D40"/>
    <w:rsid w:val="004D03BC"/>
    <w:rsid w:val="004D089D"/>
    <w:rsid w:val="004D39A7"/>
    <w:rsid w:val="004D54EE"/>
    <w:rsid w:val="004D6AF4"/>
    <w:rsid w:val="004E00A3"/>
    <w:rsid w:val="004E07F2"/>
    <w:rsid w:val="004E1128"/>
    <w:rsid w:val="004E5648"/>
    <w:rsid w:val="004E5A30"/>
    <w:rsid w:val="004E6E61"/>
    <w:rsid w:val="004E77B5"/>
    <w:rsid w:val="004F0C3C"/>
    <w:rsid w:val="004F49B4"/>
    <w:rsid w:val="004F60F5"/>
    <w:rsid w:val="004F63FC"/>
    <w:rsid w:val="004F7932"/>
    <w:rsid w:val="004F7BF2"/>
    <w:rsid w:val="00505A92"/>
    <w:rsid w:val="00505D77"/>
    <w:rsid w:val="00507F45"/>
    <w:rsid w:val="00507F8B"/>
    <w:rsid w:val="00511AFD"/>
    <w:rsid w:val="00513649"/>
    <w:rsid w:val="00514360"/>
    <w:rsid w:val="00515282"/>
    <w:rsid w:val="005200D4"/>
    <w:rsid w:val="005203F1"/>
    <w:rsid w:val="00520CEC"/>
    <w:rsid w:val="00521BC3"/>
    <w:rsid w:val="00525F01"/>
    <w:rsid w:val="00526246"/>
    <w:rsid w:val="0052728D"/>
    <w:rsid w:val="0052757E"/>
    <w:rsid w:val="00527D35"/>
    <w:rsid w:val="005300C0"/>
    <w:rsid w:val="00530872"/>
    <w:rsid w:val="00530B08"/>
    <w:rsid w:val="00530C5E"/>
    <w:rsid w:val="00531396"/>
    <w:rsid w:val="0053305A"/>
    <w:rsid w:val="00533632"/>
    <w:rsid w:val="00534602"/>
    <w:rsid w:val="005362B3"/>
    <w:rsid w:val="00536DCF"/>
    <w:rsid w:val="00537584"/>
    <w:rsid w:val="00537666"/>
    <w:rsid w:val="005419B5"/>
    <w:rsid w:val="00541CB2"/>
    <w:rsid w:val="00541E6E"/>
    <w:rsid w:val="00542252"/>
    <w:rsid w:val="0054251F"/>
    <w:rsid w:val="0054400B"/>
    <w:rsid w:val="005444DB"/>
    <w:rsid w:val="00544E6C"/>
    <w:rsid w:val="0054647E"/>
    <w:rsid w:val="00550A9D"/>
    <w:rsid w:val="005520D8"/>
    <w:rsid w:val="005535EA"/>
    <w:rsid w:val="00554618"/>
    <w:rsid w:val="00556CF1"/>
    <w:rsid w:val="00557E77"/>
    <w:rsid w:val="0056056D"/>
    <w:rsid w:val="005619F1"/>
    <w:rsid w:val="00563731"/>
    <w:rsid w:val="00564F2F"/>
    <w:rsid w:val="00565227"/>
    <w:rsid w:val="005662AD"/>
    <w:rsid w:val="00566DB9"/>
    <w:rsid w:val="00567EE9"/>
    <w:rsid w:val="00570150"/>
    <w:rsid w:val="005702A7"/>
    <w:rsid w:val="00572DAE"/>
    <w:rsid w:val="00575C82"/>
    <w:rsid w:val="005762A7"/>
    <w:rsid w:val="00577C40"/>
    <w:rsid w:val="00577FB1"/>
    <w:rsid w:val="0058267A"/>
    <w:rsid w:val="00582B3F"/>
    <w:rsid w:val="005830FE"/>
    <w:rsid w:val="00583E3F"/>
    <w:rsid w:val="00587320"/>
    <w:rsid w:val="0059064A"/>
    <w:rsid w:val="005916D7"/>
    <w:rsid w:val="00593740"/>
    <w:rsid w:val="005938C7"/>
    <w:rsid w:val="00594B1C"/>
    <w:rsid w:val="00597B23"/>
    <w:rsid w:val="005A003C"/>
    <w:rsid w:val="005A216C"/>
    <w:rsid w:val="005A24D4"/>
    <w:rsid w:val="005A2ADD"/>
    <w:rsid w:val="005A563F"/>
    <w:rsid w:val="005A698C"/>
    <w:rsid w:val="005A7406"/>
    <w:rsid w:val="005B1269"/>
    <w:rsid w:val="005B161E"/>
    <w:rsid w:val="005B41D7"/>
    <w:rsid w:val="005B56FF"/>
    <w:rsid w:val="005B732A"/>
    <w:rsid w:val="005B7E2D"/>
    <w:rsid w:val="005C0C6D"/>
    <w:rsid w:val="005C100E"/>
    <w:rsid w:val="005C12FC"/>
    <w:rsid w:val="005C1457"/>
    <w:rsid w:val="005C15C3"/>
    <w:rsid w:val="005C178E"/>
    <w:rsid w:val="005C2A63"/>
    <w:rsid w:val="005C77B7"/>
    <w:rsid w:val="005D1451"/>
    <w:rsid w:val="005D3009"/>
    <w:rsid w:val="005D305C"/>
    <w:rsid w:val="005D42A6"/>
    <w:rsid w:val="005D7A30"/>
    <w:rsid w:val="005E0799"/>
    <w:rsid w:val="005E092A"/>
    <w:rsid w:val="005E1E85"/>
    <w:rsid w:val="005E479C"/>
    <w:rsid w:val="005E6AF3"/>
    <w:rsid w:val="005E727F"/>
    <w:rsid w:val="005F0E7A"/>
    <w:rsid w:val="005F1B56"/>
    <w:rsid w:val="005F3E66"/>
    <w:rsid w:val="005F5A80"/>
    <w:rsid w:val="00600249"/>
    <w:rsid w:val="006015B8"/>
    <w:rsid w:val="00603BD2"/>
    <w:rsid w:val="006044FF"/>
    <w:rsid w:val="00604AF9"/>
    <w:rsid w:val="00607CC5"/>
    <w:rsid w:val="00610F15"/>
    <w:rsid w:val="006126A0"/>
    <w:rsid w:val="006129C1"/>
    <w:rsid w:val="00614322"/>
    <w:rsid w:val="00614835"/>
    <w:rsid w:val="006164A0"/>
    <w:rsid w:val="00617CFE"/>
    <w:rsid w:val="00620695"/>
    <w:rsid w:val="006208C6"/>
    <w:rsid w:val="006217DB"/>
    <w:rsid w:val="00623CED"/>
    <w:rsid w:val="00625468"/>
    <w:rsid w:val="00627769"/>
    <w:rsid w:val="00632C8B"/>
    <w:rsid w:val="00633014"/>
    <w:rsid w:val="00633C15"/>
    <w:rsid w:val="0063437B"/>
    <w:rsid w:val="00634EC3"/>
    <w:rsid w:val="0063503C"/>
    <w:rsid w:val="0063584E"/>
    <w:rsid w:val="00635E5C"/>
    <w:rsid w:val="00636333"/>
    <w:rsid w:val="006369ED"/>
    <w:rsid w:val="00636C3A"/>
    <w:rsid w:val="00636C6C"/>
    <w:rsid w:val="00637CDB"/>
    <w:rsid w:val="00640A09"/>
    <w:rsid w:val="00641C21"/>
    <w:rsid w:val="00644926"/>
    <w:rsid w:val="00644967"/>
    <w:rsid w:val="00644E46"/>
    <w:rsid w:val="00650AA0"/>
    <w:rsid w:val="00650C74"/>
    <w:rsid w:val="00651314"/>
    <w:rsid w:val="00651D39"/>
    <w:rsid w:val="00652793"/>
    <w:rsid w:val="0065298B"/>
    <w:rsid w:val="006536BF"/>
    <w:rsid w:val="00654A3E"/>
    <w:rsid w:val="006550A0"/>
    <w:rsid w:val="00655A09"/>
    <w:rsid w:val="00662CA2"/>
    <w:rsid w:val="006634FC"/>
    <w:rsid w:val="00663CC0"/>
    <w:rsid w:val="0066430E"/>
    <w:rsid w:val="0066560F"/>
    <w:rsid w:val="00666458"/>
    <w:rsid w:val="006666B3"/>
    <w:rsid w:val="006668E5"/>
    <w:rsid w:val="006673CA"/>
    <w:rsid w:val="00667EBD"/>
    <w:rsid w:val="00673C26"/>
    <w:rsid w:val="006759E3"/>
    <w:rsid w:val="00675B3C"/>
    <w:rsid w:val="00675F92"/>
    <w:rsid w:val="006772B9"/>
    <w:rsid w:val="006778E7"/>
    <w:rsid w:val="00677B3D"/>
    <w:rsid w:val="006812AF"/>
    <w:rsid w:val="00681F73"/>
    <w:rsid w:val="0068254F"/>
    <w:rsid w:val="0068327D"/>
    <w:rsid w:val="0068357D"/>
    <w:rsid w:val="00683B93"/>
    <w:rsid w:val="006845DA"/>
    <w:rsid w:val="006845DC"/>
    <w:rsid w:val="0068463C"/>
    <w:rsid w:val="006938EE"/>
    <w:rsid w:val="00693CAF"/>
    <w:rsid w:val="00693D63"/>
    <w:rsid w:val="00694085"/>
    <w:rsid w:val="006943E7"/>
    <w:rsid w:val="00694AF0"/>
    <w:rsid w:val="0069667F"/>
    <w:rsid w:val="00697229"/>
    <w:rsid w:val="006A00D7"/>
    <w:rsid w:val="006A0218"/>
    <w:rsid w:val="006A02A1"/>
    <w:rsid w:val="006A29EE"/>
    <w:rsid w:val="006A4686"/>
    <w:rsid w:val="006A63B7"/>
    <w:rsid w:val="006A6BCB"/>
    <w:rsid w:val="006B0E9E"/>
    <w:rsid w:val="006B2AE1"/>
    <w:rsid w:val="006B3F7A"/>
    <w:rsid w:val="006B4C42"/>
    <w:rsid w:val="006B5AE4"/>
    <w:rsid w:val="006B6F9B"/>
    <w:rsid w:val="006C0012"/>
    <w:rsid w:val="006C1077"/>
    <w:rsid w:val="006C3911"/>
    <w:rsid w:val="006C5B7D"/>
    <w:rsid w:val="006C642D"/>
    <w:rsid w:val="006D1507"/>
    <w:rsid w:val="006D28A4"/>
    <w:rsid w:val="006D2B74"/>
    <w:rsid w:val="006D30FD"/>
    <w:rsid w:val="006D4054"/>
    <w:rsid w:val="006D5863"/>
    <w:rsid w:val="006D76DB"/>
    <w:rsid w:val="006E02EC"/>
    <w:rsid w:val="006E0689"/>
    <w:rsid w:val="006E28C5"/>
    <w:rsid w:val="006E360B"/>
    <w:rsid w:val="006E4563"/>
    <w:rsid w:val="006E4D0D"/>
    <w:rsid w:val="006E5753"/>
    <w:rsid w:val="006E5D63"/>
    <w:rsid w:val="006F038A"/>
    <w:rsid w:val="006F14EF"/>
    <w:rsid w:val="006F1AE2"/>
    <w:rsid w:val="006F6507"/>
    <w:rsid w:val="006F6DA3"/>
    <w:rsid w:val="0070198A"/>
    <w:rsid w:val="00702B00"/>
    <w:rsid w:val="00704E74"/>
    <w:rsid w:val="00705EC8"/>
    <w:rsid w:val="00711939"/>
    <w:rsid w:val="00716662"/>
    <w:rsid w:val="00716759"/>
    <w:rsid w:val="00716D3D"/>
    <w:rsid w:val="007177AB"/>
    <w:rsid w:val="00717AFB"/>
    <w:rsid w:val="007202E6"/>
    <w:rsid w:val="007211B1"/>
    <w:rsid w:val="00722F6F"/>
    <w:rsid w:val="007234AE"/>
    <w:rsid w:val="0072557A"/>
    <w:rsid w:val="00725AE8"/>
    <w:rsid w:val="00726924"/>
    <w:rsid w:val="007301E6"/>
    <w:rsid w:val="00730E4D"/>
    <w:rsid w:val="00731456"/>
    <w:rsid w:val="007318AE"/>
    <w:rsid w:val="0073298B"/>
    <w:rsid w:val="00733FAF"/>
    <w:rsid w:val="00734D8D"/>
    <w:rsid w:val="0073510A"/>
    <w:rsid w:val="00736960"/>
    <w:rsid w:val="007374E2"/>
    <w:rsid w:val="007419F4"/>
    <w:rsid w:val="0074243E"/>
    <w:rsid w:val="007436CF"/>
    <w:rsid w:val="00744A2E"/>
    <w:rsid w:val="00744E52"/>
    <w:rsid w:val="00746187"/>
    <w:rsid w:val="00753678"/>
    <w:rsid w:val="00755E9E"/>
    <w:rsid w:val="007573E0"/>
    <w:rsid w:val="00761827"/>
    <w:rsid w:val="0076254F"/>
    <w:rsid w:val="0076273D"/>
    <w:rsid w:val="0076579C"/>
    <w:rsid w:val="0077176F"/>
    <w:rsid w:val="00772B74"/>
    <w:rsid w:val="007752CE"/>
    <w:rsid w:val="007772F0"/>
    <w:rsid w:val="00777637"/>
    <w:rsid w:val="00777DD5"/>
    <w:rsid w:val="007800A1"/>
    <w:rsid w:val="007801F5"/>
    <w:rsid w:val="007809EA"/>
    <w:rsid w:val="007810D5"/>
    <w:rsid w:val="00783CA4"/>
    <w:rsid w:val="007842FB"/>
    <w:rsid w:val="0078444F"/>
    <w:rsid w:val="00786124"/>
    <w:rsid w:val="007871F1"/>
    <w:rsid w:val="00787F8F"/>
    <w:rsid w:val="007910B3"/>
    <w:rsid w:val="0079514B"/>
    <w:rsid w:val="00795E1B"/>
    <w:rsid w:val="007A1A22"/>
    <w:rsid w:val="007A1BF9"/>
    <w:rsid w:val="007A290C"/>
    <w:rsid w:val="007A2A38"/>
    <w:rsid w:val="007A2DC1"/>
    <w:rsid w:val="007A2E92"/>
    <w:rsid w:val="007A3B92"/>
    <w:rsid w:val="007A42D5"/>
    <w:rsid w:val="007A5D09"/>
    <w:rsid w:val="007A6977"/>
    <w:rsid w:val="007A7725"/>
    <w:rsid w:val="007B047F"/>
    <w:rsid w:val="007B41C9"/>
    <w:rsid w:val="007B50E0"/>
    <w:rsid w:val="007B53A6"/>
    <w:rsid w:val="007B5B59"/>
    <w:rsid w:val="007C02FF"/>
    <w:rsid w:val="007C0CAB"/>
    <w:rsid w:val="007C6D34"/>
    <w:rsid w:val="007C7C6F"/>
    <w:rsid w:val="007D17A2"/>
    <w:rsid w:val="007D1880"/>
    <w:rsid w:val="007D3319"/>
    <w:rsid w:val="007D335D"/>
    <w:rsid w:val="007D42C8"/>
    <w:rsid w:val="007D488C"/>
    <w:rsid w:val="007E1A5D"/>
    <w:rsid w:val="007E2C24"/>
    <w:rsid w:val="007E3314"/>
    <w:rsid w:val="007E3958"/>
    <w:rsid w:val="007E4738"/>
    <w:rsid w:val="007E4AAB"/>
    <w:rsid w:val="007E4B03"/>
    <w:rsid w:val="007E4CC0"/>
    <w:rsid w:val="007E5F43"/>
    <w:rsid w:val="007E616D"/>
    <w:rsid w:val="007E6777"/>
    <w:rsid w:val="007E7300"/>
    <w:rsid w:val="007E7BFC"/>
    <w:rsid w:val="007F1810"/>
    <w:rsid w:val="007F324B"/>
    <w:rsid w:val="007F33FD"/>
    <w:rsid w:val="007F39E6"/>
    <w:rsid w:val="007F6B7D"/>
    <w:rsid w:val="007F7765"/>
    <w:rsid w:val="007F7B67"/>
    <w:rsid w:val="0080314C"/>
    <w:rsid w:val="00804CB8"/>
    <w:rsid w:val="00805332"/>
    <w:rsid w:val="0080553C"/>
    <w:rsid w:val="00805B46"/>
    <w:rsid w:val="0080724A"/>
    <w:rsid w:val="00807281"/>
    <w:rsid w:val="00810074"/>
    <w:rsid w:val="008118FA"/>
    <w:rsid w:val="00812D0E"/>
    <w:rsid w:val="00815DC2"/>
    <w:rsid w:val="00816CF7"/>
    <w:rsid w:val="00817966"/>
    <w:rsid w:val="00817EDB"/>
    <w:rsid w:val="00817F2B"/>
    <w:rsid w:val="008226FE"/>
    <w:rsid w:val="008243AD"/>
    <w:rsid w:val="00825DC2"/>
    <w:rsid w:val="00827CB5"/>
    <w:rsid w:val="00832C2B"/>
    <w:rsid w:val="00834AD3"/>
    <w:rsid w:val="00834DD8"/>
    <w:rsid w:val="00834FA9"/>
    <w:rsid w:val="0083648B"/>
    <w:rsid w:val="00840EB8"/>
    <w:rsid w:val="00841771"/>
    <w:rsid w:val="00841B6C"/>
    <w:rsid w:val="008432CD"/>
    <w:rsid w:val="00843795"/>
    <w:rsid w:val="00845C34"/>
    <w:rsid w:val="00846DF5"/>
    <w:rsid w:val="00847EF1"/>
    <w:rsid w:val="00847F0F"/>
    <w:rsid w:val="00851D33"/>
    <w:rsid w:val="00851FF9"/>
    <w:rsid w:val="00852448"/>
    <w:rsid w:val="008530C3"/>
    <w:rsid w:val="00853C35"/>
    <w:rsid w:val="00856CA3"/>
    <w:rsid w:val="00857010"/>
    <w:rsid w:val="0085768B"/>
    <w:rsid w:val="0085782D"/>
    <w:rsid w:val="00857D68"/>
    <w:rsid w:val="008608CC"/>
    <w:rsid w:val="00863AEA"/>
    <w:rsid w:val="00865F94"/>
    <w:rsid w:val="00867D6D"/>
    <w:rsid w:val="008733CC"/>
    <w:rsid w:val="008744A1"/>
    <w:rsid w:val="00874DD3"/>
    <w:rsid w:val="0087607B"/>
    <w:rsid w:val="0088258A"/>
    <w:rsid w:val="00882DD2"/>
    <w:rsid w:val="00884F35"/>
    <w:rsid w:val="0088572D"/>
    <w:rsid w:val="008861C0"/>
    <w:rsid w:val="00886332"/>
    <w:rsid w:val="008917EA"/>
    <w:rsid w:val="00897BC6"/>
    <w:rsid w:val="008A1E3A"/>
    <w:rsid w:val="008A1EEF"/>
    <w:rsid w:val="008A26D9"/>
    <w:rsid w:val="008A3580"/>
    <w:rsid w:val="008A359E"/>
    <w:rsid w:val="008A376C"/>
    <w:rsid w:val="008A57EE"/>
    <w:rsid w:val="008B221F"/>
    <w:rsid w:val="008B266A"/>
    <w:rsid w:val="008B7D6B"/>
    <w:rsid w:val="008C0B46"/>
    <w:rsid w:val="008C0C29"/>
    <w:rsid w:val="008C13AD"/>
    <w:rsid w:val="008C218E"/>
    <w:rsid w:val="008C4223"/>
    <w:rsid w:val="008C67FA"/>
    <w:rsid w:val="008C7288"/>
    <w:rsid w:val="008D05EB"/>
    <w:rsid w:val="008D10F5"/>
    <w:rsid w:val="008D13F0"/>
    <w:rsid w:val="008D59C4"/>
    <w:rsid w:val="008D7301"/>
    <w:rsid w:val="008E16D4"/>
    <w:rsid w:val="008E1832"/>
    <w:rsid w:val="008E3590"/>
    <w:rsid w:val="008F1D9F"/>
    <w:rsid w:val="008F3577"/>
    <w:rsid w:val="008F3638"/>
    <w:rsid w:val="008F4441"/>
    <w:rsid w:val="008F505B"/>
    <w:rsid w:val="008F5D95"/>
    <w:rsid w:val="008F5E41"/>
    <w:rsid w:val="008F6B8E"/>
    <w:rsid w:val="008F6F31"/>
    <w:rsid w:val="008F74DF"/>
    <w:rsid w:val="00900143"/>
    <w:rsid w:val="00904350"/>
    <w:rsid w:val="00904951"/>
    <w:rsid w:val="009056D9"/>
    <w:rsid w:val="00907584"/>
    <w:rsid w:val="009127BA"/>
    <w:rsid w:val="00912983"/>
    <w:rsid w:val="00912B12"/>
    <w:rsid w:val="00914B78"/>
    <w:rsid w:val="00914D00"/>
    <w:rsid w:val="00914E63"/>
    <w:rsid w:val="009154BB"/>
    <w:rsid w:val="00917C3F"/>
    <w:rsid w:val="009227A6"/>
    <w:rsid w:val="0093011D"/>
    <w:rsid w:val="00931F01"/>
    <w:rsid w:val="009333BB"/>
    <w:rsid w:val="0093342F"/>
    <w:rsid w:val="00933EC1"/>
    <w:rsid w:val="00934BB1"/>
    <w:rsid w:val="009356C0"/>
    <w:rsid w:val="00937FB5"/>
    <w:rsid w:val="00940DE0"/>
    <w:rsid w:val="009465A7"/>
    <w:rsid w:val="00946A98"/>
    <w:rsid w:val="00946B81"/>
    <w:rsid w:val="00947BDB"/>
    <w:rsid w:val="00950FD0"/>
    <w:rsid w:val="00952623"/>
    <w:rsid w:val="009530DB"/>
    <w:rsid w:val="00953676"/>
    <w:rsid w:val="00953F5C"/>
    <w:rsid w:val="00954A3D"/>
    <w:rsid w:val="009626D6"/>
    <w:rsid w:val="00964B68"/>
    <w:rsid w:val="00965995"/>
    <w:rsid w:val="00965BD0"/>
    <w:rsid w:val="00965FA3"/>
    <w:rsid w:val="009705EE"/>
    <w:rsid w:val="00971139"/>
    <w:rsid w:val="00975392"/>
    <w:rsid w:val="0097622E"/>
    <w:rsid w:val="00976D2F"/>
    <w:rsid w:val="00977927"/>
    <w:rsid w:val="009800F8"/>
    <w:rsid w:val="0098135C"/>
    <w:rsid w:val="0098156A"/>
    <w:rsid w:val="00982106"/>
    <w:rsid w:val="00984382"/>
    <w:rsid w:val="0098488B"/>
    <w:rsid w:val="00984FE2"/>
    <w:rsid w:val="00986E2A"/>
    <w:rsid w:val="00991815"/>
    <w:rsid w:val="00991BAC"/>
    <w:rsid w:val="00992AF1"/>
    <w:rsid w:val="00995430"/>
    <w:rsid w:val="00997D2C"/>
    <w:rsid w:val="009A0251"/>
    <w:rsid w:val="009A0665"/>
    <w:rsid w:val="009A1D17"/>
    <w:rsid w:val="009A2476"/>
    <w:rsid w:val="009A2E52"/>
    <w:rsid w:val="009A3ADB"/>
    <w:rsid w:val="009A6AFC"/>
    <w:rsid w:val="009A6EA0"/>
    <w:rsid w:val="009A6F68"/>
    <w:rsid w:val="009B1CC5"/>
    <w:rsid w:val="009B2196"/>
    <w:rsid w:val="009B2BEC"/>
    <w:rsid w:val="009B638B"/>
    <w:rsid w:val="009B7937"/>
    <w:rsid w:val="009B7ACF"/>
    <w:rsid w:val="009C1335"/>
    <w:rsid w:val="009C1527"/>
    <w:rsid w:val="009C15B6"/>
    <w:rsid w:val="009C1AB2"/>
    <w:rsid w:val="009C38E8"/>
    <w:rsid w:val="009C44F6"/>
    <w:rsid w:val="009C53D5"/>
    <w:rsid w:val="009C6DC8"/>
    <w:rsid w:val="009C7251"/>
    <w:rsid w:val="009C76BA"/>
    <w:rsid w:val="009D2BD5"/>
    <w:rsid w:val="009D54D5"/>
    <w:rsid w:val="009D61AA"/>
    <w:rsid w:val="009D708F"/>
    <w:rsid w:val="009E2E91"/>
    <w:rsid w:val="009E7813"/>
    <w:rsid w:val="009E7A28"/>
    <w:rsid w:val="009E7DC0"/>
    <w:rsid w:val="009E7E6B"/>
    <w:rsid w:val="009F03C2"/>
    <w:rsid w:val="009F1A99"/>
    <w:rsid w:val="009F1C56"/>
    <w:rsid w:val="009F4369"/>
    <w:rsid w:val="009F4496"/>
    <w:rsid w:val="009F5EDC"/>
    <w:rsid w:val="009F6116"/>
    <w:rsid w:val="009F6136"/>
    <w:rsid w:val="009F7903"/>
    <w:rsid w:val="00A002C8"/>
    <w:rsid w:val="00A003F6"/>
    <w:rsid w:val="00A05463"/>
    <w:rsid w:val="00A065D9"/>
    <w:rsid w:val="00A11CFC"/>
    <w:rsid w:val="00A12588"/>
    <w:rsid w:val="00A12FEB"/>
    <w:rsid w:val="00A139F5"/>
    <w:rsid w:val="00A14BD5"/>
    <w:rsid w:val="00A1701F"/>
    <w:rsid w:val="00A20331"/>
    <w:rsid w:val="00A2047B"/>
    <w:rsid w:val="00A2544C"/>
    <w:rsid w:val="00A26580"/>
    <w:rsid w:val="00A266C6"/>
    <w:rsid w:val="00A334CD"/>
    <w:rsid w:val="00A35FF1"/>
    <w:rsid w:val="00A365CD"/>
    <w:rsid w:val="00A365F4"/>
    <w:rsid w:val="00A36B64"/>
    <w:rsid w:val="00A37ED1"/>
    <w:rsid w:val="00A40286"/>
    <w:rsid w:val="00A41466"/>
    <w:rsid w:val="00A41BAE"/>
    <w:rsid w:val="00A424AA"/>
    <w:rsid w:val="00A428F7"/>
    <w:rsid w:val="00A42951"/>
    <w:rsid w:val="00A42B00"/>
    <w:rsid w:val="00A42B44"/>
    <w:rsid w:val="00A42C39"/>
    <w:rsid w:val="00A42ED4"/>
    <w:rsid w:val="00A446B3"/>
    <w:rsid w:val="00A46099"/>
    <w:rsid w:val="00A4754D"/>
    <w:rsid w:val="00A47D80"/>
    <w:rsid w:val="00A47EB5"/>
    <w:rsid w:val="00A51052"/>
    <w:rsid w:val="00A5133B"/>
    <w:rsid w:val="00A51A38"/>
    <w:rsid w:val="00A53132"/>
    <w:rsid w:val="00A563F2"/>
    <w:rsid w:val="00A566E8"/>
    <w:rsid w:val="00A5768A"/>
    <w:rsid w:val="00A6002D"/>
    <w:rsid w:val="00A618C0"/>
    <w:rsid w:val="00A619B7"/>
    <w:rsid w:val="00A621CF"/>
    <w:rsid w:val="00A62688"/>
    <w:rsid w:val="00A628AB"/>
    <w:rsid w:val="00A65690"/>
    <w:rsid w:val="00A65F95"/>
    <w:rsid w:val="00A72CF9"/>
    <w:rsid w:val="00A7503E"/>
    <w:rsid w:val="00A754F0"/>
    <w:rsid w:val="00A810F9"/>
    <w:rsid w:val="00A8193C"/>
    <w:rsid w:val="00A81DF5"/>
    <w:rsid w:val="00A82117"/>
    <w:rsid w:val="00A823E5"/>
    <w:rsid w:val="00A84223"/>
    <w:rsid w:val="00A84310"/>
    <w:rsid w:val="00A84CE0"/>
    <w:rsid w:val="00A86C50"/>
    <w:rsid w:val="00A86ECC"/>
    <w:rsid w:val="00A86ECE"/>
    <w:rsid w:val="00A86FCC"/>
    <w:rsid w:val="00A87F29"/>
    <w:rsid w:val="00A87FEF"/>
    <w:rsid w:val="00A97324"/>
    <w:rsid w:val="00AA08A6"/>
    <w:rsid w:val="00AA2328"/>
    <w:rsid w:val="00AA24E9"/>
    <w:rsid w:val="00AA28DC"/>
    <w:rsid w:val="00AA5F4F"/>
    <w:rsid w:val="00AA710D"/>
    <w:rsid w:val="00AB08D3"/>
    <w:rsid w:val="00AB1964"/>
    <w:rsid w:val="00AB2EDD"/>
    <w:rsid w:val="00AB399A"/>
    <w:rsid w:val="00AB3A8F"/>
    <w:rsid w:val="00AB46D2"/>
    <w:rsid w:val="00AB6D25"/>
    <w:rsid w:val="00AC1720"/>
    <w:rsid w:val="00AC2840"/>
    <w:rsid w:val="00AC3FB8"/>
    <w:rsid w:val="00AC4780"/>
    <w:rsid w:val="00AC4BFB"/>
    <w:rsid w:val="00AC5ADC"/>
    <w:rsid w:val="00AC628B"/>
    <w:rsid w:val="00AC6659"/>
    <w:rsid w:val="00AD240F"/>
    <w:rsid w:val="00AD3C6B"/>
    <w:rsid w:val="00AD7C5E"/>
    <w:rsid w:val="00AD7F36"/>
    <w:rsid w:val="00AE1933"/>
    <w:rsid w:val="00AE2D4B"/>
    <w:rsid w:val="00AE4F99"/>
    <w:rsid w:val="00AE524A"/>
    <w:rsid w:val="00AE5820"/>
    <w:rsid w:val="00AE5EA4"/>
    <w:rsid w:val="00AF02CA"/>
    <w:rsid w:val="00AF20C6"/>
    <w:rsid w:val="00AF2EF6"/>
    <w:rsid w:val="00AF3D16"/>
    <w:rsid w:val="00AF4081"/>
    <w:rsid w:val="00AF6386"/>
    <w:rsid w:val="00B00BF1"/>
    <w:rsid w:val="00B0191A"/>
    <w:rsid w:val="00B03061"/>
    <w:rsid w:val="00B058F8"/>
    <w:rsid w:val="00B06110"/>
    <w:rsid w:val="00B063AE"/>
    <w:rsid w:val="00B06677"/>
    <w:rsid w:val="00B06C29"/>
    <w:rsid w:val="00B07847"/>
    <w:rsid w:val="00B11B69"/>
    <w:rsid w:val="00B14952"/>
    <w:rsid w:val="00B202FE"/>
    <w:rsid w:val="00B22531"/>
    <w:rsid w:val="00B2302D"/>
    <w:rsid w:val="00B245A1"/>
    <w:rsid w:val="00B305B4"/>
    <w:rsid w:val="00B31E5A"/>
    <w:rsid w:val="00B33427"/>
    <w:rsid w:val="00B33AA6"/>
    <w:rsid w:val="00B3407F"/>
    <w:rsid w:val="00B35461"/>
    <w:rsid w:val="00B35AEF"/>
    <w:rsid w:val="00B35F7B"/>
    <w:rsid w:val="00B37B22"/>
    <w:rsid w:val="00B400F6"/>
    <w:rsid w:val="00B41797"/>
    <w:rsid w:val="00B425FA"/>
    <w:rsid w:val="00B44BD4"/>
    <w:rsid w:val="00B45F4C"/>
    <w:rsid w:val="00B5006E"/>
    <w:rsid w:val="00B52366"/>
    <w:rsid w:val="00B527F4"/>
    <w:rsid w:val="00B5323B"/>
    <w:rsid w:val="00B534BF"/>
    <w:rsid w:val="00B53849"/>
    <w:rsid w:val="00B54AA1"/>
    <w:rsid w:val="00B5673F"/>
    <w:rsid w:val="00B57CA3"/>
    <w:rsid w:val="00B605DA"/>
    <w:rsid w:val="00B6086C"/>
    <w:rsid w:val="00B60A7B"/>
    <w:rsid w:val="00B62B1D"/>
    <w:rsid w:val="00B63564"/>
    <w:rsid w:val="00B6392F"/>
    <w:rsid w:val="00B63FDA"/>
    <w:rsid w:val="00B653AB"/>
    <w:rsid w:val="00B65D79"/>
    <w:rsid w:val="00B65EDA"/>
    <w:rsid w:val="00B65F9E"/>
    <w:rsid w:val="00B66699"/>
    <w:rsid w:val="00B66A25"/>
    <w:rsid w:val="00B66B19"/>
    <w:rsid w:val="00B67520"/>
    <w:rsid w:val="00B67C6B"/>
    <w:rsid w:val="00B67F38"/>
    <w:rsid w:val="00B67F68"/>
    <w:rsid w:val="00B70921"/>
    <w:rsid w:val="00B74817"/>
    <w:rsid w:val="00B76C28"/>
    <w:rsid w:val="00B80518"/>
    <w:rsid w:val="00B81BB3"/>
    <w:rsid w:val="00B81F25"/>
    <w:rsid w:val="00B83C6D"/>
    <w:rsid w:val="00B851D7"/>
    <w:rsid w:val="00B86465"/>
    <w:rsid w:val="00B8670C"/>
    <w:rsid w:val="00B8763A"/>
    <w:rsid w:val="00B903A5"/>
    <w:rsid w:val="00B909FB"/>
    <w:rsid w:val="00B914E9"/>
    <w:rsid w:val="00B93149"/>
    <w:rsid w:val="00B936CF"/>
    <w:rsid w:val="00B942A3"/>
    <w:rsid w:val="00B956EE"/>
    <w:rsid w:val="00B97BE5"/>
    <w:rsid w:val="00BA0320"/>
    <w:rsid w:val="00BA0566"/>
    <w:rsid w:val="00BA2BA1"/>
    <w:rsid w:val="00BA3562"/>
    <w:rsid w:val="00BA4A3B"/>
    <w:rsid w:val="00BA6478"/>
    <w:rsid w:val="00BA70D5"/>
    <w:rsid w:val="00BA7AC0"/>
    <w:rsid w:val="00BB0307"/>
    <w:rsid w:val="00BB13C8"/>
    <w:rsid w:val="00BB165B"/>
    <w:rsid w:val="00BB3C2E"/>
    <w:rsid w:val="00BB3DAB"/>
    <w:rsid w:val="00BB4F09"/>
    <w:rsid w:val="00BB5341"/>
    <w:rsid w:val="00BB5773"/>
    <w:rsid w:val="00BB7541"/>
    <w:rsid w:val="00BC0C3D"/>
    <w:rsid w:val="00BC3516"/>
    <w:rsid w:val="00BC5C7E"/>
    <w:rsid w:val="00BD3230"/>
    <w:rsid w:val="00BD3E9B"/>
    <w:rsid w:val="00BD4400"/>
    <w:rsid w:val="00BD4E33"/>
    <w:rsid w:val="00BD733E"/>
    <w:rsid w:val="00BD73D0"/>
    <w:rsid w:val="00BD7511"/>
    <w:rsid w:val="00BD7F80"/>
    <w:rsid w:val="00BE07B5"/>
    <w:rsid w:val="00BE1606"/>
    <w:rsid w:val="00BE1FA1"/>
    <w:rsid w:val="00BE32FE"/>
    <w:rsid w:val="00BE352F"/>
    <w:rsid w:val="00BE67E6"/>
    <w:rsid w:val="00BE7855"/>
    <w:rsid w:val="00BF0316"/>
    <w:rsid w:val="00BF24A2"/>
    <w:rsid w:val="00BF327D"/>
    <w:rsid w:val="00BF3ACE"/>
    <w:rsid w:val="00BF4428"/>
    <w:rsid w:val="00BF4D73"/>
    <w:rsid w:val="00BF5296"/>
    <w:rsid w:val="00BF7560"/>
    <w:rsid w:val="00BF7918"/>
    <w:rsid w:val="00C02FE2"/>
    <w:rsid w:val="00C030DE"/>
    <w:rsid w:val="00C035FA"/>
    <w:rsid w:val="00C058C7"/>
    <w:rsid w:val="00C061CA"/>
    <w:rsid w:val="00C06FBC"/>
    <w:rsid w:val="00C1009B"/>
    <w:rsid w:val="00C10C3C"/>
    <w:rsid w:val="00C11A9D"/>
    <w:rsid w:val="00C13644"/>
    <w:rsid w:val="00C13CD0"/>
    <w:rsid w:val="00C1502E"/>
    <w:rsid w:val="00C16540"/>
    <w:rsid w:val="00C20312"/>
    <w:rsid w:val="00C206E3"/>
    <w:rsid w:val="00C22105"/>
    <w:rsid w:val="00C22496"/>
    <w:rsid w:val="00C240EB"/>
    <w:rsid w:val="00C244B6"/>
    <w:rsid w:val="00C2514B"/>
    <w:rsid w:val="00C2648B"/>
    <w:rsid w:val="00C27FA0"/>
    <w:rsid w:val="00C309EA"/>
    <w:rsid w:val="00C32FB1"/>
    <w:rsid w:val="00C354F4"/>
    <w:rsid w:val="00C3702F"/>
    <w:rsid w:val="00C37E62"/>
    <w:rsid w:val="00C40326"/>
    <w:rsid w:val="00C438DF"/>
    <w:rsid w:val="00C4500A"/>
    <w:rsid w:val="00C45321"/>
    <w:rsid w:val="00C46C7A"/>
    <w:rsid w:val="00C471CA"/>
    <w:rsid w:val="00C47342"/>
    <w:rsid w:val="00C47FCF"/>
    <w:rsid w:val="00C50DE4"/>
    <w:rsid w:val="00C52ABA"/>
    <w:rsid w:val="00C53660"/>
    <w:rsid w:val="00C54E4D"/>
    <w:rsid w:val="00C57774"/>
    <w:rsid w:val="00C57C9D"/>
    <w:rsid w:val="00C606B2"/>
    <w:rsid w:val="00C6200C"/>
    <w:rsid w:val="00C627CD"/>
    <w:rsid w:val="00C62B3A"/>
    <w:rsid w:val="00C643FE"/>
    <w:rsid w:val="00C64A37"/>
    <w:rsid w:val="00C708BA"/>
    <w:rsid w:val="00C7158E"/>
    <w:rsid w:val="00C71C71"/>
    <w:rsid w:val="00C72355"/>
    <w:rsid w:val="00C7250B"/>
    <w:rsid w:val="00C72945"/>
    <w:rsid w:val="00C72FE0"/>
    <w:rsid w:val="00C73089"/>
    <w:rsid w:val="00C7346B"/>
    <w:rsid w:val="00C740F9"/>
    <w:rsid w:val="00C749E9"/>
    <w:rsid w:val="00C74CA2"/>
    <w:rsid w:val="00C7527D"/>
    <w:rsid w:val="00C75792"/>
    <w:rsid w:val="00C762D4"/>
    <w:rsid w:val="00C76D71"/>
    <w:rsid w:val="00C77C0E"/>
    <w:rsid w:val="00C85535"/>
    <w:rsid w:val="00C867E3"/>
    <w:rsid w:val="00C875A8"/>
    <w:rsid w:val="00C91687"/>
    <w:rsid w:val="00C91C68"/>
    <w:rsid w:val="00C9218F"/>
    <w:rsid w:val="00C924A8"/>
    <w:rsid w:val="00C945FE"/>
    <w:rsid w:val="00C95FD8"/>
    <w:rsid w:val="00C96D23"/>
    <w:rsid w:val="00C96FAA"/>
    <w:rsid w:val="00C971E3"/>
    <w:rsid w:val="00C976DA"/>
    <w:rsid w:val="00C97A04"/>
    <w:rsid w:val="00C97FD1"/>
    <w:rsid w:val="00CA107B"/>
    <w:rsid w:val="00CA1187"/>
    <w:rsid w:val="00CA484D"/>
    <w:rsid w:val="00CA48D7"/>
    <w:rsid w:val="00CA4FB6"/>
    <w:rsid w:val="00CB2DD0"/>
    <w:rsid w:val="00CB5762"/>
    <w:rsid w:val="00CB60F4"/>
    <w:rsid w:val="00CC1072"/>
    <w:rsid w:val="00CC1138"/>
    <w:rsid w:val="00CC23F0"/>
    <w:rsid w:val="00CC3137"/>
    <w:rsid w:val="00CC3BE9"/>
    <w:rsid w:val="00CC5F89"/>
    <w:rsid w:val="00CC739E"/>
    <w:rsid w:val="00CD1999"/>
    <w:rsid w:val="00CD1CC7"/>
    <w:rsid w:val="00CD348C"/>
    <w:rsid w:val="00CD4784"/>
    <w:rsid w:val="00CD4D9F"/>
    <w:rsid w:val="00CD58B7"/>
    <w:rsid w:val="00CE07EB"/>
    <w:rsid w:val="00CE0B27"/>
    <w:rsid w:val="00CE2DB7"/>
    <w:rsid w:val="00CE4755"/>
    <w:rsid w:val="00CE4E10"/>
    <w:rsid w:val="00CF06C0"/>
    <w:rsid w:val="00CF3395"/>
    <w:rsid w:val="00CF346C"/>
    <w:rsid w:val="00CF3E04"/>
    <w:rsid w:val="00CF4099"/>
    <w:rsid w:val="00CF4C0A"/>
    <w:rsid w:val="00CF5347"/>
    <w:rsid w:val="00CF7F17"/>
    <w:rsid w:val="00D00796"/>
    <w:rsid w:val="00D01B85"/>
    <w:rsid w:val="00D02118"/>
    <w:rsid w:val="00D038F7"/>
    <w:rsid w:val="00D04587"/>
    <w:rsid w:val="00D07241"/>
    <w:rsid w:val="00D10246"/>
    <w:rsid w:val="00D10445"/>
    <w:rsid w:val="00D12D6F"/>
    <w:rsid w:val="00D13AC9"/>
    <w:rsid w:val="00D151EB"/>
    <w:rsid w:val="00D15A9E"/>
    <w:rsid w:val="00D16402"/>
    <w:rsid w:val="00D20736"/>
    <w:rsid w:val="00D221AD"/>
    <w:rsid w:val="00D250C3"/>
    <w:rsid w:val="00D261A2"/>
    <w:rsid w:val="00D270C1"/>
    <w:rsid w:val="00D303C1"/>
    <w:rsid w:val="00D31571"/>
    <w:rsid w:val="00D31A6E"/>
    <w:rsid w:val="00D339BC"/>
    <w:rsid w:val="00D34BDF"/>
    <w:rsid w:val="00D34F25"/>
    <w:rsid w:val="00D35202"/>
    <w:rsid w:val="00D36866"/>
    <w:rsid w:val="00D36AFD"/>
    <w:rsid w:val="00D36B29"/>
    <w:rsid w:val="00D36D61"/>
    <w:rsid w:val="00D4492A"/>
    <w:rsid w:val="00D45130"/>
    <w:rsid w:val="00D45884"/>
    <w:rsid w:val="00D46423"/>
    <w:rsid w:val="00D467AC"/>
    <w:rsid w:val="00D46DCD"/>
    <w:rsid w:val="00D5195F"/>
    <w:rsid w:val="00D52620"/>
    <w:rsid w:val="00D52FFB"/>
    <w:rsid w:val="00D53AAB"/>
    <w:rsid w:val="00D53B71"/>
    <w:rsid w:val="00D5703A"/>
    <w:rsid w:val="00D5745C"/>
    <w:rsid w:val="00D57698"/>
    <w:rsid w:val="00D60AEA"/>
    <w:rsid w:val="00D616D2"/>
    <w:rsid w:val="00D63B5F"/>
    <w:rsid w:val="00D65331"/>
    <w:rsid w:val="00D65341"/>
    <w:rsid w:val="00D66C4B"/>
    <w:rsid w:val="00D67403"/>
    <w:rsid w:val="00D67D8F"/>
    <w:rsid w:val="00D702D5"/>
    <w:rsid w:val="00D70EF7"/>
    <w:rsid w:val="00D72960"/>
    <w:rsid w:val="00D73772"/>
    <w:rsid w:val="00D73DCC"/>
    <w:rsid w:val="00D76007"/>
    <w:rsid w:val="00D77058"/>
    <w:rsid w:val="00D80E80"/>
    <w:rsid w:val="00D81CEC"/>
    <w:rsid w:val="00D83324"/>
    <w:rsid w:val="00D8348F"/>
    <w:rsid w:val="00D8397C"/>
    <w:rsid w:val="00D8438B"/>
    <w:rsid w:val="00D84ADC"/>
    <w:rsid w:val="00D84BCC"/>
    <w:rsid w:val="00D86662"/>
    <w:rsid w:val="00D94724"/>
    <w:rsid w:val="00D94EED"/>
    <w:rsid w:val="00D9583A"/>
    <w:rsid w:val="00D96026"/>
    <w:rsid w:val="00D96461"/>
    <w:rsid w:val="00D96F6D"/>
    <w:rsid w:val="00D97D85"/>
    <w:rsid w:val="00DA02B6"/>
    <w:rsid w:val="00DA09DC"/>
    <w:rsid w:val="00DA10DA"/>
    <w:rsid w:val="00DA16A7"/>
    <w:rsid w:val="00DA288A"/>
    <w:rsid w:val="00DA4D4A"/>
    <w:rsid w:val="00DA538B"/>
    <w:rsid w:val="00DA7C1C"/>
    <w:rsid w:val="00DB0B84"/>
    <w:rsid w:val="00DB147A"/>
    <w:rsid w:val="00DB1B7A"/>
    <w:rsid w:val="00DB4462"/>
    <w:rsid w:val="00DB4EA7"/>
    <w:rsid w:val="00DB5ADA"/>
    <w:rsid w:val="00DB5DC3"/>
    <w:rsid w:val="00DB60EB"/>
    <w:rsid w:val="00DB6D1A"/>
    <w:rsid w:val="00DB7BBD"/>
    <w:rsid w:val="00DB7EC0"/>
    <w:rsid w:val="00DC25DB"/>
    <w:rsid w:val="00DC35FC"/>
    <w:rsid w:val="00DC6708"/>
    <w:rsid w:val="00DC7BCA"/>
    <w:rsid w:val="00DD127C"/>
    <w:rsid w:val="00DD450E"/>
    <w:rsid w:val="00DD4EFA"/>
    <w:rsid w:val="00DD5FBD"/>
    <w:rsid w:val="00DE00F3"/>
    <w:rsid w:val="00DE0FFB"/>
    <w:rsid w:val="00DE2566"/>
    <w:rsid w:val="00DE5655"/>
    <w:rsid w:val="00DE642B"/>
    <w:rsid w:val="00DF2A62"/>
    <w:rsid w:val="00DF458D"/>
    <w:rsid w:val="00DF5B48"/>
    <w:rsid w:val="00DF6819"/>
    <w:rsid w:val="00DF7B2A"/>
    <w:rsid w:val="00E009AB"/>
    <w:rsid w:val="00E01436"/>
    <w:rsid w:val="00E01B37"/>
    <w:rsid w:val="00E0265D"/>
    <w:rsid w:val="00E0379A"/>
    <w:rsid w:val="00E045BD"/>
    <w:rsid w:val="00E07635"/>
    <w:rsid w:val="00E0786D"/>
    <w:rsid w:val="00E07ABD"/>
    <w:rsid w:val="00E110A6"/>
    <w:rsid w:val="00E128C4"/>
    <w:rsid w:val="00E17B77"/>
    <w:rsid w:val="00E205E2"/>
    <w:rsid w:val="00E21F09"/>
    <w:rsid w:val="00E226D5"/>
    <w:rsid w:val="00E23337"/>
    <w:rsid w:val="00E23A0D"/>
    <w:rsid w:val="00E23E30"/>
    <w:rsid w:val="00E23F62"/>
    <w:rsid w:val="00E259EA"/>
    <w:rsid w:val="00E271BC"/>
    <w:rsid w:val="00E3130C"/>
    <w:rsid w:val="00E3164E"/>
    <w:rsid w:val="00E31CE2"/>
    <w:rsid w:val="00E32061"/>
    <w:rsid w:val="00E32118"/>
    <w:rsid w:val="00E330D4"/>
    <w:rsid w:val="00E34E5E"/>
    <w:rsid w:val="00E352DE"/>
    <w:rsid w:val="00E3720C"/>
    <w:rsid w:val="00E40934"/>
    <w:rsid w:val="00E40B75"/>
    <w:rsid w:val="00E41155"/>
    <w:rsid w:val="00E42FF9"/>
    <w:rsid w:val="00E432C4"/>
    <w:rsid w:val="00E43747"/>
    <w:rsid w:val="00E4459D"/>
    <w:rsid w:val="00E44D84"/>
    <w:rsid w:val="00E451C9"/>
    <w:rsid w:val="00E4629F"/>
    <w:rsid w:val="00E46944"/>
    <w:rsid w:val="00E4714C"/>
    <w:rsid w:val="00E50FCF"/>
    <w:rsid w:val="00E51AEB"/>
    <w:rsid w:val="00E51FDD"/>
    <w:rsid w:val="00E52085"/>
    <w:rsid w:val="00E522A7"/>
    <w:rsid w:val="00E53135"/>
    <w:rsid w:val="00E537D1"/>
    <w:rsid w:val="00E54452"/>
    <w:rsid w:val="00E5458E"/>
    <w:rsid w:val="00E547E7"/>
    <w:rsid w:val="00E54E57"/>
    <w:rsid w:val="00E576DC"/>
    <w:rsid w:val="00E60EB7"/>
    <w:rsid w:val="00E62DEB"/>
    <w:rsid w:val="00E646B3"/>
    <w:rsid w:val="00E664C5"/>
    <w:rsid w:val="00E66A8A"/>
    <w:rsid w:val="00E671A2"/>
    <w:rsid w:val="00E674F5"/>
    <w:rsid w:val="00E67A83"/>
    <w:rsid w:val="00E700DA"/>
    <w:rsid w:val="00E704EC"/>
    <w:rsid w:val="00E733C8"/>
    <w:rsid w:val="00E73BC9"/>
    <w:rsid w:val="00E76433"/>
    <w:rsid w:val="00E7656E"/>
    <w:rsid w:val="00E76D26"/>
    <w:rsid w:val="00E76DC5"/>
    <w:rsid w:val="00E7728C"/>
    <w:rsid w:val="00E808CE"/>
    <w:rsid w:val="00E80C25"/>
    <w:rsid w:val="00E80E16"/>
    <w:rsid w:val="00E80F76"/>
    <w:rsid w:val="00E81AFA"/>
    <w:rsid w:val="00E8366D"/>
    <w:rsid w:val="00E845BC"/>
    <w:rsid w:val="00E84F7C"/>
    <w:rsid w:val="00E85933"/>
    <w:rsid w:val="00E91DF4"/>
    <w:rsid w:val="00E922C3"/>
    <w:rsid w:val="00E93C37"/>
    <w:rsid w:val="00E948AA"/>
    <w:rsid w:val="00E94AC3"/>
    <w:rsid w:val="00E95228"/>
    <w:rsid w:val="00E95926"/>
    <w:rsid w:val="00E9758B"/>
    <w:rsid w:val="00EA0315"/>
    <w:rsid w:val="00EA1606"/>
    <w:rsid w:val="00EA4387"/>
    <w:rsid w:val="00EA454C"/>
    <w:rsid w:val="00EA49A8"/>
    <w:rsid w:val="00EA75FC"/>
    <w:rsid w:val="00EB1390"/>
    <w:rsid w:val="00EB2C71"/>
    <w:rsid w:val="00EB3465"/>
    <w:rsid w:val="00EB4340"/>
    <w:rsid w:val="00EB52B8"/>
    <w:rsid w:val="00EB556D"/>
    <w:rsid w:val="00EB5A7D"/>
    <w:rsid w:val="00EB5BFB"/>
    <w:rsid w:val="00EB71E8"/>
    <w:rsid w:val="00EB7C3D"/>
    <w:rsid w:val="00EC1589"/>
    <w:rsid w:val="00EC1B38"/>
    <w:rsid w:val="00EC2E2D"/>
    <w:rsid w:val="00EC3582"/>
    <w:rsid w:val="00EC7427"/>
    <w:rsid w:val="00EC7FEB"/>
    <w:rsid w:val="00ED25BC"/>
    <w:rsid w:val="00ED2811"/>
    <w:rsid w:val="00ED4F2B"/>
    <w:rsid w:val="00ED55C0"/>
    <w:rsid w:val="00ED682B"/>
    <w:rsid w:val="00ED77C7"/>
    <w:rsid w:val="00ED7DF0"/>
    <w:rsid w:val="00ED7DF8"/>
    <w:rsid w:val="00EE07BE"/>
    <w:rsid w:val="00EE41D5"/>
    <w:rsid w:val="00EE4EE1"/>
    <w:rsid w:val="00EE5666"/>
    <w:rsid w:val="00EE6759"/>
    <w:rsid w:val="00EE7CD9"/>
    <w:rsid w:val="00EE7F64"/>
    <w:rsid w:val="00EF0779"/>
    <w:rsid w:val="00EF35CB"/>
    <w:rsid w:val="00EF3D5E"/>
    <w:rsid w:val="00EF41EB"/>
    <w:rsid w:val="00EF425B"/>
    <w:rsid w:val="00EF7046"/>
    <w:rsid w:val="00F002EF"/>
    <w:rsid w:val="00F02EAB"/>
    <w:rsid w:val="00F037A4"/>
    <w:rsid w:val="00F07A99"/>
    <w:rsid w:val="00F125CE"/>
    <w:rsid w:val="00F14886"/>
    <w:rsid w:val="00F15E3B"/>
    <w:rsid w:val="00F16029"/>
    <w:rsid w:val="00F179BA"/>
    <w:rsid w:val="00F214E9"/>
    <w:rsid w:val="00F220FD"/>
    <w:rsid w:val="00F24111"/>
    <w:rsid w:val="00F2515C"/>
    <w:rsid w:val="00F2677D"/>
    <w:rsid w:val="00F27C8F"/>
    <w:rsid w:val="00F31561"/>
    <w:rsid w:val="00F31571"/>
    <w:rsid w:val="00F320C1"/>
    <w:rsid w:val="00F32749"/>
    <w:rsid w:val="00F35B54"/>
    <w:rsid w:val="00F36037"/>
    <w:rsid w:val="00F37172"/>
    <w:rsid w:val="00F37240"/>
    <w:rsid w:val="00F40230"/>
    <w:rsid w:val="00F43390"/>
    <w:rsid w:val="00F4477E"/>
    <w:rsid w:val="00F4610B"/>
    <w:rsid w:val="00F5036D"/>
    <w:rsid w:val="00F5179F"/>
    <w:rsid w:val="00F55408"/>
    <w:rsid w:val="00F60D24"/>
    <w:rsid w:val="00F64031"/>
    <w:rsid w:val="00F64130"/>
    <w:rsid w:val="00F6538E"/>
    <w:rsid w:val="00F6559F"/>
    <w:rsid w:val="00F66E1B"/>
    <w:rsid w:val="00F67A05"/>
    <w:rsid w:val="00F67D8F"/>
    <w:rsid w:val="00F72B4B"/>
    <w:rsid w:val="00F74DEB"/>
    <w:rsid w:val="00F75D00"/>
    <w:rsid w:val="00F77921"/>
    <w:rsid w:val="00F802BE"/>
    <w:rsid w:val="00F80E93"/>
    <w:rsid w:val="00F83945"/>
    <w:rsid w:val="00F8395B"/>
    <w:rsid w:val="00F85F33"/>
    <w:rsid w:val="00F86024"/>
    <w:rsid w:val="00F8611A"/>
    <w:rsid w:val="00F8656C"/>
    <w:rsid w:val="00F90F03"/>
    <w:rsid w:val="00F917C6"/>
    <w:rsid w:val="00F93D08"/>
    <w:rsid w:val="00F94071"/>
    <w:rsid w:val="00F952FC"/>
    <w:rsid w:val="00F965F0"/>
    <w:rsid w:val="00FA038A"/>
    <w:rsid w:val="00FA275B"/>
    <w:rsid w:val="00FA4471"/>
    <w:rsid w:val="00FA4C72"/>
    <w:rsid w:val="00FA5128"/>
    <w:rsid w:val="00FA798B"/>
    <w:rsid w:val="00FB1B41"/>
    <w:rsid w:val="00FB1FE0"/>
    <w:rsid w:val="00FB2280"/>
    <w:rsid w:val="00FB2694"/>
    <w:rsid w:val="00FB2D4C"/>
    <w:rsid w:val="00FB393A"/>
    <w:rsid w:val="00FB3FFB"/>
    <w:rsid w:val="00FB42D4"/>
    <w:rsid w:val="00FB5906"/>
    <w:rsid w:val="00FB6217"/>
    <w:rsid w:val="00FB6BDD"/>
    <w:rsid w:val="00FB762F"/>
    <w:rsid w:val="00FC00BA"/>
    <w:rsid w:val="00FC2AED"/>
    <w:rsid w:val="00FC32B1"/>
    <w:rsid w:val="00FC3D4B"/>
    <w:rsid w:val="00FC3DE0"/>
    <w:rsid w:val="00FC5688"/>
    <w:rsid w:val="00FC6B04"/>
    <w:rsid w:val="00FC6C5E"/>
    <w:rsid w:val="00FD17E8"/>
    <w:rsid w:val="00FD572F"/>
    <w:rsid w:val="00FD5EA7"/>
    <w:rsid w:val="00FD62B4"/>
    <w:rsid w:val="00FD7928"/>
    <w:rsid w:val="00FE0B58"/>
    <w:rsid w:val="00FE136C"/>
    <w:rsid w:val="00FE1485"/>
    <w:rsid w:val="00FE1CE7"/>
    <w:rsid w:val="00FE3CAD"/>
    <w:rsid w:val="00FE4F20"/>
    <w:rsid w:val="00FE5C29"/>
    <w:rsid w:val="00FE61B2"/>
    <w:rsid w:val="00FE79EB"/>
    <w:rsid w:val="00FF087E"/>
    <w:rsid w:val="00FF0886"/>
    <w:rsid w:val="00FF2279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B7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C54E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21F0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21F0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42604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AA08A6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rzypis">
    <w:name w:val="przypis"/>
    <w:basedOn w:val="tekstopisowkaStrona"/>
    <w:uiPriority w:val="99"/>
    <w:rsid w:val="002E3935"/>
    <w:pPr>
      <w:spacing w:before="120" w:line="240" w:lineRule="auto"/>
      <w:ind w:firstLine="0"/>
    </w:pPr>
    <w:rPr>
      <w:rFonts w:ascii="Fira Sans" w:hAnsi="Fira Sans"/>
      <w:sz w:val="19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70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B1FE0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B1FE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B1FE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B1FE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B1FE0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64031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FB1FE0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64031"/>
    <w:rPr>
      <w:rFonts w:ascii="Fira Sans" w:hAnsi="Fira Sans"/>
      <w:b/>
      <w:noProof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1FE0"/>
    <w:rPr>
      <w:rFonts w:ascii="Fira Sans" w:hAnsi="Fira Sans"/>
      <w:sz w:val="19"/>
    </w:rPr>
  </w:style>
  <w:style w:type="paragraph" w:customStyle="1" w:styleId="Przypis0">
    <w:name w:val="Przypis"/>
    <w:basedOn w:val="Tekstprzypisudolnego"/>
    <w:link w:val="PrzypisZnak"/>
    <w:qFormat/>
    <w:rsid w:val="00566DB9"/>
    <w:pPr>
      <w:spacing w:after="120" w:line="240" w:lineRule="exact"/>
    </w:pPr>
    <w:rPr>
      <w:sz w:val="16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566DB9"/>
    <w:rPr>
      <w:rFonts w:ascii="Fira Sans" w:hAnsi="Fira Sans"/>
      <w:sz w:val="16"/>
      <w:szCs w:val="19"/>
      <w:lang w:val="en-GB"/>
    </w:rPr>
  </w:style>
  <w:style w:type="paragraph" w:customStyle="1" w:styleId="tytultablicy">
    <w:name w:val="tytul tablicy"/>
    <w:basedOn w:val="Normalny"/>
    <w:qFormat/>
    <w:rsid w:val="00D77058"/>
    <w:pPr>
      <w:spacing w:before="360" w:line="240" w:lineRule="auto"/>
    </w:pPr>
    <w:rPr>
      <w:b/>
    </w:rPr>
  </w:style>
  <w:style w:type="paragraph" w:customStyle="1" w:styleId="notkatablica">
    <w:name w:val="notka tablica"/>
    <w:basedOn w:val="przypis"/>
    <w:qFormat/>
    <w:rsid w:val="00CC1072"/>
    <w:pPr>
      <w:spacing w:after="120" w:line="240" w:lineRule="exact"/>
    </w:pPr>
    <w:rPr>
      <w:sz w:val="16"/>
      <w:vertAlign w:val="superscript"/>
    </w:rPr>
  </w:style>
  <w:style w:type="paragraph" w:customStyle="1" w:styleId="glowkatablicy">
    <w:name w:val="glowka_tablicy"/>
    <w:basedOn w:val="Normalny"/>
    <w:qFormat/>
    <w:rsid w:val="006164A0"/>
    <w:pPr>
      <w:spacing w:line="240" w:lineRule="exact"/>
      <w:jc w:val="center"/>
    </w:pPr>
    <w:rPr>
      <w:szCs w:val="16"/>
    </w:rPr>
  </w:style>
  <w:style w:type="paragraph" w:customStyle="1" w:styleId="boczek">
    <w:name w:val="boczek"/>
    <w:basedOn w:val="Normalny"/>
    <w:qFormat/>
    <w:rsid w:val="00B53849"/>
    <w:pPr>
      <w:spacing w:line="240" w:lineRule="exact"/>
    </w:pPr>
    <w:rPr>
      <w:szCs w:val="16"/>
    </w:rPr>
  </w:style>
  <w:style w:type="paragraph" w:customStyle="1" w:styleId="boczek1">
    <w:name w:val="boczek_1"/>
    <w:basedOn w:val="boczek"/>
    <w:qFormat/>
    <w:rsid w:val="00B53849"/>
    <w:pPr>
      <w:ind w:left="176"/>
    </w:pPr>
  </w:style>
  <w:style w:type="paragraph" w:customStyle="1" w:styleId="boczek2">
    <w:name w:val="boczek_2"/>
    <w:basedOn w:val="boczek1"/>
    <w:qFormat/>
    <w:rsid w:val="00B53849"/>
    <w:pPr>
      <w:ind w:left="352"/>
    </w:pPr>
  </w:style>
  <w:style w:type="paragraph" w:customStyle="1" w:styleId="danetablica">
    <w:name w:val="dane_tablica"/>
    <w:basedOn w:val="Normalny"/>
    <w:qFormat/>
    <w:rsid w:val="007C6D34"/>
    <w:pPr>
      <w:spacing w:line="240" w:lineRule="exact"/>
      <w:jc w:val="right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7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79C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42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C3137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s://stat.gov.pl/metainformacje/slownik-pojec/pojecia-stosowane-w-statystyce-publicznej/4249,pojecie.html" TargetMode="External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eader" Target="header2.xml"/><Relationship Id="rId29" Type="http://schemas.openxmlformats.org/officeDocument/2006/relationships/image" Target="media/image1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stat.gov.pl/metainformacje/slownik-pojec/pojecia-stosowane-w-statystyce-publicznej/799,pojecie.html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36" Type="http://schemas.openxmlformats.org/officeDocument/2006/relationships/hyperlink" Target="https://stat.gov.pl/metainformacje/slownik-pojec/pojecia-stosowane-w-statystyce-publicznej/798,pojecie.html" TargetMode="Externa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://stat.gov.pl/metainformacje/slownik-pojec/pojecia-stosowane-w-statystyce-publicznej/1690,pojecie.html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stat.gov.pl/metainformacje/slownik-pojec/pojecia-stosowane-w-statystyce-publicznej/425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CB005-7C72-44B2-A335-B893DADB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1870</Words>
  <Characters>11226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IS-02-tekst-20260428-Gospodarka morska w Polsce w 2025 r.</dc:title>
  <dc:subject/>
  <dc:creator>Główny Urząd Statystyczny</dc:creator>
  <cp:keywords/>
  <dc:description/>
  <cp:lastModifiedBy/>
  <dcterms:created xsi:type="dcterms:W3CDTF">2026-04-28T06:35:00Z</dcterms:created>
  <dcterms:modified xsi:type="dcterms:W3CDTF">2026-04-28T06:38:00Z</dcterms:modified>
</cp:coreProperties>
</file>