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1EC06EB4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we wrześniu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71C721C0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we wrześniu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ące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750922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750922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 </w:t>
      </w:r>
      <w:r w:rsidR="00750922">
        <w:rPr>
          <w:rFonts w:ascii="Fira Sans" w:eastAsia="Times New Roman" w:hAnsi="Fira Sans" w:cs="Times New Roman"/>
          <w:sz w:val="19"/>
          <w:szCs w:val="19"/>
          <w:lang w:eastAsia="pl-PL"/>
        </w:rPr>
        <w:t>500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3F6E9B66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zakwaterowaniu i gastronomii,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500A49EE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i Warszawie po 9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działalności</w:t>
      </w:r>
      <w:r w:rsidR="00284307" w:rsidRP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profesjonaln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ej</w:t>
      </w:r>
      <w:r w:rsidR="00284307" w:rsidRPr="00284307">
        <w:rPr>
          <w:rFonts w:ascii="Fira Sans" w:eastAsia="Times New Roman" w:hAnsi="Fira Sans" w:cs="Times New Roman"/>
          <w:sz w:val="19"/>
          <w:szCs w:val="20"/>
          <w:lang w:eastAsia="pl-PL"/>
        </w:rPr>
        <w:t>, naukow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ej i </w:t>
      </w:r>
      <w:r w:rsidR="00284307" w:rsidRPr="00284307">
        <w:rPr>
          <w:rFonts w:ascii="Fira Sans" w:eastAsia="Times New Roman" w:hAnsi="Fira Sans" w:cs="Times New Roman"/>
          <w:sz w:val="19"/>
          <w:szCs w:val="20"/>
          <w:lang w:eastAsia="pl-PL"/>
        </w:rPr>
        <w:t>techniczn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ej,</w:t>
      </w:r>
      <w:r w:rsidR="00284307" w:rsidRP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przemyśle oraz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orci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i gospodarce magazynowej, 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</w:t>
      </w:r>
      <w:r w:rsidR="0028430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ponadto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Warszawie </w:t>
      </w:r>
      <w:r w:rsidR="0028430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7509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budownictwie</w:t>
      </w:r>
      <w:r w:rsidR="0014274D" w:rsidRPr="00750922">
        <w:rPr>
          <w:rFonts w:ascii="Fira Sans" w:eastAsia="Times New Roman" w:hAnsi="Fira Sans" w:cs="Times New Roman"/>
          <w:bCs/>
          <w:sz w:val="18"/>
          <w:szCs w:val="18"/>
          <w:lang w:eastAsia="pl-PL"/>
        </w:rPr>
        <w:t>.</w:t>
      </w:r>
    </w:p>
    <w:p w14:paraId="7DB83A6B" w14:textId="122EA922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284307">
        <w:rPr>
          <w:rFonts w:ascii="Fira Sans" w:eastAsia="Times New Roman" w:hAnsi="Fira Sans" w:cs="Times New Roman"/>
          <w:sz w:val="19"/>
          <w:szCs w:val="20"/>
          <w:lang w:eastAsia="pl-PL"/>
        </w:rPr>
        <w:t>września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12,8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5,3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12,7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9405F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6591A229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 xml:space="preserve">54 lata (po 24%), a wśród kobiet w grupie wieku 35-44 lata (29%).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79405F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6DA71FC2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284307">
        <w:rPr>
          <w:rFonts w:ascii="Fira Sans" w:eastAsia="Times New Roman" w:hAnsi="Fira Sans" w:cs="Arial"/>
          <w:bCs/>
          <w:sz w:val="19"/>
          <w:szCs w:val="19"/>
          <w:lang w:eastAsia="pl-PL"/>
        </w:rPr>
        <w:t>września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123622">
        <w:rPr>
          <w:rFonts w:ascii="Fira Sans" w:eastAsia="Times New Roman" w:hAnsi="Fira Sans" w:cs="Arial"/>
          <w:bCs/>
          <w:sz w:val="19"/>
          <w:szCs w:val="19"/>
          <w:lang w:eastAsia="pl-PL"/>
        </w:rPr>
        <w:t>zmalała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79405F">
        <w:rPr>
          <w:rFonts w:ascii="Fira Sans" w:eastAsia="Times New Roman" w:hAnsi="Fira Sans" w:cs="Arial"/>
          <w:bCs/>
          <w:sz w:val="19"/>
          <w:szCs w:val="19"/>
          <w:lang w:eastAsia="pl-PL"/>
        </w:rPr>
        <w:t>0,5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9405F">
        <w:rPr>
          <w:rFonts w:ascii="Fira Sans" w:eastAsia="Times New Roman" w:hAnsi="Fira Sans" w:cs="Arial"/>
          <w:bCs/>
          <w:sz w:val="19"/>
          <w:szCs w:val="19"/>
          <w:lang w:eastAsia="pl-PL"/>
        </w:rPr>
        <w:t>4,4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24B7BF49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284307">
        <w:rPr>
          <w:shd w:val="clear" w:color="auto" w:fill="FFFFFF"/>
        </w:rPr>
        <w:t>września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E87FAF">
        <w:rPr>
          <w:shd w:val="clear" w:color="auto" w:fill="FFFFFF"/>
        </w:rPr>
        <w:t>4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123622">
        <w:rPr>
          <w:shd w:val="clear" w:color="auto" w:fill="FFFFFF"/>
        </w:rPr>
        <w:t>4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123622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>wzrost o 0</w:t>
      </w:r>
      <w:r w:rsidR="004B22F4">
        <w:rPr>
          <w:shd w:val="clear" w:color="auto" w:fill="FFFFFF"/>
        </w:rPr>
        <w:t>,</w:t>
      </w:r>
      <w:r w:rsidR="008B7807">
        <w:rPr>
          <w:shd w:val="clear" w:color="auto" w:fill="FFFFFF"/>
        </w:rPr>
        <w:t>2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6F261219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284307">
        <w:rPr>
          <w:rFonts w:ascii="Fira Sans" w:eastAsia="Times New Roman" w:hAnsi="Fira Sans" w:cs="Times New Roman"/>
          <w:sz w:val="19"/>
          <w:szCs w:val="19"/>
          <w:lang w:eastAsia="pl-PL"/>
        </w:rPr>
        <w:t>z wrześniem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wyszkowskim (o 1,2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, wołomińskim</w:t>
      </w:r>
      <w:r w:rsidR="008B7807" w:rsidRPr="008B7807">
        <w:t xml:space="preserve"> </w:t>
      </w:r>
      <w:r w:rsidR="008B7807">
        <w:t xml:space="preserve">i </w:t>
      </w:r>
      <w:r w:rsidR="008B7807" w:rsidRPr="008B7807">
        <w:rPr>
          <w:rFonts w:ascii="Fira Sans" w:eastAsia="Times New Roman" w:hAnsi="Fira Sans" w:cs="Times New Roman"/>
          <w:sz w:val="19"/>
          <w:szCs w:val="19"/>
          <w:lang w:eastAsia="pl-PL"/>
        </w:rPr>
        <w:t>żuromińskim</w:t>
      </w:r>
      <w:r w:rsidR="00E87FAF" w:rsidRPr="00E87FAF">
        <w:t xml:space="preserve"> </w:t>
      </w:r>
      <w:r w:rsidR="00E87FAF">
        <w:t>(</w:t>
      </w:r>
      <w:r w:rsidR="009573AB">
        <w:rPr>
          <w:rFonts w:ascii="Fira Sans" w:eastAsia="Times New Roman" w:hAnsi="Fira Sans" w:cs="Times New Roman"/>
          <w:sz w:val="19"/>
          <w:szCs w:val="19"/>
          <w:lang w:eastAsia="pl-PL"/>
        </w:rPr>
        <w:t>po 1,1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punkcie</w:t>
      </w:r>
      <w:r w:rsidR="00E87FAF" w:rsidRP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procentowy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Siedlcach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(o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70566DDB" w14:textId="4F88BF3B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1,7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8,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6,8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0,6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02097C70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wyniosła 9,0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6139C87A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12572D">
        <w:rPr>
          <w:rFonts w:ascii="Fira Sans" w:eastAsia="Times New Roman" w:hAnsi="Fira Sans" w:cs="Times New Roman"/>
          <w:sz w:val="19"/>
          <w:szCs w:val="19"/>
          <w:lang w:eastAsia="pl-PL"/>
        </w:rPr>
        <w:t>ystąpiła w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2572D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</w:t>
      </w:r>
      <w:bookmarkStart w:id="0" w:name="_GoBack"/>
      <w:bookmarkEnd w:id="0"/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8B7807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622"/>
    <w:rsid w:val="00123B4E"/>
    <w:rsid w:val="0012439D"/>
    <w:rsid w:val="00124DF0"/>
    <w:rsid w:val="0012572D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37FF"/>
    <w:rsid w:val="00265C50"/>
    <w:rsid w:val="00271740"/>
    <w:rsid w:val="002836BA"/>
    <w:rsid w:val="00284307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3AB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3CF9-12AA-4264-AD92-52324CBD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Wrocławska Justyna</cp:lastModifiedBy>
  <cp:revision>2</cp:revision>
  <cp:lastPrinted>2025-03-25T06:45:00Z</cp:lastPrinted>
  <dcterms:created xsi:type="dcterms:W3CDTF">2025-10-27T12:33:00Z</dcterms:created>
  <dcterms:modified xsi:type="dcterms:W3CDTF">2025-10-27T12:33:00Z</dcterms:modified>
</cp:coreProperties>
</file>