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609FF" w:rsidRPr="00845F1D" w:rsidRDefault="00A9117E" w:rsidP="00431029">
      <w:pPr>
        <w:pStyle w:val="Nagwek10"/>
        <w:tabs>
          <w:tab w:val="left" w:pos="4820"/>
          <w:tab w:val="left" w:pos="8080"/>
        </w:tabs>
        <w:spacing w:before="0" w:after="36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-107576</wp:posOffset>
                </wp:positionH>
                <wp:positionV relativeFrom="paragraph">
                  <wp:posOffset>765062</wp:posOffset>
                </wp:positionV>
                <wp:extent cx="6597650" cy="7431741"/>
                <wp:effectExtent l="0" t="0" r="0" b="0"/>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597650" cy="743174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9694A" w:rsidRDefault="0099694A"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8.45pt;margin-top:60.25pt;width:519.5pt;height:585.2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" fillcolor="#f2f2f2 [3052]" stroked="f" strokeweight="1pt">
                <v:textbox>
                  <w:txbxContent>
                    <w:p w:rsidR="0099694A" w:rsidRDefault="0099694A"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DE0C69">
        <w:rPr>
          <w:spacing w:val="-4"/>
          <w:shd w:val="clear" w:color="auto" w:fill="FFFFFF"/>
        </w:rPr>
        <w:t xml:space="preserve">w </w:t>
      </w:r>
      <w:r w:rsidR="001D7B4B">
        <w:rPr>
          <w:spacing w:val="-4"/>
          <w:shd w:val="clear" w:color="auto" w:fill="FFFFFF"/>
        </w:rPr>
        <w:t>lip</w:t>
      </w:r>
      <w:r w:rsidR="00DE0C69">
        <w:rPr>
          <w:spacing w:val="-4"/>
          <w:shd w:val="clear" w:color="auto" w:fill="FFFFFF"/>
        </w:rPr>
        <w:t>cu</w:t>
      </w:r>
      <w:r w:rsidR="00AF43F9">
        <w:rPr>
          <w:spacing w:val="-4"/>
          <w:shd w:val="clear" w:color="auto" w:fill="FFFFFF"/>
        </w:rPr>
        <w:t xml:space="preserve"> </w:t>
      </w:r>
      <w:r w:rsidR="00071ED9">
        <w:rPr>
          <w:spacing w:val="-4"/>
          <w:shd w:val="clear" w:color="auto" w:fill="FFFFFF"/>
        </w:rPr>
        <w:t>202</w:t>
      </w:r>
      <w:r w:rsidR="00B9519A">
        <w:rPr>
          <w:spacing w:val="-4"/>
          <w:shd w:val="clear" w:color="auto" w:fill="FFFFFF"/>
        </w:rPr>
        <w:t>5</w:t>
      </w:r>
      <w:r w:rsidR="00071ED9">
        <w:rPr>
          <w:spacing w:val="-4"/>
          <w:shd w:val="clear" w:color="auto" w:fill="FFFFFF"/>
        </w:rPr>
        <w:t xml:space="preserve"> r.</w:t>
      </w:r>
    </w:p>
    <w:p w:rsidR="00A956C5" w:rsidRDefault="00A06FC3" w:rsidP="009A5BF0">
      <w:pPr>
        <w:pStyle w:val="krop1"/>
      </w:pPr>
      <w:r w:rsidRPr="00591F27">
        <w:t>Na rynku pracy odnotowano wzrost przeciętnego zatrudnienia w sektorze przedsiębiorstw w stosunku do analogicznego okresu poprzedniego roku o 0,</w:t>
      </w:r>
      <w:r>
        <w:t>7</w:t>
      </w:r>
      <w:r w:rsidRPr="00591F27">
        <w:t xml:space="preserve">% (w </w:t>
      </w:r>
      <w:r>
        <w:t xml:space="preserve">czerwcu </w:t>
      </w:r>
      <w:r w:rsidRPr="00591F27">
        <w:t>br.</w:t>
      </w:r>
      <w:r>
        <w:t xml:space="preserve"> o 0,8%</w:t>
      </w:r>
      <w:r w:rsidRPr="00591F27">
        <w:t>).</w:t>
      </w:r>
    </w:p>
    <w:p w:rsidR="00A956C5" w:rsidRPr="007B5B8D" w:rsidRDefault="00A06FC3" w:rsidP="009A5BF0">
      <w:pPr>
        <w:pStyle w:val="krop1"/>
      </w:pPr>
      <w:r w:rsidRPr="00D31516">
        <w:t>Stopa bezrobocia rejestrowanego wyniosła 3,3%, co oznacza, że była wyższa o 0,2 p.proc. od notowanej przed miesiącem i o 0,4 p.proc. – od ubiegłorocznej. Wielkopolskie wciąż wyróżnia się najniższą stopą bezrobocia, kształtującą się o 2,1 p.proc. poniżej przeciętnego poziomu w kraju.</w:t>
      </w:r>
    </w:p>
    <w:p w:rsidR="00A956C5" w:rsidRDefault="007F78E9" w:rsidP="009A5BF0">
      <w:pPr>
        <w:pStyle w:val="krop1"/>
      </w:pPr>
      <w:r w:rsidRPr="009D3275">
        <w:t xml:space="preserve">Przeciętne miesięczne wynagrodzenie brutto w sektorze przedsiębiorstw utrzymało tendencję wzrostową w skali roku, </w:t>
      </w:r>
      <w:r>
        <w:t>a</w:t>
      </w:r>
      <w:r w:rsidRPr="009D3275">
        <w:t xml:space="preserve"> wzrost notowany w </w:t>
      </w:r>
      <w:r>
        <w:t>lipcu</w:t>
      </w:r>
      <w:r w:rsidRPr="009D3275">
        <w:t xml:space="preserve"> br. był </w:t>
      </w:r>
      <w:r>
        <w:t>większy</w:t>
      </w:r>
      <w:r w:rsidRPr="009D3275">
        <w:t xml:space="preserve"> niż przed miesiącem i wyniósł </w:t>
      </w:r>
      <w:r>
        <w:t>8</w:t>
      </w:r>
      <w:r w:rsidRPr="009D3275">
        <w:t xml:space="preserve">,6% (wobec </w:t>
      </w:r>
      <w:r>
        <w:t>7,6</w:t>
      </w:r>
      <w:r w:rsidRPr="009D3275">
        <w:t xml:space="preserve">% </w:t>
      </w:r>
      <w:r>
        <w:t>w czerwcu</w:t>
      </w:r>
      <w:r w:rsidRPr="009D3275">
        <w:t xml:space="preserve"> br.).</w:t>
      </w:r>
      <w:r w:rsidR="00A956C5" w:rsidRPr="007B5B8D">
        <w:t xml:space="preserve"> </w:t>
      </w:r>
    </w:p>
    <w:p w:rsidR="00942AE2" w:rsidRPr="00476D32" w:rsidRDefault="007F78E9" w:rsidP="009A5BF0">
      <w:pPr>
        <w:pStyle w:val="krop1"/>
      </w:pPr>
      <w:r w:rsidRPr="00FD7C8E">
        <w:t>W porównaniu z poprzednim miesiącem w skupie odnotowano spadek cen większości produktów rolnych objętych obserwacją, z wyjątkiem żywca wołowego. Na wolnym</w:t>
      </w:r>
      <w:r>
        <w:t xml:space="preserve"> rynku spadek dotyczył cen zbóż</w:t>
      </w:r>
      <w:r w:rsidRPr="00FD7C8E">
        <w:t>, oprócz owsa. W stosunku do lipca ub. roku większość produktów w skupie objął wzrost cen. Wyjątek stanowiły tylko żywiec wieprzowy i ziemniaki. Na targowiskach za wszystkie badane produkty rolnicy uzyskali cenę niższą niż przed rokiem, poza jęczmieniem, którego ceny utrzymały się na podobnym poziomie.</w:t>
      </w:r>
    </w:p>
    <w:p w:rsidR="00A956C5" w:rsidRDefault="007F78E9" w:rsidP="009A5BF0">
      <w:pPr>
        <w:pStyle w:val="krop1"/>
      </w:pPr>
      <w:r w:rsidRPr="00FD7C8E">
        <w:t>W stosunku do poprzedniego miesiąca w skupie odnotowano spadek podaży pszenicy, żywca wołowego i mleka. W skali roku spadek dostaw dotyczył produktów roślinnych oraz żywca wołowego i wieprzowego. Zwiększyła się natomiast podaż drobiu rzeźnego i mleka.</w:t>
      </w:r>
      <w:r w:rsidR="008502D5" w:rsidRPr="008502D5">
        <w:t xml:space="preserve"> </w:t>
      </w:r>
    </w:p>
    <w:p w:rsidR="00A956C5" w:rsidRPr="007B5B8D" w:rsidRDefault="007F78E9" w:rsidP="009A5BF0">
      <w:pPr>
        <w:pStyle w:val="krop1"/>
      </w:pPr>
      <w:r w:rsidRPr="00D94974">
        <w:t xml:space="preserve">Wartość produkcji sprzedanej przemysłu, licząc w cenach stałych, w porównaniu z poprzednim miesiącem obniżyła się o </w:t>
      </w:r>
      <w:r>
        <w:t>4,5</w:t>
      </w:r>
      <w:r w:rsidRPr="00D94974">
        <w:t xml:space="preserve">%, natomiast w skali roku zwiększyła się o </w:t>
      </w:r>
      <w:r>
        <w:t>7,2</w:t>
      </w:r>
      <w:r w:rsidRPr="00D94974">
        <w:t xml:space="preserve">% (w </w:t>
      </w:r>
      <w:r>
        <w:t>czerwcu</w:t>
      </w:r>
      <w:r w:rsidRPr="00D94974">
        <w:t xml:space="preserve"> br. spadek wartości sprzedaży w ujęciu miesięcznym wyniósł </w:t>
      </w:r>
      <w:r>
        <w:t>1,0</w:t>
      </w:r>
      <w:r w:rsidRPr="00D94974">
        <w:t xml:space="preserve">%, natomiast wzrost w stosunku rocznym – </w:t>
      </w:r>
      <w:r>
        <w:t>3,2</w:t>
      </w:r>
      <w:r w:rsidRPr="00D94974">
        <w:t>%).</w:t>
      </w:r>
    </w:p>
    <w:p w:rsidR="00A956C5" w:rsidRDefault="004A43CD" w:rsidP="009A5BF0">
      <w:pPr>
        <w:pStyle w:val="krop1"/>
      </w:pPr>
      <w:r w:rsidRPr="00D94974">
        <w:t xml:space="preserve">Wartość produkcji budowlano-montażowej wzrosła o </w:t>
      </w:r>
      <w:r>
        <w:t>1,0</w:t>
      </w:r>
      <w:r w:rsidRPr="00D94974">
        <w:t xml:space="preserve">% w ciągu miesiąca i o </w:t>
      </w:r>
      <w:r>
        <w:t>7,9</w:t>
      </w:r>
      <w:r w:rsidRPr="00D94974">
        <w:t xml:space="preserve">% w odniesieniu do </w:t>
      </w:r>
      <w:r>
        <w:t>lipca</w:t>
      </w:r>
      <w:r w:rsidRPr="00D94974">
        <w:t xml:space="preserve"> ub. roku (w </w:t>
      </w:r>
      <w:r>
        <w:t>czerwcu</w:t>
      </w:r>
      <w:r w:rsidRPr="00D94974">
        <w:t xml:space="preserve"> br. miesięczny wzrost wartości produkcji budowlano-montażowej wyniósł </w:t>
      </w:r>
      <w:r>
        <w:t>8,6</w:t>
      </w:r>
      <w:r w:rsidRPr="00D94974">
        <w:t xml:space="preserve">%, a roczny – </w:t>
      </w:r>
      <w:r>
        <w:t>5,5</w:t>
      </w:r>
      <w:r w:rsidRPr="00D94974">
        <w:t>%)</w:t>
      </w:r>
      <w:r>
        <w:t>.</w:t>
      </w:r>
      <w:r w:rsidR="00A956C5">
        <w:t xml:space="preserve"> </w:t>
      </w:r>
    </w:p>
    <w:p w:rsidR="00A956C5" w:rsidRPr="009A5BF0" w:rsidRDefault="00C82F9F" w:rsidP="009A5BF0">
      <w:pPr>
        <w:pStyle w:val="krop1"/>
      </w:pPr>
      <w:r w:rsidRPr="00894E81">
        <w:t>W lipcu br. do użytkowania oddano o 0,3% więcej mieszkań niż rok wcześniej. Większa była też liczba mieszkań, na których budowę wydano pozwolenia lub dokonano zgłoszenia z projektem budowlanym (o 0,1%)</w:t>
      </w:r>
      <w:r>
        <w:t>,</w:t>
      </w:r>
      <w:r w:rsidRPr="00894E81">
        <w:t xml:space="preserve"> mniejsza natomiast </w:t>
      </w:r>
      <w:r>
        <w:t xml:space="preserve">– </w:t>
      </w:r>
      <w:r w:rsidRPr="00894E81">
        <w:t>mieszkań, których budowę w tym czasie rozpoczęto (o 1,2%).</w:t>
      </w:r>
    </w:p>
    <w:p w:rsidR="00A956C5" w:rsidRPr="007B5B8D" w:rsidRDefault="00E6302A" w:rsidP="009A5BF0">
      <w:pPr>
        <w:pStyle w:val="krop1"/>
      </w:pPr>
      <w:r w:rsidRPr="00A7160D">
        <w:t xml:space="preserve">W </w:t>
      </w:r>
      <w:r>
        <w:t>lipcu</w:t>
      </w:r>
      <w:r w:rsidRPr="00A7160D">
        <w:t xml:space="preserve"> br. sprzedaż detaliczna była o </w:t>
      </w:r>
      <w:r>
        <w:t>10,7</w:t>
      </w:r>
      <w:r w:rsidRPr="00A7160D">
        <w:t xml:space="preserve">% większa niż przed rokiem </w:t>
      </w:r>
      <w:r w:rsidRPr="00A15794">
        <w:t xml:space="preserve">(w poprzednim miesiącu </w:t>
      </w:r>
      <w:r w:rsidRPr="004824CC">
        <w:t>kształtowała się na poziomie ubiegłorocznym</w:t>
      </w:r>
      <w:r w:rsidRPr="00A15794">
        <w:t>).</w:t>
      </w:r>
    </w:p>
    <w:p w:rsidR="00E6302A" w:rsidRDefault="00E6302A" w:rsidP="00E6302A">
      <w:pPr>
        <w:pStyle w:val="krop1"/>
        <w:spacing w:before="120"/>
      </w:pPr>
      <w:r w:rsidRPr="00A15794">
        <w:t xml:space="preserve">Wartość sprzedaży hurtowej jednostek handlowych ogółem w </w:t>
      </w:r>
      <w:r>
        <w:t>lipcu</w:t>
      </w:r>
      <w:r w:rsidRPr="00A15794">
        <w:t xml:space="preserve"> br. zwiększyła się o </w:t>
      </w:r>
      <w:r>
        <w:t>15,8</w:t>
      </w:r>
      <w:r w:rsidRPr="00A15794">
        <w:t xml:space="preserve">% w ujęciu rocznym. W grupie przedsiębiorstw handlu hurtowego wzrost ten wyniósł </w:t>
      </w:r>
      <w:r>
        <w:t>15,6</w:t>
      </w:r>
      <w:r w:rsidRPr="00A15794">
        <w:t xml:space="preserve">%. Przed miesiącem przedsiębiorstwa te w skali roku wykazały wzrost odpowiednio o </w:t>
      </w:r>
      <w:r w:rsidRPr="00490298">
        <w:t>14,1</w:t>
      </w:r>
      <w:r w:rsidRPr="00A15794">
        <w:t>% i o 1</w:t>
      </w:r>
      <w:r w:rsidRPr="00490298">
        <w:t>8</w:t>
      </w:r>
      <w:r w:rsidRPr="00A15794">
        <w:t>,7%.</w:t>
      </w:r>
      <w:r w:rsidRPr="00E6302A">
        <w:t xml:space="preserve"> </w:t>
      </w:r>
    </w:p>
    <w:p w:rsidR="00E6302A" w:rsidRPr="000C2FD0" w:rsidRDefault="00E6302A" w:rsidP="00E6302A">
      <w:pPr>
        <w:pStyle w:val="krop1"/>
        <w:spacing w:before="120"/>
      </w:pPr>
      <w:r w:rsidRPr="000C2FD0">
        <w:t xml:space="preserve">W 1 półroczu br. wynik finansowy brutto przedsiębiorstw niefinansowych </w:t>
      </w:r>
      <w:r>
        <w:t>obniży</w:t>
      </w:r>
      <w:r w:rsidRPr="000C2FD0">
        <w:t xml:space="preserve">ł się o </w:t>
      </w:r>
      <w:r>
        <w:t>7,5</w:t>
      </w:r>
      <w:r w:rsidRPr="000C2FD0">
        <w:t>%, a wynik netto był o </w:t>
      </w:r>
      <w:r>
        <w:t>9,6</w:t>
      </w:r>
      <w:r w:rsidRPr="000C2FD0">
        <w:t xml:space="preserve">% </w:t>
      </w:r>
      <w:r>
        <w:t>mniejs</w:t>
      </w:r>
      <w:r w:rsidRPr="000C2FD0">
        <w:t xml:space="preserve">zy niż przed rokiem. </w:t>
      </w:r>
      <w:r>
        <w:t>Pogorszyły</w:t>
      </w:r>
      <w:r w:rsidRPr="000C2FD0">
        <w:t xml:space="preserve"> się </w:t>
      </w:r>
      <w:r>
        <w:t xml:space="preserve">również </w:t>
      </w:r>
      <w:r w:rsidRPr="000C2FD0">
        <w:t xml:space="preserve">podstawowe relacje ekonomiczno-finansowe. </w:t>
      </w:r>
    </w:p>
    <w:p w:rsidR="00E6302A" w:rsidRPr="00337B06" w:rsidRDefault="00E6302A" w:rsidP="00E6302A">
      <w:pPr>
        <w:pStyle w:val="krop1"/>
        <w:spacing w:before="120"/>
      </w:pPr>
      <w:r w:rsidRPr="00353C9D">
        <w:t xml:space="preserve">Przedsiębiorstwa mające siedzibę na terenie województwa wielkopolskiego w 1 półroczu br. poniosły nakłady inwestycyjne w kwocie o </w:t>
      </w:r>
      <w:r>
        <w:t>2,0</w:t>
      </w:r>
      <w:r w:rsidRPr="00353C9D">
        <w:t>% niższej niż przed rokiem.</w:t>
      </w:r>
    </w:p>
    <w:p w:rsidR="00A956C5" w:rsidRDefault="00E6302A" w:rsidP="009A5BF0">
      <w:pPr>
        <w:pStyle w:val="krop1"/>
      </w:pPr>
      <w:r w:rsidRPr="00986073">
        <w:t xml:space="preserve">W końcu </w:t>
      </w:r>
      <w:r>
        <w:t>lipca</w:t>
      </w:r>
      <w:r w:rsidRPr="00986073">
        <w:t xml:space="preserve"> br. w rejestrze REGON dla województwa wielkopolskiego zawieszoną działalność miało </w:t>
      </w:r>
      <w:r>
        <w:t>74,3</w:t>
      </w:r>
      <w:r w:rsidRPr="00E2693F">
        <w:t xml:space="preserve"> </w:t>
      </w:r>
      <w:r w:rsidRPr="007B5B8D">
        <w:t xml:space="preserve">tys. podmiotów, </w:t>
      </w:r>
      <w:r>
        <w:t xml:space="preserve">tj. </w:t>
      </w:r>
      <w:r w:rsidRPr="007B5B8D">
        <w:t xml:space="preserve">o </w:t>
      </w:r>
      <w:r>
        <w:t>2,2% więcej</w:t>
      </w:r>
      <w:r w:rsidRPr="007B5B8D">
        <w:t xml:space="preserve"> niż w poprzednim miesiącu</w:t>
      </w:r>
      <w:r w:rsidR="00A956C5" w:rsidRPr="007B5B8D">
        <w:t>.</w:t>
      </w:r>
    </w:p>
    <w:p w:rsidR="00A956C5" w:rsidRPr="007B5B8D" w:rsidRDefault="00380E16" w:rsidP="004C290B">
      <w:pPr>
        <w:pStyle w:val="krop1"/>
      </w:pPr>
      <w:r w:rsidRPr="007371C5">
        <w:t>W sierpniu br. wskaźnik ogólnego klimatu koniunktury wskazuje poprawę koniunkt</w:t>
      </w:r>
      <w:r>
        <w:t>ury gospodarczej jedynie w prze</w:t>
      </w:r>
      <w:r w:rsidRPr="007371C5">
        <w:t>twórstwie przemysłowym oraz zakwaterowaniu i gastronomii. W porównaniu z poprzednim miesiącem największy wzrost wskaźnika odnotowano w zakwaterowaniu i gastronomii, natomiast najwię</w:t>
      </w:r>
      <w:r>
        <w:t>ksze pogorszenie koniunktury wy</w:t>
      </w:r>
      <w:r w:rsidRPr="007371C5">
        <w:t>stąpiło w informacji komunikacji. Najbardziej korzystne oceny formułują podmioty z se</w:t>
      </w:r>
      <w:r>
        <w:t>kcji zakwaterowanie i gastro</w:t>
      </w:r>
      <w:r w:rsidRPr="007371C5">
        <w:t xml:space="preserve">nomia, a wartość wskaźnika </w:t>
      </w:r>
      <w:r>
        <w:t>przewyższa</w:t>
      </w:r>
      <w:r w:rsidRPr="007371C5">
        <w:t xml:space="preserve"> średni</w:t>
      </w:r>
      <w:r>
        <w:t xml:space="preserve">ą </w:t>
      </w:r>
      <w:r w:rsidRPr="007371C5">
        <w:t>długookresow</w:t>
      </w:r>
      <w:r>
        <w:t>ą</w:t>
      </w:r>
      <w:r w:rsidRPr="007371C5">
        <w:t>. Jednostki zaj</w:t>
      </w:r>
      <w:r>
        <w:t>mujące się przetwórstwem przemy</w:t>
      </w:r>
      <w:r w:rsidRPr="007371C5">
        <w:t xml:space="preserve">słowym oceniają koniunkturę najbardziej pesymistycznie, a wartość wskaźnika </w:t>
      </w:r>
      <w:r>
        <w:t>kształtuje się</w:t>
      </w:r>
      <w:r w:rsidRPr="007371C5">
        <w:t xml:space="preserve"> poniżej średniej długookresowej.</w:t>
      </w:r>
    </w:p>
    <w:p w:rsidR="00082FFD" w:rsidRPr="00082FFD" w:rsidRDefault="00082FFD" w:rsidP="009A5BF0">
      <w:pPr>
        <w:pStyle w:val="krop1"/>
        <w:rPr>
          <w:shd w:val="clear" w:color="auto" w:fill="FFFFFF"/>
        </w:rPr>
        <w:sectPr w:rsidR="00082FFD" w:rsidRPr="00082FFD" w:rsidSect="0022458A">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0797445" w:displacedByCustomXml="next"/>
    <w:bookmarkStart w:id="2" w:name="_Toc75352155" w:displacedByCustomXml="next"/>
    <w:bookmarkStart w:id="3" w:name="_Toc83279884" w:displacedByCustomXml="next"/>
    <w:bookmarkStart w:id="4"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FF1F0F"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205383512" w:history="1">
            <w:r w:rsidR="00FF1F0F" w:rsidRPr="004E4DC9">
              <w:rPr>
                <w:rStyle w:val="Hipercze"/>
              </w:rPr>
              <w:t>Rynek pracy</w:t>
            </w:r>
            <w:r w:rsidR="00FF1F0F">
              <w:rPr>
                <w:webHidden/>
              </w:rPr>
              <w:tab/>
            </w:r>
            <w:r w:rsidR="00FF1F0F">
              <w:rPr>
                <w:webHidden/>
              </w:rPr>
              <w:fldChar w:fldCharType="begin"/>
            </w:r>
            <w:r w:rsidR="00FF1F0F">
              <w:rPr>
                <w:webHidden/>
              </w:rPr>
              <w:instrText xml:space="preserve"> PAGEREF _Toc205383512 \h </w:instrText>
            </w:r>
            <w:r w:rsidR="00FF1F0F">
              <w:rPr>
                <w:webHidden/>
              </w:rPr>
            </w:r>
            <w:r w:rsidR="00FF1F0F">
              <w:rPr>
                <w:webHidden/>
              </w:rPr>
              <w:fldChar w:fldCharType="separate"/>
            </w:r>
            <w:r w:rsidR="00BE5DB4">
              <w:rPr>
                <w:webHidden/>
              </w:rPr>
              <w:t>4</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3" w:history="1">
            <w:r w:rsidR="00FF1F0F" w:rsidRPr="004E4DC9">
              <w:rPr>
                <w:rStyle w:val="Hipercze"/>
              </w:rPr>
              <w:t>Wynagrodzenia</w:t>
            </w:r>
            <w:r w:rsidR="00FF1F0F">
              <w:rPr>
                <w:webHidden/>
              </w:rPr>
              <w:tab/>
            </w:r>
            <w:r w:rsidR="00FF1F0F">
              <w:rPr>
                <w:webHidden/>
              </w:rPr>
              <w:fldChar w:fldCharType="begin"/>
            </w:r>
            <w:r w:rsidR="00FF1F0F">
              <w:rPr>
                <w:webHidden/>
              </w:rPr>
              <w:instrText xml:space="preserve"> PAGEREF _Toc205383513 \h </w:instrText>
            </w:r>
            <w:r w:rsidR="00FF1F0F">
              <w:rPr>
                <w:webHidden/>
              </w:rPr>
            </w:r>
            <w:r w:rsidR="00FF1F0F">
              <w:rPr>
                <w:webHidden/>
              </w:rPr>
              <w:fldChar w:fldCharType="separate"/>
            </w:r>
            <w:r>
              <w:rPr>
                <w:webHidden/>
              </w:rPr>
              <w:t>7</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4" w:history="1">
            <w:r w:rsidR="00FF1F0F" w:rsidRPr="004E4DC9">
              <w:rPr>
                <w:rStyle w:val="Hipercze"/>
              </w:rPr>
              <w:t>Rolnictwo</w:t>
            </w:r>
            <w:r w:rsidR="00FF1F0F">
              <w:rPr>
                <w:webHidden/>
              </w:rPr>
              <w:tab/>
            </w:r>
            <w:r w:rsidR="00FF1F0F">
              <w:rPr>
                <w:webHidden/>
              </w:rPr>
              <w:fldChar w:fldCharType="begin"/>
            </w:r>
            <w:r w:rsidR="00FF1F0F">
              <w:rPr>
                <w:webHidden/>
              </w:rPr>
              <w:instrText xml:space="preserve"> PAGEREF _Toc205383514 \h </w:instrText>
            </w:r>
            <w:r w:rsidR="00FF1F0F">
              <w:rPr>
                <w:webHidden/>
              </w:rPr>
            </w:r>
            <w:r w:rsidR="00FF1F0F">
              <w:rPr>
                <w:webHidden/>
              </w:rPr>
              <w:fldChar w:fldCharType="separate"/>
            </w:r>
            <w:r>
              <w:rPr>
                <w:webHidden/>
              </w:rPr>
              <w:t>9</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5" w:history="1">
            <w:r w:rsidR="00FF1F0F" w:rsidRPr="004E4DC9">
              <w:rPr>
                <w:rStyle w:val="Hipercze"/>
              </w:rPr>
              <w:t>Przemysł i budownictwo</w:t>
            </w:r>
            <w:r w:rsidR="00FF1F0F">
              <w:rPr>
                <w:webHidden/>
              </w:rPr>
              <w:tab/>
            </w:r>
            <w:r w:rsidR="00FF1F0F">
              <w:rPr>
                <w:webHidden/>
              </w:rPr>
              <w:fldChar w:fldCharType="begin"/>
            </w:r>
            <w:r w:rsidR="00FF1F0F">
              <w:rPr>
                <w:webHidden/>
              </w:rPr>
              <w:instrText xml:space="preserve"> PAGEREF _Toc205383515 \h </w:instrText>
            </w:r>
            <w:r w:rsidR="00FF1F0F">
              <w:rPr>
                <w:webHidden/>
              </w:rPr>
            </w:r>
            <w:r w:rsidR="00FF1F0F">
              <w:rPr>
                <w:webHidden/>
              </w:rPr>
              <w:fldChar w:fldCharType="separate"/>
            </w:r>
            <w:r>
              <w:rPr>
                <w:webHidden/>
              </w:rPr>
              <w:t>11</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6" w:history="1">
            <w:r w:rsidR="00FF1F0F" w:rsidRPr="004E4DC9">
              <w:rPr>
                <w:rStyle w:val="Hipercze"/>
              </w:rPr>
              <w:t>Budownictwo mieszkaniowe</w:t>
            </w:r>
            <w:r w:rsidR="00FF1F0F">
              <w:rPr>
                <w:webHidden/>
              </w:rPr>
              <w:tab/>
            </w:r>
            <w:r w:rsidR="00FF1F0F">
              <w:rPr>
                <w:webHidden/>
              </w:rPr>
              <w:fldChar w:fldCharType="begin"/>
            </w:r>
            <w:r w:rsidR="00FF1F0F">
              <w:rPr>
                <w:webHidden/>
              </w:rPr>
              <w:instrText xml:space="preserve"> PAGEREF _Toc205383516 \h </w:instrText>
            </w:r>
            <w:r w:rsidR="00FF1F0F">
              <w:rPr>
                <w:webHidden/>
              </w:rPr>
            </w:r>
            <w:r w:rsidR="00FF1F0F">
              <w:rPr>
                <w:webHidden/>
              </w:rPr>
              <w:fldChar w:fldCharType="separate"/>
            </w:r>
            <w:r>
              <w:rPr>
                <w:webHidden/>
              </w:rPr>
              <w:t>14</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7" w:history="1">
            <w:r w:rsidR="00FF1F0F" w:rsidRPr="004E4DC9">
              <w:rPr>
                <w:rStyle w:val="Hipercze"/>
              </w:rPr>
              <w:t>Rynek wewnętrzny</w:t>
            </w:r>
            <w:r w:rsidR="00FF1F0F">
              <w:rPr>
                <w:webHidden/>
              </w:rPr>
              <w:tab/>
            </w:r>
            <w:r w:rsidR="00FF1F0F">
              <w:rPr>
                <w:webHidden/>
              </w:rPr>
              <w:fldChar w:fldCharType="begin"/>
            </w:r>
            <w:r w:rsidR="00FF1F0F">
              <w:rPr>
                <w:webHidden/>
              </w:rPr>
              <w:instrText xml:space="preserve"> PAGEREF _Toc205383517 \h </w:instrText>
            </w:r>
            <w:r w:rsidR="00FF1F0F">
              <w:rPr>
                <w:webHidden/>
              </w:rPr>
            </w:r>
            <w:r w:rsidR="00FF1F0F">
              <w:rPr>
                <w:webHidden/>
              </w:rPr>
              <w:fldChar w:fldCharType="separate"/>
            </w:r>
            <w:r>
              <w:rPr>
                <w:webHidden/>
              </w:rPr>
              <w:t>17</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8" w:history="1">
            <w:r w:rsidR="00FF1F0F" w:rsidRPr="004E4DC9">
              <w:rPr>
                <w:rStyle w:val="Hipercze"/>
              </w:rPr>
              <w:t>Wyniki finansowe przedsiębiorstw</w:t>
            </w:r>
            <w:r w:rsidR="00FF1F0F">
              <w:rPr>
                <w:webHidden/>
              </w:rPr>
              <w:tab/>
            </w:r>
            <w:r w:rsidR="00FF1F0F">
              <w:rPr>
                <w:webHidden/>
              </w:rPr>
              <w:fldChar w:fldCharType="begin"/>
            </w:r>
            <w:r w:rsidR="00FF1F0F">
              <w:rPr>
                <w:webHidden/>
              </w:rPr>
              <w:instrText xml:space="preserve"> PAGEREF _Toc205383518 \h </w:instrText>
            </w:r>
            <w:r w:rsidR="00FF1F0F">
              <w:rPr>
                <w:webHidden/>
              </w:rPr>
            </w:r>
            <w:r w:rsidR="00FF1F0F">
              <w:rPr>
                <w:webHidden/>
              </w:rPr>
              <w:fldChar w:fldCharType="separate"/>
            </w:r>
            <w:r>
              <w:rPr>
                <w:webHidden/>
              </w:rPr>
              <w:t>18</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19" w:history="1">
            <w:r w:rsidR="00FF1F0F" w:rsidRPr="004E4DC9">
              <w:rPr>
                <w:rStyle w:val="Hipercze"/>
              </w:rPr>
              <w:t>Nakłady inwestycyjne</w:t>
            </w:r>
            <w:r w:rsidR="00FF1F0F">
              <w:rPr>
                <w:webHidden/>
              </w:rPr>
              <w:tab/>
            </w:r>
            <w:r w:rsidR="00FF1F0F">
              <w:rPr>
                <w:webHidden/>
              </w:rPr>
              <w:fldChar w:fldCharType="begin"/>
            </w:r>
            <w:r w:rsidR="00FF1F0F">
              <w:rPr>
                <w:webHidden/>
              </w:rPr>
              <w:instrText xml:space="preserve"> PAGEREF _Toc205383519 \h </w:instrText>
            </w:r>
            <w:r w:rsidR="00FF1F0F">
              <w:rPr>
                <w:webHidden/>
              </w:rPr>
            </w:r>
            <w:r w:rsidR="00FF1F0F">
              <w:rPr>
                <w:webHidden/>
              </w:rPr>
              <w:fldChar w:fldCharType="separate"/>
            </w:r>
            <w:r>
              <w:rPr>
                <w:webHidden/>
              </w:rPr>
              <w:t>20</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20" w:history="1">
            <w:r w:rsidR="00FF1F0F" w:rsidRPr="004E4DC9">
              <w:rPr>
                <w:rStyle w:val="Hipercze"/>
              </w:rPr>
              <w:t>Podmioty gospodarki narodowej</w:t>
            </w:r>
            <w:r w:rsidR="00FF1F0F">
              <w:rPr>
                <w:webHidden/>
              </w:rPr>
              <w:tab/>
            </w:r>
            <w:r w:rsidR="00FF1F0F">
              <w:rPr>
                <w:webHidden/>
              </w:rPr>
              <w:fldChar w:fldCharType="begin"/>
            </w:r>
            <w:r w:rsidR="00FF1F0F">
              <w:rPr>
                <w:webHidden/>
              </w:rPr>
              <w:instrText xml:space="preserve"> PAGEREF _Toc205383520 \h </w:instrText>
            </w:r>
            <w:r w:rsidR="00FF1F0F">
              <w:rPr>
                <w:webHidden/>
              </w:rPr>
            </w:r>
            <w:r w:rsidR="00FF1F0F">
              <w:rPr>
                <w:webHidden/>
              </w:rPr>
              <w:fldChar w:fldCharType="separate"/>
            </w:r>
            <w:r>
              <w:rPr>
                <w:webHidden/>
              </w:rPr>
              <w:t>21</w:t>
            </w:r>
            <w:r w:rsidR="00FF1F0F">
              <w:rPr>
                <w:webHidden/>
              </w:rPr>
              <w:fldChar w:fldCharType="end"/>
            </w:r>
          </w:hyperlink>
        </w:p>
        <w:p w:rsidR="00FF1F0F" w:rsidRDefault="00BE5DB4">
          <w:pPr>
            <w:pStyle w:val="Spistreci1"/>
            <w:rPr>
              <w:rFonts w:asciiTheme="minorHAnsi" w:eastAsiaTheme="minorEastAsia" w:hAnsiTheme="minorHAnsi"/>
              <w:sz w:val="22"/>
              <w:lang w:eastAsia="pl-PL"/>
            </w:rPr>
          </w:pPr>
          <w:hyperlink w:anchor="_Toc205383521" w:history="1">
            <w:r w:rsidR="00FF1F0F" w:rsidRPr="004E4DC9">
              <w:rPr>
                <w:rStyle w:val="Hipercze"/>
              </w:rPr>
              <w:t>Koniunktura gospodarcza</w:t>
            </w:r>
            <w:r w:rsidR="00FF1F0F">
              <w:rPr>
                <w:webHidden/>
              </w:rPr>
              <w:tab/>
            </w:r>
            <w:r w:rsidR="00FF1F0F">
              <w:rPr>
                <w:webHidden/>
              </w:rPr>
              <w:fldChar w:fldCharType="begin"/>
            </w:r>
            <w:r w:rsidR="00FF1F0F">
              <w:rPr>
                <w:webHidden/>
              </w:rPr>
              <w:instrText xml:space="preserve"> PAGEREF _Toc205383521 \h </w:instrText>
            </w:r>
            <w:r w:rsidR="00FF1F0F">
              <w:rPr>
                <w:webHidden/>
              </w:rPr>
            </w:r>
            <w:r w:rsidR="00FF1F0F">
              <w:rPr>
                <w:webHidden/>
              </w:rPr>
              <w:fldChar w:fldCharType="separate"/>
            </w:r>
            <w:r>
              <w:rPr>
                <w:webHidden/>
              </w:rPr>
              <w:t>23</w:t>
            </w:r>
            <w:r w:rsidR="00FF1F0F">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A02C72">
            <w:t>7</w:t>
          </w:r>
        </w:p>
      </w:sdtContent>
    </w:sdt>
    <w:p w:rsidR="00FC015D" w:rsidRPr="0010330E" w:rsidRDefault="00770B00" w:rsidP="0014096A">
      <w:pPr>
        <w:pStyle w:val="podt1"/>
      </w:pPr>
      <w:r w:rsidRPr="0010330E">
        <w:t>Uwagi ogólne</w:t>
      </w:r>
      <w:bookmarkEnd w:id="4"/>
    </w:p>
    <w:p w:rsidR="00ED083F" w:rsidRPr="008E7E8E" w:rsidRDefault="00ED083F" w:rsidP="00ED083F">
      <w:pPr>
        <w:pStyle w:val="tekstuwagi"/>
        <w:rPr>
          <w:shd w:val="clear" w:color="auto" w:fill="FFFFFF"/>
        </w:rPr>
      </w:pPr>
      <w:r w:rsidRPr="008E7E8E">
        <w:rPr>
          <w:shd w:val="clear" w:color="auto" w:fill="FFFFFF"/>
        </w:rPr>
        <w:t>Prezentowane w Komunikacie dane:</w:t>
      </w:r>
    </w:p>
    <w:p w:rsidR="00ED083F" w:rsidRDefault="00ED083F" w:rsidP="00ED083F">
      <w:pPr>
        <w:pStyle w:val="Tekstwypunktowany"/>
      </w:pPr>
      <w:r w:rsidRPr="008F520F">
        <w:t>o zatrudnieniu, wynagrodzeniach oraz o produkcji sprzedanej przemysłu i budownictwa, produkcji budowlano-</w:t>
      </w:r>
      <w:r>
        <w:br/>
        <w:t>-</w:t>
      </w:r>
      <w:r w:rsidRPr="008F520F">
        <w:t>montażowej, a także o sprzedaży detalicznej i hurtowej towarów, dotyczą podmiotów gospodarczych, w których liczba pracujących przekracza 9,</w:t>
      </w:r>
    </w:p>
    <w:p w:rsidR="00ED083F" w:rsidRDefault="00ED083F" w:rsidP="00ED083F">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związanego z </w:t>
      </w:r>
      <w:r w:rsidRPr="008F520F">
        <w:t>zarządzaniem; działalności w zakresie architektury i inżynierii; badań i analiz technic</w:t>
      </w:r>
      <w:r>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ED083F" w:rsidRPr="008F520F" w:rsidRDefault="00ED083F" w:rsidP="00ED083F">
      <w:pPr>
        <w:pStyle w:val="Tekstwypunktowany"/>
      </w:pPr>
      <w:r w:rsidRPr="008F520F">
        <w:t>o skupie produktów rolnych, obejmują skup od producentów z terenu województwa; ceny podano bez podatku VAT,</w:t>
      </w:r>
    </w:p>
    <w:p w:rsidR="00ED083F" w:rsidRPr="008F520F" w:rsidRDefault="00ED083F" w:rsidP="00ED083F">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ED083F" w:rsidRDefault="00ED083F" w:rsidP="00ED083F">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w:t>
      </w:r>
      <w:r w:rsidRPr="00E86BF2">
        <w:rPr>
          <w:shd w:val="clear" w:color="auto" w:fill="FFFFFF"/>
        </w:rPr>
        <w:t>średnie ceny bieżące 2021 r.).</w:t>
      </w:r>
    </w:p>
    <w:p w:rsidR="00ED083F" w:rsidRDefault="00ED083F" w:rsidP="00ED083F">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ED083F" w:rsidP="00ED083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5928D2" w:rsidRPr="00887EC6" w:rsidRDefault="005928D2" w:rsidP="005928D2">
      <w:pPr>
        <w:pStyle w:val="Nagwek1"/>
      </w:pPr>
      <w:bookmarkStart w:id="7" w:name="_Toc64884827"/>
      <w:bookmarkStart w:id="8" w:name="_Toc64884996"/>
      <w:bookmarkStart w:id="9" w:name="_Toc64891649"/>
      <w:bookmarkStart w:id="10" w:name="_Toc164413794"/>
      <w:bookmarkStart w:id="11" w:name="_Toc205383512"/>
      <w:r w:rsidRPr="00887EC6">
        <w:lastRenderedPageBreak/>
        <w:t>Rynek pracy</w:t>
      </w:r>
      <w:bookmarkEnd w:id="7"/>
      <w:bookmarkEnd w:id="8"/>
      <w:bookmarkEnd w:id="9"/>
      <w:bookmarkEnd w:id="10"/>
      <w:bookmarkEnd w:id="11"/>
    </w:p>
    <w:p w:rsidR="00CB51F7" w:rsidRPr="00486EC6" w:rsidRDefault="00CB51F7" w:rsidP="00CB51F7">
      <w:pPr>
        <w:pStyle w:val="tekst"/>
      </w:pPr>
      <w:r w:rsidRPr="00696F0C">
        <w:t xml:space="preserve">W </w:t>
      </w:r>
      <w:r>
        <w:t>lipcu</w:t>
      </w:r>
      <w:r w:rsidRPr="00696F0C">
        <w:t xml:space="preserve"> br. zanotowano wzrost przeciętnego miesięcznego zatrudnienia w sektorze przedsiębiorstw w odniesieniu do analogicznego okresu poprzedniego roku</w:t>
      </w:r>
      <w:r w:rsidRPr="00486EC6">
        <w:t>. Wyżej niż przed rokiem kształtowała się stopa bezrobocia rejestrowanego, jednak wskaźnik dla województwa wielkopolskiego wciąż pozostaje najniższy w kraju.</w:t>
      </w:r>
    </w:p>
    <w:p w:rsidR="005928D2" w:rsidRDefault="00CB51F7" w:rsidP="00CB51F7">
      <w:pPr>
        <w:pStyle w:val="tekst"/>
      </w:pPr>
      <w:r w:rsidRPr="00696F0C">
        <w:rPr>
          <w:b/>
        </w:rPr>
        <w:t>Przeciętne zatrudnienie</w:t>
      </w:r>
      <w:r w:rsidRPr="00696F0C">
        <w:t xml:space="preserve"> w sektorze przedsiębiorstw w </w:t>
      </w:r>
      <w:r>
        <w:t>lipcu</w:t>
      </w:r>
      <w:r w:rsidRPr="00696F0C">
        <w:t xml:space="preserve"> br. wyniosło </w:t>
      </w:r>
      <w:r w:rsidRPr="00CD21ED">
        <w:t>860,8</w:t>
      </w:r>
      <w:r w:rsidRPr="00696F0C">
        <w:t xml:space="preserve"> tys. osób i było </w:t>
      </w:r>
      <w:r>
        <w:t xml:space="preserve">o 0,1% mniejsze niż </w:t>
      </w:r>
      <w:r w:rsidRPr="00696F0C">
        <w:t>w</w:t>
      </w:r>
      <w:r>
        <w:t> czerwcu</w:t>
      </w:r>
      <w:r w:rsidRPr="00696F0C">
        <w:t xml:space="preserve"> br., a jednocześnie kształtowało się o 0,</w:t>
      </w:r>
      <w:r>
        <w:t>7</w:t>
      </w:r>
      <w:r w:rsidRPr="00696F0C">
        <w:t xml:space="preserve">% wyżej niż przed rokiem (w </w:t>
      </w:r>
      <w:r>
        <w:t>lipcu</w:t>
      </w:r>
      <w:r w:rsidRPr="00696F0C">
        <w:t xml:space="preserve"> ub. roku zanotowano niewielki </w:t>
      </w:r>
      <w:r>
        <w:t>spadek</w:t>
      </w:r>
      <w:r w:rsidRPr="00696F0C">
        <w:t xml:space="preserve"> przeciętnego zatrudnienia w ujęciu miesięcznym </w:t>
      </w:r>
      <w:r>
        <w:t>– o 0,1%, a także</w:t>
      </w:r>
      <w:r w:rsidRPr="00696F0C">
        <w:t xml:space="preserve"> w skali roku – o 0,4%).</w:t>
      </w:r>
    </w:p>
    <w:p w:rsidR="005928D2" w:rsidRDefault="005928D2" w:rsidP="005928D2">
      <w:pPr>
        <w:pStyle w:val="Tytultabeli"/>
      </w:pPr>
      <w:r w:rsidRPr="00CC7BE0">
        <w:t>Tablica 1.</w:t>
      </w:r>
      <w:r>
        <w:tab/>
      </w:r>
      <w:r w:rsidRPr="00CC7BE0">
        <w:t>Przeciętne zatrudnienie w sektorze przedsiębiorstw</w:t>
      </w:r>
      <w:r>
        <w:t xml:space="preserve"> </w:t>
      </w:r>
    </w:p>
    <w:tbl>
      <w:tblPr>
        <w:tblW w:w="0" w:type="auto"/>
        <w:jc w:val="center"/>
        <w:tblBorders>
          <w:insideH w:val="single" w:sz="4" w:space="0" w:color="001D77"/>
          <w:insideV w:val="single" w:sz="4" w:space="0" w:color="212492"/>
        </w:tblBorders>
        <w:tblLayout w:type="fixed"/>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lipiec br.) i w okresie narastającym (styczeń-lipiec br.) oraz jego dynamikę w odniesieniu do analogicznych okresów ub. roku. Dane do tablicy dostępne w pliku w formacie XLSX"/>
      </w:tblPr>
      <w:tblGrid>
        <w:gridCol w:w="4253"/>
        <w:gridCol w:w="1556"/>
        <w:gridCol w:w="1557"/>
        <w:gridCol w:w="1556"/>
        <w:gridCol w:w="1557"/>
      </w:tblGrid>
      <w:tr w:rsidR="00A601DE" w:rsidRPr="00E87892" w:rsidTr="00A601DE">
        <w:trPr>
          <w:trHeight w:val="57"/>
          <w:tblHeader/>
          <w:jc w:val="center"/>
        </w:trPr>
        <w:tc>
          <w:tcPr>
            <w:tcW w:w="4253" w:type="dxa"/>
            <w:vMerge w:val="restart"/>
            <w:tcBorders>
              <w:top w:val="nil"/>
              <w:bottom w:val="single" w:sz="4" w:space="0" w:color="522398"/>
              <w:right w:val="single" w:sz="4" w:space="0" w:color="522398"/>
            </w:tcBorders>
            <w:vAlign w:val="center"/>
          </w:tcPr>
          <w:p w:rsidR="00A601DE" w:rsidRPr="00823825" w:rsidRDefault="00A601DE" w:rsidP="00A601DE">
            <w:pPr>
              <w:pStyle w:val="glowka1"/>
            </w:pPr>
            <w:r w:rsidRPr="00823825">
              <w:t>Wyszczególnienie</w:t>
            </w:r>
          </w:p>
        </w:tc>
        <w:tc>
          <w:tcPr>
            <w:tcW w:w="3113" w:type="dxa"/>
            <w:gridSpan w:val="2"/>
            <w:tcBorders>
              <w:top w:val="nil"/>
              <w:bottom w:val="single" w:sz="4" w:space="0" w:color="522398"/>
              <w:right w:val="single" w:sz="4" w:space="0" w:color="522398"/>
            </w:tcBorders>
          </w:tcPr>
          <w:p w:rsidR="00A601DE" w:rsidRDefault="00A601DE" w:rsidP="002B3124">
            <w:pPr>
              <w:pStyle w:val="glowka1"/>
            </w:pPr>
            <w:r>
              <w:t>0</w:t>
            </w:r>
            <w:r w:rsidR="002B3124">
              <w:t>7</w:t>
            </w:r>
            <w:r w:rsidRPr="00823825">
              <w:t xml:space="preserve"> </w:t>
            </w:r>
            <w:r>
              <w:t>2025</w:t>
            </w:r>
          </w:p>
        </w:tc>
        <w:tc>
          <w:tcPr>
            <w:tcW w:w="3113" w:type="dxa"/>
            <w:gridSpan w:val="2"/>
            <w:tcBorders>
              <w:top w:val="nil"/>
              <w:left w:val="single" w:sz="4" w:space="0" w:color="522398"/>
              <w:bottom w:val="single" w:sz="4" w:space="0" w:color="522398"/>
            </w:tcBorders>
            <w:vAlign w:val="center"/>
          </w:tcPr>
          <w:p w:rsidR="00A601DE" w:rsidRPr="00823825" w:rsidRDefault="00A601DE" w:rsidP="002B3124">
            <w:pPr>
              <w:pStyle w:val="glowka1"/>
            </w:pPr>
            <w:r>
              <w:t>01–0</w:t>
            </w:r>
            <w:r w:rsidR="002B3124">
              <w:t>7</w:t>
            </w:r>
            <w:r>
              <w:t xml:space="preserve"> 2025</w:t>
            </w:r>
          </w:p>
        </w:tc>
      </w:tr>
      <w:tr w:rsidR="00A601DE" w:rsidRPr="00E87892" w:rsidTr="00A601DE">
        <w:trPr>
          <w:trHeight w:val="510"/>
          <w:tblHeader/>
          <w:jc w:val="center"/>
        </w:trPr>
        <w:tc>
          <w:tcPr>
            <w:tcW w:w="4253" w:type="dxa"/>
            <w:vMerge/>
            <w:tcBorders>
              <w:top w:val="single" w:sz="4" w:space="0" w:color="522398"/>
              <w:bottom w:val="single" w:sz="12" w:space="0" w:color="522398"/>
              <w:right w:val="single" w:sz="4" w:space="0" w:color="522398"/>
            </w:tcBorders>
            <w:vAlign w:val="center"/>
          </w:tcPr>
          <w:p w:rsidR="00A601DE" w:rsidRPr="00823825" w:rsidRDefault="00A601DE" w:rsidP="00A601DE">
            <w:pPr>
              <w:pStyle w:val="glowka1"/>
            </w:pPr>
          </w:p>
        </w:tc>
        <w:tc>
          <w:tcPr>
            <w:tcW w:w="1556" w:type="dxa"/>
            <w:tcBorders>
              <w:top w:val="single" w:sz="4" w:space="0" w:color="522398"/>
              <w:bottom w:val="single" w:sz="12" w:space="0" w:color="522398"/>
            </w:tcBorders>
            <w:vAlign w:val="center"/>
          </w:tcPr>
          <w:p w:rsidR="00A601DE" w:rsidRPr="00823825" w:rsidRDefault="00A601DE" w:rsidP="00A601DE">
            <w:pPr>
              <w:pStyle w:val="glowka1"/>
            </w:pPr>
            <w:r w:rsidRPr="00823825">
              <w:t>w tys.</w:t>
            </w:r>
          </w:p>
        </w:tc>
        <w:tc>
          <w:tcPr>
            <w:tcW w:w="1557" w:type="dxa"/>
            <w:tcBorders>
              <w:top w:val="single" w:sz="4" w:space="0" w:color="522398"/>
              <w:bottom w:val="single" w:sz="12" w:space="0" w:color="522398"/>
              <w:right w:val="single" w:sz="4" w:space="0" w:color="522398"/>
            </w:tcBorders>
            <w:vAlign w:val="center"/>
          </w:tcPr>
          <w:p w:rsidR="00A601DE" w:rsidRPr="00823825" w:rsidRDefault="00A601DE" w:rsidP="002B3124">
            <w:pPr>
              <w:pStyle w:val="glowka1"/>
            </w:pPr>
            <w:r>
              <w:t>0</w:t>
            </w:r>
            <w:r w:rsidR="002B3124">
              <w:t>7</w:t>
            </w:r>
            <w:r w:rsidRPr="00823825">
              <w:t xml:space="preserve"> </w:t>
            </w:r>
            <w:r>
              <w:t>2024</w:t>
            </w:r>
            <w:r w:rsidRPr="00823825">
              <w:t>=100</w:t>
            </w:r>
          </w:p>
        </w:tc>
        <w:tc>
          <w:tcPr>
            <w:tcW w:w="1556" w:type="dxa"/>
            <w:tcBorders>
              <w:top w:val="single" w:sz="4" w:space="0" w:color="522398"/>
              <w:left w:val="single" w:sz="4" w:space="0" w:color="522398"/>
              <w:bottom w:val="single" w:sz="12" w:space="0" w:color="522398"/>
              <w:right w:val="single" w:sz="4" w:space="0" w:color="522398"/>
            </w:tcBorders>
            <w:vAlign w:val="center"/>
          </w:tcPr>
          <w:p w:rsidR="00A601DE" w:rsidRPr="00823825" w:rsidRDefault="00A601DE" w:rsidP="00A601DE">
            <w:pPr>
              <w:pStyle w:val="glowka1"/>
            </w:pPr>
            <w:r w:rsidRPr="00823825">
              <w:t>w tys.</w:t>
            </w:r>
          </w:p>
        </w:tc>
        <w:tc>
          <w:tcPr>
            <w:tcW w:w="1557" w:type="dxa"/>
            <w:tcBorders>
              <w:top w:val="single" w:sz="4" w:space="0" w:color="522398"/>
              <w:left w:val="single" w:sz="4" w:space="0" w:color="522398"/>
              <w:bottom w:val="single" w:sz="12" w:space="0" w:color="522398"/>
            </w:tcBorders>
            <w:vAlign w:val="center"/>
          </w:tcPr>
          <w:p w:rsidR="00A601DE" w:rsidRPr="00823825" w:rsidRDefault="00A601DE" w:rsidP="002B3124">
            <w:pPr>
              <w:pStyle w:val="glowka1"/>
            </w:pPr>
            <w:r>
              <w:t>01–0</w:t>
            </w:r>
            <w:r w:rsidR="002B3124">
              <w:t>7</w:t>
            </w:r>
            <w:r>
              <w:t xml:space="preserve"> 2024</w:t>
            </w:r>
            <w:r w:rsidRPr="00823825">
              <w:t>=100</w:t>
            </w:r>
          </w:p>
        </w:tc>
      </w:tr>
      <w:tr w:rsidR="00CB51F7" w:rsidRPr="00E87892" w:rsidTr="002C2C77">
        <w:trPr>
          <w:trHeight w:val="227"/>
          <w:jc w:val="center"/>
        </w:trPr>
        <w:tc>
          <w:tcPr>
            <w:tcW w:w="4253" w:type="dxa"/>
            <w:tcBorders>
              <w:top w:val="single" w:sz="4" w:space="0" w:color="522398"/>
              <w:bottom w:val="single" w:sz="4" w:space="0" w:color="001D77"/>
            </w:tcBorders>
            <w:vAlign w:val="center"/>
          </w:tcPr>
          <w:p w:rsidR="00CB51F7" w:rsidRPr="00151192" w:rsidRDefault="00CB51F7" w:rsidP="00CB51F7">
            <w:pPr>
              <w:pStyle w:val="boczekbez"/>
            </w:pPr>
            <w:r w:rsidRPr="00151192">
              <w:t>OGÓŁEM</w:t>
            </w:r>
          </w:p>
        </w:tc>
        <w:tc>
          <w:tcPr>
            <w:tcW w:w="1556" w:type="dxa"/>
            <w:tcBorders>
              <w:top w:val="single" w:sz="4" w:space="0" w:color="522398"/>
              <w:bottom w:val="single" w:sz="4" w:space="0" w:color="001D77"/>
            </w:tcBorders>
            <w:vAlign w:val="bottom"/>
          </w:tcPr>
          <w:p w:rsidR="00CB51F7" w:rsidRPr="00696F0C" w:rsidRDefault="00CB51F7" w:rsidP="004376C6">
            <w:pPr>
              <w:pStyle w:val="tablet"/>
            </w:pPr>
            <w:r w:rsidRPr="00B333A9">
              <w:t>860,8</w:t>
            </w:r>
          </w:p>
        </w:tc>
        <w:tc>
          <w:tcPr>
            <w:tcW w:w="1557" w:type="dxa"/>
            <w:tcBorders>
              <w:top w:val="single" w:sz="4" w:space="0" w:color="522398"/>
              <w:bottom w:val="single" w:sz="4" w:space="0" w:color="001D77"/>
            </w:tcBorders>
            <w:vAlign w:val="bottom"/>
          </w:tcPr>
          <w:p w:rsidR="00CB51F7" w:rsidRPr="00696F0C" w:rsidRDefault="00CB51F7" w:rsidP="004376C6">
            <w:pPr>
              <w:pStyle w:val="tablet"/>
            </w:pPr>
            <w:r w:rsidRPr="00C7236C">
              <w:t>100,7</w:t>
            </w:r>
          </w:p>
        </w:tc>
        <w:tc>
          <w:tcPr>
            <w:tcW w:w="1556" w:type="dxa"/>
            <w:tcBorders>
              <w:top w:val="single" w:sz="4" w:space="0" w:color="522398"/>
              <w:bottom w:val="single" w:sz="4" w:space="0" w:color="001D77"/>
            </w:tcBorders>
            <w:vAlign w:val="bottom"/>
          </w:tcPr>
          <w:p w:rsidR="00CB51F7" w:rsidRPr="00696F0C" w:rsidRDefault="00CB51F7" w:rsidP="004376C6">
            <w:pPr>
              <w:pStyle w:val="tablet"/>
            </w:pPr>
            <w:r w:rsidRPr="00FB0FB4">
              <w:t>862,2</w:t>
            </w:r>
          </w:p>
        </w:tc>
        <w:tc>
          <w:tcPr>
            <w:tcW w:w="1557" w:type="dxa"/>
            <w:tcBorders>
              <w:top w:val="single" w:sz="4" w:space="0" w:color="522398"/>
              <w:bottom w:val="single" w:sz="4" w:space="0" w:color="001D77"/>
            </w:tcBorders>
            <w:vAlign w:val="bottom"/>
          </w:tcPr>
          <w:p w:rsidR="00CB51F7" w:rsidRPr="00696F0C" w:rsidRDefault="00CB51F7" w:rsidP="004376C6">
            <w:pPr>
              <w:pStyle w:val="tablet"/>
            </w:pPr>
            <w:r w:rsidRPr="00D83604">
              <w:t>100,7</w:t>
            </w:r>
          </w:p>
        </w:tc>
      </w:tr>
      <w:tr w:rsidR="00CB51F7" w:rsidRPr="00E87892" w:rsidTr="002C2C77">
        <w:trPr>
          <w:trHeight w:val="227"/>
          <w:jc w:val="center"/>
        </w:trPr>
        <w:tc>
          <w:tcPr>
            <w:tcW w:w="4253" w:type="dxa"/>
            <w:tcBorders>
              <w:top w:val="single" w:sz="4" w:space="0" w:color="522398"/>
              <w:bottom w:val="single" w:sz="4" w:space="0" w:color="001D77"/>
            </w:tcBorders>
            <w:vAlign w:val="center"/>
          </w:tcPr>
          <w:p w:rsidR="00CB51F7" w:rsidRDefault="00CB51F7" w:rsidP="00CB51F7">
            <w:pPr>
              <w:pStyle w:val="boczek2"/>
            </w:pPr>
            <w:r w:rsidRPr="00823825">
              <w:t>w tym:</w:t>
            </w:r>
          </w:p>
        </w:tc>
        <w:tc>
          <w:tcPr>
            <w:tcW w:w="1556" w:type="dxa"/>
            <w:tcBorders>
              <w:top w:val="single" w:sz="4" w:space="0" w:color="522398"/>
              <w:bottom w:val="single" w:sz="4" w:space="0" w:color="001D77"/>
            </w:tcBorders>
            <w:vAlign w:val="bottom"/>
          </w:tcPr>
          <w:p w:rsidR="00CB51F7" w:rsidRPr="00696F0C" w:rsidRDefault="00CB51F7" w:rsidP="00CB51F7">
            <w:pPr>
              <w:pStyle w:val="tableteksttab"/>
            </w:pPr>
          </w:p>
        </w:tc>
        <w:tc>
          <w:tcPr>
            <w:tcW w:w="1557" w:type="dxa"/>
            <w:tcBorders>
              <w:top w:val="single" w:sz="4" w:space="0" w:color="522398"/>
              <w:bottom w:val="single" w:sz="4" w:space="0" w:color="001D77"/>
            </w:tcBorders>
            <w:vAlign w:val="bottom"/>
          </w:tcPr>
          <w:p w:rsidR="00CB51F7" w:rsidRPr="00696F0C" w:rsidRDefault="00CB51F7" w:rsidP="00CB51F7">
            <w:pPr>
              <w:pStyle w:val="tableteksttab"/>
            </w:pPr>
          </w:p>
        </w:tc>
        <w:tc>
          <w:tcPr>
            <w:tcW w:w="1556" w:type="dxa"/>
            <w:tcBorders>
              <w:top w:val="single" w:sz="4" w:space="0" w:color="522398"/>
              <w:bottom w:val="single" w:sz="4" w:space="0" w:color="001D77"/>
            </w:tcBorders>
            <w:vAlign w:val="bottom"/>
          </w:tcPr>
          <w:p w:rsidR="00CB51F7" w:rsidRPr="00696F0C" w:rsidRDefault="00CB51F7" w:rsidP="00CB51F7">
            <w:pPr>
              <w:pStyle w:val="tableteksttab"/>
            </w:pPr>
          </w:p>
        </w:tc>
        <w:tc>
          <w:tcPr>
            <w:tcW w:w="1557" w:type="dxa"/>
            <w:tcBorders>
              <w:top w:val="single" w:sz="4" w:space="0" w:color="522398"/>
              <w:bottom w:val="single" w:sz="4" w:space="0" w:color="001D77"/>
            </w:tcBorders>
            <w:vAlign w:val="bottom"/>
          </w:tcPr>
          <w:p w:rsidR="00CB51F7" w:rsidRPr="00696F0C" w:rsidRDefault="00CB51F7" w:rsidP="00CB51F7">
            <w:pPr>
              <w:pStyle w:val="tableteksttab"/>
            </w:pPr>
          </w:p>
        </w:tc>
      </w:tr>
      <w:tr w:rsidR="00CB51F7" w:rsidRPr="00E87892" w:rsidTr="002C2C77">
        <w:trPr>
          <w:trHeight w:val="227"/>
          <w:jc w:val="center"/>
        </w:trPr>
        <w:tc>
          <w:tcPr>
            <w:tcW w:w="4253" w:type="dxa"/>
            <w:tcBorders>
              <w:top w:val="single" w:sz="4" w:space="0" w:color="001D77"/>
            </w:tcBorders>
            <w:vAlign w:val="center"/>
          </w:tcPr>
          <w:p w:rsidR="00CB51F7" w:rsidRPr="00823825" w:rsidRDefault="00CB51F7" w:rsidP="00CB51F7">
            <w:pPr>
              <w:pStyle w:val="boczek1"/>
              <w:rPr>
                <w:rStyle w:val="boczekZnak"/>
              </w:rPr>
            </w:pPr>
            <w:r w:rsidRPr="00823825">
              <w:t>Przemysł</w:t>
            </w:r>
          </w:p>
        </w:tc>
        <w:tc>
          <w:tcPr>
            <w:tcW w:w="1556" w:type="dxa"/>
            <w:tcBorders>
              <w:top w:val="single" w:sz="4" w:space="0" w:color="001D77"/>
            </w:tcBorders>
            <w:vAlign w:val="bottom"/>
          </w:tcPr>
          <w:p w:rsidR="00CB51F7" w:rsidRPr="00696F0C" w:rsidRDefault="00CB51F7" w:rsidP="00CB51F7">
            <w:pPr>
              <w:pStyle w:val="tableteksttab"/>
            </w:pPr>
            <w:r w:rsidRPr="00FB0FB4">
              <w:t>332,9</w:t>
            </w:r>
          </w:p>
        </w:tc>
        <w:tc>
          <w:tcPr>
            <w:tcW w:w="1557" w:type="dxa"/>
            <w:tcBorders>
              <w:top w:val="single" w:sz="4" w:space="0" w:color="001D77"/>
            </w:tcBorders>
            <w:vAlign w:val="bottom"/>
          </w:tcPr>
          <w:p w:rsidR="00CB51F7" w:rsidRPr="00696F0C" w:rsidRDefault="00CB51F7" w:rsidP="00CB51F7">
            <w:pPr>
              <w:pStyle w:val="tableteksttab"/>
            </w:pPr>
            <w:r w:rsidRPr="00C7236C">
              <w:t>99,5</w:t>
            </w:r>
          </w:p>
        </w:tc>
        <w:tc>
          <w:tcPr>
            <w:tcW w:w="1556" w:type="dxa"/>
            <w:tcBorders>
              <w:top w:val="single" w:sz="4" w:space="0" w:color="001D77"/>
            </w:tcBorders>
            <w:vAlign w:val="bottom"/>
          </w:tcPr>
          <w:p w:rsidR="00CB51F7" w:rsidRPr="00696F0C" w:rsidRDefault="00CB51F7" w:rsidP="00CB51F7">
            <w:pPr>
              <w:pStyle w:val="tableteksttab"/>
            </w:pPr>
            <w:r w:rsidRPr="00FB0FB4">
              <w:t>334,0</w:t>
            </w:r>
          </w:p>
        </w:tc>
        <w:tc>
          <w:tcPr>
            <w:tcW w:w="1557" w:type="dxa"/>
            <w:tcBorders>
              <w:top w:val="single" w:sz="4" w:space="0" w:color="001D77"/>
            </w:tcBorders>
            <w:vAlign w:val="bottom"/>
          </w:tcPr>
          <w:p w:rsidR="00CB51F7" w:rsidRPr="00696F0C" w:rsidRDefault="00CB51F7" w:rsidP="00CB51F7">
            <w:pPr>
              <w:pStyle w:val="tableteksttab"/>
            </w:pPr>
            <w:r w:rsidRPr="00D83604">
              <w:t>99,3</w:t>
            </w:r>
          </w:p>
        </w:tc>
      </w:tr>
      <w:tr w:rsidR="00CB51F7" w:rsidRPr="00E87892" w:rsidTr="002C2C77">
        <w:trPr>
          <w:trHeight w:val="227"/>
          <w:jc w:val="center"/>
        </w:trPr>
        <w:tc>
          <w:tcPr>
            <w:tcW w:w="4253" w:type="dxa"/>
            <w:vAlign w:val="center"/>
          </w:tcPr>
          <w:p w:rsidR="00CB51F7" w:rsidRPr="00823825" w:rsidRDefault="00CB51F7" w:rsidP="00CB51F7">
            <w:pPr>
              <w:pStyle w:val="boczek2"/>
            </w:pPr>
            <w:r w:rsidRPr="00823825">
              <w:t>górnictwo i wydobywanie</w:t>
            </w:r>
          </w:p>
        </w:tc>
        <w:tc>
          <w:tcPr>
            <w:tcW w:w="1556" w:type="dxa"/>
            <w:vAlign w:val="bottom"/>
          </w:tcPr>
          <w:p w:rsidR="00CB51F7" w:rsidRPr="00696F0C" w:rsidRDefault="00CB51F7" w:rsidP="00CB51F7">
            <w:pPr>
              <w:pStyle w:val="tableteksttab"/>
            </w:pPr>
            <w:r w:rsidRPr="00FB0FB4">
              <w:t>3,3</w:t>
            </w:r>
          </w:p>
        </w:tc>
        <w:tc>
          <w:tcPr>
            <w:tcW w:w="1557" w:type="dxa"/>
            <w:vAlign w:val="bottom"/>
          </w:tcPr>
          <w:p w:rsidR="00CB51F7" w:rsidRPr="00696F0C" w:rsidRDefault="00CB51F7" w:rsidP="00CB51F7">
            <w:pPr>
              <w:pStyle w:val="tableteksttab"/>
            </w:pPr>
            <w:r w:rsidRPr="004714FE">
              <w:t>93,5</w:t>
            </w:r>
          </w:p>
        </w:tc>
        <w:tc>
          <w:tcPr>
            <w:tcW w:w="1556" w:type="dxa"/>
            <w:vAlign w:val="bottom"/>
          </w:tcPr>
          <w:p w:rsidR="00CB51F7" w:rsidRPr="00696F0C" w:rsidRDefault="00CB51F7" w:rsidP="00CB51F7">
            <w:pPr>
              <w:pStyle w:val="tableteksttab"/>
            </w:pPr>
            <w:r w:rsidRPr="00FB0FB4">
              <w:t>3,3</w:t>
            </w:r>
          </w:p>
        </w:tc>
        <w:tc>
          <w:tcPr>
            <w:tcW w:w="1557" w:type="dxa"/>
            <w:vAlign w:val="bottom"/>
          </w:tcPr>
          <w:p w:rsidR="00CB51F7" w:rsidRPr="00696F0C" w:rsidRDefault="00CB51F7" w:rsidP="00CB51F7">
            <w:pPr>
              <w:pStyle w:val="tableteksttab"/>
            </w:pPr>
            <w:r w:rsidRPr="00D83604">
              <w:t>93,6</w:t>
            </w:r>
          </w:p>
        </w:tc>
      </w:tr>
      <w:tr w:rsidR="00CB51F7" w:rsidRPr="00E87892" w:rsidTr="002C2C77">
        <w:trPr>
          <w:trHeight w:val="227"/>
          <w:jc w:val="center"/>
        </w:trPr>
        <w:tc>
          <w:tcPr>
            <w:tcW w:w="4253" w:type="dxa"/>
            <w:vAlign w:val="center"/>
          </w:tcPr>
          <w:p w:rsidR="00CB51F7" w:rsidRPr="00823825" w:rsidRDefault="00CB51F7" w:rsidP="00CB51F7">
            <w:pPr>
              <w:pStyle w:val="boczek2"/>
            </w:pPr>
            <w:r w:rsidRPr="00823825">
              <w:t>przetwórstwo przemysłowe</w:t>
            </w:r>
          </w:p>
        </w:tc>
        <w:tc>
          <w:tcPr>
            <w:tcW w:w="1556" w:type="dxa"/>
            <w:vAlign w:val="bottom"/>
          </w:tcPr>
          <w:p w:rsidR="00CB51F7" w:rsidRPr="00696F0C" w:rsidRDefault="00CB51F7" w:rsidP="00CB51F7">
            <w:pPr>
              <w:pStyle w:val="tableteksttab"/>
            </w:pPr>
            <w:r w:rsidRPr="00FB0FB4">
              <w:t>308,1</w:t>
            </w:r>
          </w:p>
        </w:tc>
        <w:tc>
          <w:tcPr>
            <w:tcW w:w="1557" w:type="dxa"/>
            <w:vAlign w:val="bottom"/>
          </w:tcPr>
          <w:p w:rsidR="00CB51F7" w:rsidRPr="00696F0C" w:rsidRDefault="00CB51F7" w:rsidP="00CB51F7">
            <w:pPr>
              <w:pStyle w:val="tableteksttab"/>
            </w:pPr>
            <w:r w:rsidRPr="004714FE">
              <w:t>99,5</w:t>
            </w:r>
          </w:p>
        </w:tc>
        <w:tc>
          <w:tcPr>
            <w:tcW w:w="1556" w:type="dxa"/>
            <w:vAlign w:val="bottom"/>
          </w:tcPr>
          <w:p w:rsidR="00CB51F7" w:rsidRPr="00696F0C" w:rsidRDefault="00CB51F7" w:rsidP="00CB51F7">
            <w:pPr>
              <w:pStyle w:val="tableteksttab"/>
            </w:pPr>
            <w:r w:rsidRPr="00FB0FB4">
              <w:t>309,2</w:t>
            </w:r>
          </w:p>
        </w:tc>
        <w:tc>
          <w:tcPr>
            <w:tcW w:w="1557" w:type="dxa"/>
            <w:vAlign w:val="bottom"/>
          </w:tcPr>
          <w:p w:rsidR="00CB51F7" w:rsidRPr="00696F0C" w:rsidRDefault="00CB51F7" w:rsidP="00CB51F7">
            <w:pPr>
              <w:pStyle w:val="tableteksttab"/>
            </w:pPr>
            <w:r w:rsidRPr="00D83604">
              <w:t>99,4</w:t>
            </w:r>
          </w:p>
        </w:tc>
      </w:tr>
      <w:tr w:rsidR="00CB51F7" w:rsidRPr="00E87892" w:rsidTr="00A601DE">
        <w:trPr>
          <w:trHeight w:val="227"/>
          <w:jc w:val="center"/>
        </w:trPr>
        <w:tc>
          <w:tcPr>
            <w:tcW w:w="4253" w:type="dxa"/>
            <w:vAlign w:val="bottom"/>
          </w:tcPr>
          <w:p w:rsidR="00CB51F7" w:rsidRPr="00823825" w:rsidRDefault="00CB51F7" w:rsidP="00CB51F7">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2" w:name="OLE_LINK1"/>
            <w:r w:rsidRPr="00823825">
              <w:rPr>
                <w:rFonts w:ascii="Symbol" w:hAnsi="Symbol"/>
                <w:vertAlign w:val="superscript"/>
              </w:rPr>
              <w:t></w:t>
            </w:r>
            <w:bookmarkEnd w:id="12"/>
          </w:p>
        </w:tc>
        <w:tc>
          <w:tcPr>
            <w:tcW w:w="1556" w:type="dxa"/>
            <w:vAlign w:val="bottom"/>
          </w:tcPr>
          <w:p w:rsidR="00CB51F7" w:rsidRPr="00696F0C" w:rsidRDefault="00CB51F7" w:rsidP="00CB51F7">
            <w:pPr>
              <w:pStyle w:val="tableteksttab"/>
            </w:pPr>
            <w:r w:rsidRPr="00FB0FB4">
              <w:t>7,8</w:t>
            </w:r>
          </w:p>
        </w:tc>
        <w:tc>
          <w:tcPr>
            <w:tcW w:w="1557" w:type="dxa"/>
            <w:vAlign w:val="bottom"/>
          </w:tcPr>
          <w:p w:rsidR="00CB51F7" w:rsidRPr="00696F0C" w:rsidRDefault="00CB51F7" w:rsidP="00CB51F7">
            <w:pPr>
              <w:pStyle w:val="tableteksttab"/>
            </w:pPr>
            <w:r w:rsidRPr="004714FE">
              <w:t>102,2</w:t>
            </w:r>
          </w:p>
        </w:tc>
        <w:tc>
          <w:tcPr>
            <w:tcW w:w="1556" w:type="dxa"/>
            <w:vAlign w:val="bottom"/>
          </w:tcPr>
          <w:p w:rsidR="00CB51F7" w:rsidRPr="00696F0C" w:rsidRDefault="00CB51F7" w:rsidP="00CB51F7">
            <w:pPr>
              <w:pStyle w:val="tableteksttab"/>
            </w:pPr>
            <w:r w:rsidRPr="00FB0FB4">
              <w:t>7,9</w:t>
            </w:r>
          </w:p>
        </w:tc>
        <w:tc>
          <w:tcPr>
            <w:tcW w:w="1557" w:type="dxa"/>
            <w:vAlign w:val="bottom"/>
          </w:tcPr>
          <w:p w:rsidR="00CB51F7" w:rsidRPr="00696F0C" w:rsidRDefault="00CB51F7" w:rsidP="00CB51F7">
            <w:pPr>
              <w:pStyle w:val="tableteksttab"/>
            </w:pPr>
            <w:r w:rsidRPr="00D83604">
              <w:t>102,2</w:t>
            </w:r>
          </w:p>
        </w:tc>
      </w:tr>
      <w:tr w:rsidR="00CB51F7" w:rsidRPr="00E87892" w:rsidTr="00A601DE">
        <w:trPr>
          <w:trHeight w:val="227"/>
          <w:jc w:val="center"/>
        </w:trPr>
        <w:tc>
          <w:tcPr>
            <w:tcW w:w="4253" w:type="dxa"/>
            <w:vAlign w:val="bottom"/>
          </w:tcPr>
          <w:p w:rsidR="00CB51F7" w:rsidRPr="00823825" w:rsidRDefault="00CB51F7" w:rsidP="00CB51F7">
            <w:pPr>
              <w:pStyle w:val="boczek2"/>
            </w:pPr>
            <w:r w:rsidRPr="00823825">
              <w:t>dostawa wody; gospodarowanie ściekami i odpada</w:t>
            </w:r>
            <w:r>
              <w:t>mi;</w:t>
            </w:r>
            <w:r w:rsidRPr="00823825">
              <w:t xml:space="preserve"> rekultywacja</w:t>
            </w:r>
            <w:r w:rsidRPr="00823825">
              <w:rPr>
                <w:rFonts w:ascii="Symbol" w:hAnsi="Symbol"/>
                <w:vertAlign w:val="superscript"/>
              </w:rPr>
              <w:t></w:t>
            </w:r>
          </w:p>
        </w:tc>
        <w:tc>
          <w:tcPr>
            <w:tcW w:w="1556" w:type="dxa"/>
            <w:vAlign w:val="bottom"/>
          </w:tcPr>
          <w:p w:rsidR="00CB51F7" w:rsidRPr="00696F0C" w:rsidRDefault="00CB51F7" w:rsidP="00CB51F7">
            <w:pPr>
              <w:pStyle w:val="tableteksttab"/>
            </w:pPr>
            <w:r w:rsidRPr="00FB0FB4">
              <w:t>13,7</w:t>
            </w:r>
          </w:p>
        </w:tc>
        <w:tc>
          <w:tcPr>
            <w:tcW w:w="1557" w:type="dxa"/>
            <w:vAlign w:val="bottom"/>
          </w:tcPr>
          <w:p w:rsidR="00CB51F7" w:rsidRPr="00696F0C" w:rsidRDefault="00CB51F7" w:rsidP="00CB51F7">
            <w:pPr>
              <w:pStyle w:val="tableteksttab"/>
            </w:pPr>
            <w:r w:rsidRPr="004714FE">
              <w:t>98,0</w:t>
            </w:r>
          </w:p>
        </w:tc>
        <w:tc>
          <w:tcPr>
            <w:tcW w:w="1556" w:type="dxa"/>
            <w:vAlign w:val="bottom"/>
          </w:tcPr>
          <w:p w:rsidR="00CB51F7" w:rsidRPr="00696F0C" w:rsidRDefault="00CB51F7" w:rsidP="00CB51F7">
            <w:pPr>
              <w:pStyle w:val="tableteksttab"/>
            </w:pPr>
            <w:r w:rsidRPr="00FB0FB4">
              <w:t>13,6</w:t>
            </w:r>
          </w:p>
        </w:tc>
        <w:tc>
          <w:tcPr>
            <w:tcW w:w="1557" w:type="dxa"/>
            <w:vAlign w:val="bottom"/>
          </w:tcPr>
          <w:p w:rsidR="00CB51F7" w:rsidRPr="00696F0C" w:rsidRDefault="00CB51F7" w:rsidP="00CB51F7">
            <w:pPr>
              <w:pStyle w:val="tableteksttab"/>
            </w:pPr>
            <w:r w:rsidRPr="00D83604">
              <w:t>97,9</w:t>
            </w:r>
          </w:p>
        </w:tc>
      </w:tr>
      <w:tr w:rsidR="00CB51F7" w:rsidRPr="00E87892" w:rsidTr="002C2C77">
        <w:trPr>
          <w:trHeight w:val="227"/>
          <w:jc w:val="center"/>
        </w:trPr>
        <w:tc>
          <w:tcPr>
            <w:tcW w:w="4253" w:type="dxa"/>
            <w:vAlign w:val="center"/>
          </w:tcPr>
          <w:p w:rsidR="00CB51F7" w:rsidRPr="00823825" w:rsidRDefault="00CB51F7" w:rsidP="00CB51F7">
            <w:pPr>
              <w:pStyle w:val="boczek1"/>
            </w:pPr>
            <w:r w:rsidRPr="00823825">
              <w:t>Budownictwo</w:t>
            </w:r>
          </w:p>
        </w:tc>
        <w:tc>
          <w:tcPr>
            <w:tcW w:w="1556" w:type="dxa"/>
            <w:vAlign w:val="bottom"/>
          </w:tcPr>
          <w:p w:rsidR="00CB51F7" w:rsidRPr="00696F0C" w:rsidRDefault="00CB51F7" w:rsidP="00CB51F7">
            <w:pPr>
              <w:pStyle w:val="tableteksttab"/>
            </w:pPr>
            <w:r w:rsidRPr="00FB0FB4">
              <w:t>40,4</w:t>
            </w:r>
          </w:p>
        </w:tc>
        <w:tc>
          <w:tcPr>
            <w:tcW w:w="1557" w:type="dxa"/>
            <w:vAlign w:val="bottom"/>
          </w:tcPr>
          <w:p w:rsidR="00CB51F7" w:rsidRPr="00696F0C" w:rsidRDefault="00CB51F7" w:rsidP="00CB51F7">
            <w:pPr>
              <w:pStyle w:val="tableteksttab"/>
            </w:pPr>
            <w:r w:rsidRPr="004714FE">
              <w:t>100,8</w:t>
            </w:r>
          </w:p>
        </w:tc>
        <w:tc>
          <w:tcPr>
            <w:tcW w:w="1556" w:type="dxa"/>
            <w:vAlign w:val="bottom"/>
          </w:tcPr>
          <w:p w:rsidR="00CB51F7" w:rsidRPr="00696F0C" w:rsidRDefault="00CB51F7" w:rsidP="00CB51F7">
            <w:pPr>
              <w:pStyle w:val="tableteksttab"/>
            </w:pPr>
            <w:r w:rsidRPr="00FB0FB4">
              <w:t>40,5</w:t>
            </w:r>
          </w:p>
        </w:tc>
        <w:tc>
          <w:tcPr>
            <w:tcW w:w="1557" w:type="dxa"/>
            <w:vAlign w:val="bottom"/>
          </w:tcPr>
          <w:p w:rsidR="00CB51F7" w:rsidRPr="00696F0C" w:rsidRDefault="00CB51F7" w:rsidP="00CB51F7">
            <w:pPr>
              <w:pStyle w:val="tableteksttab"/>
            </w:pPr>
            <w:r w:rsidRPr="00D83604">
              <w:t>100,7</w:t>
            </w:r>
          </w:p>
        </w:tc>
      </w:tr>
      <w:tr w:rsidR="00CB51F7" w:rsidRPr="00E87892" w:rsidTr="002C2C77">
        <w:trPr>
          <w:trHeight w:val="227"/>
          <w:jc w:val="center"/>
        </w:trPr>
        <w:tc>
          <w:tcPr>
            <w:tcW w:w="4253" w:type="dxa"/>
            <w:vAlign w:val="center"/>
          </w:tcPr>
          <w:p w:rsidR="00CB51F7" w:rsidRPr="00823825" w:rsidRDefault="00CB51F7" w:rsidP="00CB51F7">
            <w:pPr>
              <w:pStyle w:val="boczek1"/>
            </w:pPr>
            <w:r w:rsidRPr="00823825">
              <w:t>Ha</w:t>
            </w:r>
            <w:r>
              <w:t>ndel; naprawa pojazdów samochodow</w:t>
            </w:r>
            <w:r w:rsidRPr="00823825">
              <w:t>ych</w:t>
            </w:r>
            <w:r w:rsidRPr="00A8104B">
              <w:rPr>
                <w:rFonts w:ascii="Symbol" w:hAnsi="Symbol"/>
                <w:vertAlign w:val="superscript"/>
              </w:rPr>
              <w:t></w:t>
            </w:r>
          </w:p>
        </w:tc>
        <w:tc>
          <w:tcPr>
            <w:tcW w:w="1556" w:type="dxa"/>
            <w:vAlign w:val="bottom"/>
          </w:tcPr>
          <w:p w:rsidR="00CB51F7" w:rsidRPr="00696F0C" w:rsidRDefault="00CB51F7" w:rsidP="00CB51F7">
            <w:pPr>
              <w:pStyle w:val="tableteksttab"/>
            </w:pPr>
            <w:r w:rsidRPr="00FB0FB4">
              <w:t>302,6</w:t>
            </w:r>
          </w:p>
        </w:tc>
        <w:tc>
          <w:tcPr>
            <w:tcW w:w="1557" w:type="dxa"/>
            <w:vAlign w:val="bottom"/>
          </w:tcPr>
          <w:p w:rsidR="00CB51F7" w:rsidRPr="00696F0C" w:rsidRDefault="00CB51F7" w:rsidP="00CB51F7">
            <w:pPr>
              <w:pStyle w:val="tableteksttab"/>
            </w:pPr>
            <w:r w:rsidRPr="004714FE">
              <w:t>102,1</w:t>
            </w:r>
          </w:p>
        </w:tc>
        <w:tc>
          <w:tcPr>
            <w:tcW w:w="1556" w:type="dxa"/>
            <w:vAlign w:val="bottom"/>
          </w:tcPr>
          <w:p w:rsidR="00CB51F7" w:rsidRPr="00696F0C" w:rsidRDefault="00CB51F7" w:rsidP="00CB51F7">
            <w:pPr>
              <w:pStyle w:val="tableteksttab"/>
            </w:pPr>
            <w:r w:rsidRPr="00FB0FB4">
              <w:t>301,3</w:t>
            </w:r>
          </w:p>
        </w:tc>
        <w:tc>
          <w:tcPr>
            <w:tcW w:w="1557" w:type="dxa"/>
            <w:vAlign w:val="bottom"/>
          </w:tcPr>
          <w:p w:rsidR="00CB51F7" w:rsidRPr="00696F0C" w:rsidRDefault="00CB51F7" w:rsidP="00CB51F7">
            <w:pPr>
              <w:pStyle w:val="tableteksttab"/>
            </w:pPr>
            <w:r w:rsidRPr="00D83604">
              <w:t>102,2</w:t>
            </w:r>
          </w:p>
        </w:tc>
      </w:tr>
      <w:tr w:rsidR="00CB51F7" w:rsidRPr="00E87892" w:rsidTr="002C2C77">
        <w:trPr>
          <w:trHeight w:val="227"/>
          <w:jc w:val="center"/>
        </w:trPr>
        <w:tc>
          <w:tcPr>
            <w:tcW w:w="4253" w:type="dxa"/>
            <w:vAlign w:val="center"/>
          </w:tcPr>
          <w:p w:rsidR="00CB51F7" w:rsidRPr="00823825" w:rsidRDefault="00CB51F7" w:rsidP="00CB51F7">
            <w:pPr>
              <w:pStyle w:val="boczek1"/>
            </w:pPr>
            <w:r w:rsidRPr="00823825">
              <w:t>Transport i gospodarka magazynowa</w:t>
            </w:r>
          </w:p>
        </w:tc>
        <w:tc>
          <w:tcPr>
            <w:tcW w:w="1556" w:type="dxa"/>
            <w:vAlign w:val="bottom"/>
          </w:tcPr>
          <w:p w:rsidR="00CB51F7" w:rsidRPr="00696F0C" w:rsidRDefault="00CB51F7" w:rsidP="00CB51F7">
            <w:pPr>
              <w:pStyle w:val="tableteksttab"/>
            </w:pPr>
            <w:r w:rsidRPr="00FB0FB4">
              <w:t>91,8</w:t>
            </w:r>
          </w:p>
        </w:tc>
        <w:tc>
          <w:tcPr>
            <w:tcW w:w="1557" w:type="dxa"/>
            <w:vAlign w:val="bottom"/>
          </w:tcPr>
          <w:p w:rsidR="00CB51F7" w:rsidRPr="00696F0C" w:rsidRDefault="00CB51F7" w:rsidP="00CB51F7">
            <w:pPr>
              <w:pStyle w:val="tableteksttab"/>
            </w:pPr>
            <w:r w:rsidRPr="004714FE">
              <w:t>103,0</w:t>
            </w:r>
          </w:p>
        </w:tc>
        <w:tc>
          <w:tcPr>
            <w:tcW w:w="1556" w:type="dxa"/>
            <w:vAlign w:val="bottom"/>
          </w:tcPr>
          <w:p w:rsidR="00CB51F7" w:rsidRPr="00696F0C" w:rsidRDefault="00CB51F7" w:rsidP="00CB51F7">
            <w:pPr>
              <w:pStyle w:val="tableteksttab"/>
            </w:pPr>
            <w:r w:rsidRPr="00FB0FB4">
              <w:t>93,0</w:t>
            </w:r>
          </w:p>
        </w:tc>
        <w:tc>
          <w:tcPr>
            <w:tcW w:w="1557" w:type="dxa"/>
            <w:vAlign w:val="bottom"/>
          </w:tcPr>
          <w:p w:rsidR="00CB51F7" w:rsidRPr="00696F0C" w:rsidRDefault="00CB51F7" w:rsidP="00CB51F7">
            <w:pPr>
              <w:pStyle w:val="tableteksttab"/>
            </w:pPr>
            <w:r w:rsidRPr="00D83604">
              <w:t>102,1</w:t>
            </w:r>
          </w:p>
        </w:tc>
      </w:tr>
      <w:tr w:rsidR="00CB51F7" w:rsidRPr="00E87892" w:rsidTr="002C2C77">
        <w:trPr>
          <w:trHeight w:val="227"/>
          <w:jc w:val="center"/>
        </w:trPr>
        <w:tc>
          <w:tcPr>
            <w:tcW w:w="4253" w:type="dxa"/>
            <w:tcBorders>
              <w:bottom w:val="single" w:sz="4" w:space="0" w:color="001D77"/>
            </w:tcBorders>
            <w:vAlign w:val="center"/>
          </w:tcPr>
          <w:p w:rsidR="00CB51F7" w:rsidRPr="00823825" w:rsidRDefault="00CB51F7" w:rsidP="00CB51F7">
            <w:pPr>
              <w:pStyle w:val="boczek1"/>
            </w:pPr>
            <w:r w:rsidRPr="00823825">
              <w:t>Zakwaterowanie i gastronomia</w:t>
            </w:r>
            <w:r w:rsidRPr="00823825">
              <w:rPr>
                <w:rFonts w:ascii="Symbol" w:hAnsi="Symbol"/>
                <w:vertAlign w:val="superscript"/>
              </w:rPr>
              <w:t></w:t>
            </w:r>
          </w:p>
        </w:tc>
        <w:tc>
          <w:tcPr>
            <w:tcW w:w="1556" w:type="dxa"/>
            <w:tcBorders>
              <w:bottom w:val="single" w:sz="4" w:space="0" w:color="001D77"/>
            </w:tcBorders>
            <w:vAlign w:val="bottom"/>
          </w:tcPr>
          <w:p w:rsidR="00CB51F7" w:rsidRPr="00696F0C" w:rsidRDefault="00CB51F7" w:rsidP="00CB51F7">
            <w:pPr>
              <w:pStyle w:val="tableteksttab"/>
            </w:pPr>
            <w:r w:rsidRPr="00FB0FB4">
              <w:t>7,8</w:t>
            </w:r>
          </w:p>
        </w:tc>
        <w:tc>
          <w:tcPr>
            <w:tcW w:w="1557" w:type="dxa"/>
            <w:tcBorders>
              <w:bottom w:val="single" w:sz="4" w:space="0" w:color="001D77"/>
            </w:tcBorders>
            <w:vAlign w:val="bottom"/>
          </w:tcPr>
          <w:p w:rsidR="00CB51F7" w:rsidRPr="00696F0C" w:rsidRDefault="00CB51F7" w:rsidP="00CB51F7">
            <w:pPr>
              <w:pStyle w:val="tableteksttab"/>
            </w:pPr>
            <w:r w:rsidRPr="004714FE">
              <w:t>102,2</w:t>
            </w:r>
          </w:p>
        </w:tc>
        <w:tc>
          <w:tcPr>
            <w:tcW w:w="1556" w:type="dxa"/>
            <w:tcBorders>
              <w:bottom w:val="single" w:sz="4" w:space="0" w:color="001D77"/>
            </w:tcBorders>
            <w:vAlign w:val="bottom"/>
          </w:tcPr>
          <w:p w:rsidR="00CB51F7" w:rsidRPr="00696F0C" w:rsidRDefault="00CB51F7" w:rsidP="00CB51F7">
            <w:pPr>
              <w:pStyle w:val="tableteksttab"/>
            </w:pPr>
            <w:r w:rsidRPr="00FB0FB4">
              <w:t>7,7</w:t>
            </w:r>
          </w:p>
        </w:tc>
        <w:tc>
          <w:tcPr>
            <w:tcW w:w="1557" w:type="dxa"/>
            <w:vAlign w:val="bottom"/>
          </w:tcPr>
          <w:p w:rsidR="00CB51F7" w:rsidRPr="00696F0C" w:rsidRDefault="00CB51F7" w:rsidP="00CB51F7">
            <w:pPr>
              <w:pStyle w:val="tableteksttab"/>
            </w:pPr>
            <w:r w:rsidRPr="00D83604">
              <w:t>103,5</w:t>
            </w:r>
          </w:p>
        </w:tc>
      </w:tr>
      <w:tr w:rsidR="00CB51F7" w:rsidRPr="00E87892" w:rsidTr="002C2C77">
        <w:trPr>
          <w:trHeight w:val="227"/>
          <w:jc w:val="center"/>
        </w:trPr>
        <w:tc>
          <w:tcPr>
            <w:tcW w:w="4253" w:type="dxa"/>
            <w:tcBorders>
              <w:top w:val="single" w:sz="4" w:space="0" w:color="001D77"/>
              <w:bottom w:val="single" w:sz="4" w:space="0" w:color="001D77"/>
            </w:tcBorders>
            <w:vAlign w:val="center"/>
          </w:tcPr>
          <w:p w:rsidR="00CB51F7" w:rsidRPr="00823825" w:rsidRDefault="00CB51F7" w:rsidP="00CB51F7">
            <w:pPr>
              <w:pStyle w:val="boczek1"/>
            </w:pPr>
            <w:r w:rsidRPr="00823825">
              <w:t>Informacja i komunikacja</w:t>
            </w:r>
          </w:p>
        </w:tc>
        <w:tc>
          <w:tcPr>
            <w:tcW w:w="1556" w:type="dxa"/>
            <w:tcBorders>
              <w:top w:val="single" w:sz="4" w:space="0" w:color="001D77"/>
              <w:bottom w:val="single" w:sz="4" w:space="0" w:color="001D77"/>
            </w:tcBorders>
            <w:vAlign w:val="bottom"/>
          </w:tcPr>
          <w:p w:rsidR="00CB51F7" w:rsidRPr="00696F0C" w:rsidRDefault="00CB51F7" w:rsidP="00CB51F7">
            <w:pPr>
              <w:pStyle w:val="tableteksttab"/>
            </w:pPr>
            <w:r w:rsidRPr="00FB0FB4">
              <w:t>19,7</w:t>
            </w:r>
          </w:p>
        </w:tc>
        <w:tc>
          <w:tcPr>
            <w:tcW w:w="1557" w:type="dxa"/>
            <w:tcBorders>
              <w:top w:val="single" w:sz="4" w:space="0" w:color="001D77"/>
              <w:bottom w:val="single" w:sz="4" w:space="0" w:color="001D77"/>
            </w:tcBorders>
            <w:vAlign w:val="bottom"/>
          </w:tcPr>
          <w:p w:rsidR="00CB51F7" w:rsidRPr="00696F0C" w:rsidRDefault="00CB51F7" w:rsidP="00CB51F7">
            <w:pPr>
              <w:pStyle w:val="tableteksttab"/>
            </w:pPr>
            <w:r w:rsidRPr="004714FE">
              <w:t>107,4</w:t>
            </w:r>
          </w:p>
        </w:tc>
        <w:tc>
          <w:tcPr>
            <w:tcW w:w="1556" w:type="dxa"/>
            <w:tcBorders>
              <w:top w:val="single" w:sz="4" w:space="0" w:color="001D77"/>
              <w:bottom w:val="single" w:sz="4" w:space="0" w:color="001D77"/>
            </w:tcBorders>
            <w:vAlign w:val="bottom"/>
          </w:tcPr>
          <w:p w:rsidR="00CB51F7" w:rsidRPr="00696F0C" w:rsidRDefault="00CB51F7" w:rsidP="00CB51F7">
            <w:pPr>
              <w:pStyle w:val="tableteksttab"/>
            </w:pPr>
            <w:r w:rsidRPr="00FB0FB4">
              <w:t>19,5</w:t>
            </w:r>
          </w:p>
        </w:tc>
        <w:tc>
          <w:tcPr>
            <w:tcW w:w="1557" w:type="dxa"/>
            <w:vAlign w:val="bottom"/>
          </w:tcPr>
          <w:p w:rsidR="00CB51F7" w:rsidRPr="00696F0C" w:rsidRDefault="00CB51F7" w:rsidP="00CB51F7">
            <w:pPr>
              <w:pStyle w:val="tableteksttab"/>
            </w:pPr>
            <w:r w:rsidRPr="00D83604">
              <w:t>107,8</w:t>
            </w:r>
          </w:p>
        </w:tc>
      </w:tr>
      <w:tr w:rsidR="00CB51F7" w:rsidRPr="00E87892" w:rsidTr="002C2C77">
        <w:trPr>
          <w:trHeight w:val="227"/>
          <w:jc w:val="center"/>
        </w:trPr>
        <w:tc>
          <w:tcPr>
            <w:tcW w:w="4253" w:type="dxa"/>
            <w:tcBorders>
              <w:top w:val="single" w:sz="4" w:space="0" w:color="001D77"/>
              <w:bottom w:val="single" w:sz="4" w:space="0" w:color="001D77"/>
            </w:tcBorders>
            <w:vAlign w:val="center"/>
          </w:tcPr>
          <w:p w:rsidR="00CB51F7" w:rsidRPr="00823825" w:rsidRDefault="00CB51F7" w:rsidP="00CB51F7">
            <w:pPr>
              <w:pStyle w:val="boczek1"/>
            </w:pPr>
            <w:r w:rsidRPr="00823825">
              <w:t>Obsługa rynku nieruchomości</w:t>
            </w:r>
            <w:r w:rsidRPr="00823825">
              <w:rPr>
                <w:rFonts w:ascii="Symbol" w:hAnsi="Symbol"/>
                <w:vertAlign w:val="superscript"/>
              </w:rPr>
              <w:t></w:t>
            </w:r>
          </w:p>
        </w:tc>
        <w:tc>
          <w:tcPr>
            <w:tcW w:w="1556" w:type="dxa"/>
            <w:tcBorders>
              <w:top w:val="single" w:sz="4" w:space="0" w:color="001D77"/>
              <w:bottom w:val="single" w:sz="4" w:space="0" w:color="001D77"/>
            </w:tcBorders>
            <w:vAlign w:val="bottom"/>
          </w:tcPr>
          <w:p w:rsidR="00CB51F7" w:rsidRPr="00696F0C" w:rsidRDefault="00CB51F7" w:rsidP="00CB51F7">
            <w:pPr>
              <w:pStyle w:val="tableteksttab"/>
            </w:pPr>
            <w:r w:rsidRPr="00FB0FB4">
              <w:t>6,6</w:t>
            </w:r>
          </w:p>
        </w:tc>
        <w:tc>
          <w:tcPr>
            <w:tcW w:w="1557" w:type="dxa"/>
            <w:tcBorders>
              <w:top w:val="single" w:sz="4" w:space="0" w:color="001D77"/>
              <w:bottom w:val="single" w:sz="4" w:space="0" w:color="001D77"/>
            </w:tcBorders>
            <w:vAlign w:val="bottom"/>
          </w:tcPr>
          <w:p w:rsidR="00CB51F7" w:rsidRPr="00696F0C" w:rsidRDefault="00CB51F7" w:rsidP="00CB51F7">
            <w:pPr>
              <w:pStyle w:val="tableteksttab"/>
            </w:pPr>
            <w:r w:rsidRPr="004714FE">
              <w:t>99,1</w:t>
            </w:r>
          </w:p>
        </w:tc>
        <w:tc>
          <w:tcPr>
            <w:tcW w:w="1556" w:type="dxa"/>
            <w:tcBorders>
              <w:top w:val="single" w:sz="4" w:space="0" w:color="001D77"/>
              <w:bottom w:val="single" w:sz="4" w:space="0" w:color="001D77"/>
            </w:tcBorders>
            <w:vAlign w:val="bottom"/>
          </w:tcPr>
          <w:p w:rsidR="00CB51F7" w:rsidRPr="00696F0C" w:rsidRDefault="00CB51F7" w:rsidP="00CB51F7">
            <w:pPr>
              <w:pStyle w:val="tableteksttab"/>
            </w:pPr>
            <w:r w:rsidRPr="00FB0FB4">
              <w:t>6,7</w:t>
            </w:r>
          </w:p>
        </w:tc>
        <w:tc>
          <w:tcPr>
            <w:tcW w:w="1557" w:type="dxa"/>
            <w:tcBorders>
              <w:bottom w:val="single" w:sz="4" w:space="0" w:color="001D77"/>
            </w:tcBorders>
            <w:vAlign w:val="bottom"/>
          </w:tcPr>
          <w:p w:rsidR="00CB51F7" w:rsidRPr="00696F0C" w:rsidRDefault="00CB51F7" w:rsidP="00CB51F7">
            <w:pPr>
              <w:pStyle w:val="tableteksttab"/>
            </w:pPr>
            <w:r w:rsidRPr="00D83604">
              <w:t>100,2</w:t>
            </w:r>
          </w:p>
        </w:tc>
      </w:tr>
      <w:tr w:rsidR="00CB51F7" w:rsidRPr="00E87892" w:rsidTr="002C2C77">
        <w:trPr>
          <w:trHeight w:val="227"/>
          <w:jc w:val="center"/>
        </w:trPr>
        <w:tc>
          <w:tcPr>
            <w:tcW w:w="4253" w:type="dxa"/>
            <w:tcBorders>
              <w:top w:val="single" w:sz="4" w:space="0" w:color="001D77"/>
              <w:bottom w:val="single" w:sz="4" w:space="0" w:color="001D77"/>
            </w:tcBorders>
            <w:vAlign w:val="center"/>
          </w:tcPr>
          <w:p w:rsidR="00CB51F7" w:rsidRPr="00823825" w:rsidRDefault="00CB51F7" w:rsidP="00CB51F7">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1556" w:type="dxa"/>
            <w:tcBorders>
              <w:top w:val="single" w:sz="4" w:space="0" w:color="001D77"/>
              <w:bottom w:val="single" w:sz="4" w:space="0" w:color="001D77"/>
            </w:tcBorders>
            <w:vAlign w:val="bottom"/>
          </w:tcPr>
          <w:p w:rsidR="00CB51F7" w:rsidRPr="00696F0C" w:rsidRDefault="00CB51F7" w:rsidP="00CB51F7">
            <w:pPr>
              <w:pStyle w:val="tableteksttab"/>
            </w:pPr>
            <w:r w:rsidRPr="00FB0FB4">
              <w:t>19,1</w:t>
            </w:r>
          </w:p>
        </w:tc>
        <w:tc>
          <w:tcPr>
            <w:tcW w:w="1557" w:type="dxa"/>
            <w:tcBorders>
              <w:top w:val="single" w:sz="4" w:space="0" w:color="001D77"/>
              <w:bottom w:val="single" w:sz="4" w:space="0" w:color="001D77"/>
            </w:tcBorders>
            <w:vAlign w:val="bottom"/>
          </w:tcPr>
          <w:p w:rsidR="00CB51F7" w:rsidRPr="00696F0C" w:rsidRDefault="00CB51F7" w:rsidP="00CB51F7">
            <w:pPr>
              <w:pStyle w:val="tableteksttab"/>
            </w:pPr>
            <w:r w:rsidRPr="004714FE">
              <w:t>88,4</w:t>
            </w:r>
          </w:p>
        </w:tc>
        <w:tc>
          <w:tcPr>
            <w:tcW w:w="1556" w:type="dxa"/>
            <w:tcBorders>
              <w:top w:val="single" w:sz="4" w:space="0" w:color="001D77"/>
              <w:bottom w:val="single" w:sz="4" w:space="0" w:color="001D77"/>
            </w:tcBorders>
            <w:vAlign w:val="bottom"/>
          </w:tcPr>
          <w:p w:rsidR="00CB51F7" w:rsidRPr="00696F0C" w:rsidRDefault="00CB51F7" w:rsidP="00CB51F7">
            <w:pPr>
              <w:pStyle w:val="tableteksttab"/>
            </w:pPr>
            <w:r w:rsidRPr="00FB0FB4">
              <w:t>19,6</w:t>
            </w:r>
          </w:p>
        </w:tc>
        <w:tc>
          <w:tcPr>
            <w:tcW w:w="1557" w:type="dxa"/>
            <w:tcBorders>
              <w:top w:val="single" w:sz="4" w:space="0" w:color="001D77"/>
              <w:bottom w:val="single" w:sz="4" w:space="0" w:color="001D77"/>
            </w:tcBorders>
            <w:vAlign w:val="bottom"/>
          </w:tcPr>
          <w:p w:rsidR="00CB51F7" w:rsidRPr="00696F0C" w:rsidRDefault="00CB51F7" w:rsidP="00CB51F7">
            <w:pPr>
              <w:pStyle w:val="tableteksttab"/>
            </w:pPr>
            <w:r w:rsidRPr="00D83604">
              <w:t>91,6</w:t>
            </w:r>
          </w:p>
        </w:tc>
      </w:tr>
      <w:tr w:rsidR="00CB51F7" w:rsidRPr="00E87892" w:rsidTr="002C2C77">
        <w:trPr>
          <w:trHeight w:val="227"/>
          <w:jc w:val="center"/>
        </w:trPr>
        <w:tc>
          <w:tcPr>
            <w:tcW w:w="4253" w:type="dxa"/>
            <w:tcBorders>
              <w:top w:val="single" w:sz="4" w:space="0" w:color="001D77"/>
              <w:bottom w:val="nil"/>
            </w:tcBorders>
            <w:vAlign w:val="center"/>
          </w:tcPr>
          <w:p w:rsidR="00CB51F7" w:rsidRPr="00823825" w:rsidRDefault="00CB51F7" w:rsidP="00CB51F7">
            <w:pPr>
              <w:pStyle w:val="boczek1"/>
            </w:pPr>
            <w:r w:rsidRPr="00823825">
              <w:t>Administrowanie i działalność wspierająca</w:t>
            </w:r>
            <w:r w:rsidRPr="00823825">
              <w:rPr>
                <w:rFonts w:ascii="Symbol" w:hAnsi="Symbol"/>
                <w:vertAlign w:val="superscript"/>
              </w:rPr>
              <w:t></w:t>
            </w:r>
          </w:p>
        </w:tc>
        <w:tc>
          <w:tcPr>
            <w:tcW w:w="1556" w:type="dxa"/>
            <w:tcBorders>
              <w:top w:val="single" w:sz="4" w:space="0" w:color="001D77"/>
              <w:bottom w:val="nil"/>
            </w:tcBorders>
            <w:vAlign w:val="bottom"/>
          </w:tcPr>
          <w:p w:rsidR="00CB51F7" w:rsidRPr="00696F0C" w:rsidRDefault="00CB51F7" w:rsidP="00CB51F7">
            <w:pPr>
              <w:pStyle w:val="tableteksttab"/>
            </w:pPr>
            <w:r w:rsidRPr="00FB0FB4">
              <w:t>27,6</w:t>
            </w:r>
          </w:p>
        </w:tc>
        <w:tc>
          <w:tcPr>
            <w:tcW w:w="1557" w:type="dxa"/>
            <w:tcBorders>
              <w:top w:val="single" w:sz="4" w:space="0" w:color="001D77"/>
              <w:bottom w:val="nil"/>
            </w:tcBorders>
            <w:vAlign w:val="bottom"/>
          </w:tcPr>
          <w:p w:rsidR="00CB51F7" w:rsidRPr="00696F0C" w:rsidRDefault="00CB51F7" w:rsidP="00CB51F7">
            <w:pPr>
              <w:pStyle w:val="tableteksttab"/>
            </w:pPr>
            <w:r w:rsidRPr="004714FE">
              <w:t>100,9</w:t>
            </w:r>
          </w:p>
        </w:tc>
        <w:tc>
          <w:tcPr>
            <w:tcW w:w="1556" w:type="dxa"/>
            <w:tcBorders>
              <w:top w:val="single" w:sz="4" w:space="0" w:color="001D77"/>
              <w:bottom w:val="nil"/>
            </w:tcBorders>
            <w:vAlign w:val="bottom"/>
          </w:tcPr>
          <w:p w:rsidR="00CB51F7" w:rsidRPr="00696F0C" w:rsidRDefault="00CB51F7" w:rsidP="00CB51F7">
            <w:pPr>
              <w:pStyle w:val="tableteksttab"/>
            </w:pPr>
            <w:r w:rsidRPr="00FB0FB4">
              <w:t>27,5</w:t>
            </w:r>
          </w:p>
        </w:tc>
        <w:tc>
          <w:tcPr>
            <w:tcW w:w="1557" w:type="dxa"/>
            <w:tcBorders>
              <w:top w:val="single" w:sz="4" w:space="0" w:color="001D77"/>
              <w:bottom w:val="nil"/>
            </w:tcBorders>
            <w:vAlign w:val="bottom"/>
          </w:tcPr>
          <w:p w:rsidR="00CB51F7" w:rsidRPr="00696F0C" w:rsidRDefault="00CB51F7" w:rsidP="00CB51F7">
            <w:pPr>
              <w:pStyle w:val="tableteksttab"/>
            </w:pPr>
            <w:r w:rsidRPr="00D83604">
              <w:t>101,3</w:t>
            </w:r>
          </w:p>
        </w:tc>
      </w:tr>
    </w:tbl>
    <w:p w:rsidR="005928D2" w:rsidRPr="00F70B6C" w:rsidRDefault="005928D2" w:rsidP="00EB4501">
      <w:pPr>
        <w:pStyle w:val="notka"/>
      </w:pPr>
      <w:r w:rsidRPr="00F70B6C">
        <w:t>a Nie obejmuje działów: Badania naukowe i prace rozwojowe oraz Działalność weterynaryjna.</w:t>
      </w:r>
    </w:p>
    <w:p w:rsidR="00CB51F7" w:rsidRPr="00696F0C" w:rsidRDefault="00CB51F7" w:rsidP="004C290B">
      <w:pPr>
        <w:pStyle w:val="tekst"/>
        <w:spacing w:before="360"/>
        <w:rPr>
          <w:spacing w:val="-4"/>
          <w:szCs w:val="19"/>
        </w:rPr>
      </w:pPr>
      <w:r w:rsidRPr="00696F0C">
        <w:rPr>
          <w:spacing w:val="-4"/>
          <w:szCs w:val="19"/>
        </w:rPr>
        <w:t xml:space="preserve">W porównaniu z </w:t>
      </w:r>
      <w:r>
        <w:rPr>
          <w:spacing w:val="-4"/>
          <w:szCs w:val="19"/>
        </w:rPr>
        <w:t>lipcem</w:t>
      </w:r>
      <w:r w:rsidRPr="00696F0C">
        <w:rPr>
          <w:spacing w:val="-4"/>
          <w:szCs w:val="19"/>
        </w:rPr>
        <w:t xml:space="preserve"> ub. roku największy wzrost zatrudnienia wystąpił w przedsiębiorstwach zajmujących się informacją i komunikacją (o </w:t>
      </w:r>
      <w:r>
        <w:rPr>
          <w:spacing w:val="-4"/>
          <w:szCs w:val="19"/>
        </w:rPr>
        <w:t>7,4</w:t>
      </w:r>
      <w:r w:rsidRPr="00696F0C">
        <w:rPr>
          <w:spacing w:val="-4"/>
          <w:szCs w:val="19"/>
        </w:rPr>
        <w:t xml:space="preserve">%), transportem i gospodarką magazynową (o </w:t>
      </w:r>
      <w:r>
        <w:rPr>
          <w:spacing w:val="-4"/>
          <w:szCs w:val="19"/>
        </w:rPr>
        <w:t>3,0</w:t>
      </w:r>
      <w:r w:rsidRPr="00696F0C">
        <w:rPr>
          <w:spacing w:val="-4"/>
          <w:szCs w:val="19"/>
        </w:rPr>
        <w:t>%)</w:t>
      </w:r>
      <w:r>
        <w:rPr>
          <w:spacing w:val="-4"/>
          <w:szCs w:val="19"/>
        </w:rPr>
        <w:t xml:space="preserve">, a także </w:t>
      </w:r>
      <w:r w:rsidRPr="00696F0C">
        <w:rPr>
          <w:spacing w:val="-4"/>
          <w:szCs w:val="19"/>
        </w:rPr>
        <w:t xml:space="preserve">zakwaterowaniem i gastronomią </w:t>
      </w:r>
      <w:r>
        <w:rPr>
          <w:spacing w:val="-4"/>
          <w:szCs w:val="19"/>
        </w:rPr>
        <w:t xml:space="preserve">oraz </w:t>
      </w:r>
      <w:r w:rsidRPr="00B737FC">
        <w:rPr>
          <w:spacing w:val="-4"/>
          <w:szCs w:val="19"/>
        </w:rPr>
        <w:t>wytwarzanie</w:t>
      </w:r>
      <w:r>
        <w:rPr>
          <w:spacing w:val="-4"/>
          <w:szCs w:val="19"/>
        </w:rPr>
        <w:t>m</w:t>
      </w:r>
      <w:r w:rsidRPr="00B737FC">
        <w:rPr>
          <w:spacing w:val="-4"/>
          <w:szCs w:val="19"/>
        </w:rPr>
        <w:t xml:space="preserve"> i zaopatrywanie</w:t>
      </w:r>
      <w:r>
        <w:rPr>
          <w:spacing w:val="-4"/>
          <w:szCs w:val="19"/>
        </w:rPr>
        <w:t>m</w:t>
      </w:r>
      <w:r w:rsidRPr="00B737FC">
        <w:rPr>
          <w:spacing w:val="-4"/>
          <w:szCs w:val="19"/>
        </w:rPr>
        <w:t xml:space="preserve"> w energię elektryczną, gaz, parę wodną i gorącą wodę </w:t>
      </w:r>
      <w:r w:rsidRPr="00696F0C">
        <w:rPr>
          <w:spacing w:val="-4"/>
          <w:szCs w:val="19"/>
        </w:rPr>
        <w:t>(</w:t>
      </w:r>
      <w:r>
        <w:rPr>
          <w:spacing w:val="-4"/>
          <w:szCs w:val="19"/>
        </w:rPr>
        <w:t>p</w:t>
      </w:r>
      <w:r w:rsidRPr="00696F0C">
        <w:rPr>
          <w:spacing w:val="-4"/>
          <w:szCs w:val="19"/>
        </w:rPr>
        <w:t xml:space="preserve">o </w:t>
      </w:r>
      <w:r>
        <w:rPr>
          <w:spacing w:val="-4"/>
          <w:szCs w:val="19"/>
        </w:rPr>
        <w:t>2,2%)</w:t>
      </w:r>
      <w:r w:rsidRPr="00696F0C">
        <w:rPr>
          <w:spacing w:val="-4"/>
          <w:szCs w:val="19"/>
        </w:rPr>
        <w:t xml:space="preserve">. Spadek zatrudnienia zanotowały </w:t>
      </w:r>
      <w:r>
        <w:rPr>
          <w:spacing w:val="-4"/>
          <w:szCs w:val="19"/>
        </w:rPr>
        <w:t>w </w:t>
      </w:r>
      <w:r w:rsidRPr="00696F0C">
        <w:rPr>
          <w:spacing w:val="-4"/>
          <w:szCs w:val="19"/>
        </w:rPr>
        <w:t>tym czasie m.in. przedsiębiorstwa z sekcji: działalność profesjonalna, naukowa i techniczna (o 11,</w:t>
      </w:r>
      <w:r>
        <w:rPr>
          <w:spacing w:val="-4"/>
          <w:szCs w:val="19"/>
        </w:rPr>
        <w:t>6</w:t>
      </w:r>
      <w:r w:rsidRPr="00696F0C">
        <w:rPr>
          <w:spacing w:val="-4"/>
          <w:szCs w:val="19"/>
        </w:rPr>
        <w:t xml:space="preserve">%), górnictwo i wydobywanie (o </w:t>
      </w:r>
      <w:r>
        <w:rPr>
          <w:spacing w:val="-4"/>
          <w:szCs w:val="19"/>
        </w:rPr>
        <w:t>6,5</w:t>
      </w:r>
      <w:r w:rsidRPr="00696F0C">
        <w:rPr>
          <w:spacing w:val="-4"/>
          <w:szCs w:val="19"/>
        </w:rPr>
        <w:t xml:space="preserve">%) oraz </w:t>
      </w:r>
      <w:r w:rsidRPr="00696F0C">
        <w:t>dostawa wody; gospodarowanie ściekami i odpadami; rekultywacja</w:t>
      </w:r>
      <w:r w:rsidRPr="00696F0C">
        <w:rPr>
          <w:spacing w:val="-4"/>
          <w:szCs w:val="19"/>
        </w:rPr>
        <w:t xml:space="preserve"> (o 2,0%).</w:t>
      </w:r>
    </w:p>
    <w:p w:rsidR="00CB51F7" w:rsidRDefault="00CB51F7" w:rsidP="00CB51F7">
      <w:pPr>
        <w:pStyle w:val="tekst"/>
        <w:rPr>
          <w:spacing w:val="-4"/>
          <w:szCs w:val="19"/>
        </w:rPr>
      </w:pPr>
      <w:r w:rsidRPr="00696F0C">
        <w:rPr>
          <w:spacing w:val="-4"/>
          <w:szCs w:val="19"/>
        </w:rPr>
        <w:t>W strukturze zatrudnienia niezmiennie dominują dwie sekcje: przetwórstwo przemysłowe (35,8% ogółu zatrudnionych w sektorze przedsiębiorstw) oraz handel; naprawa pojazdów samochodowych (35,</w:t>
      </w:r>
      <w:r>
        <w:rPr>
          <w:spacing w:val="-4"/>
          <w:szCs w:val="19"/>
        </w:rPr>
        <w:t>2</w:t>
      </w:r>
      <w:r w:rsidRPr="00696F0C">
        <w:rPr>
          <w:spacing w:val="-4"/>
          <w:szCs w:val="19"/>
        </w:rPr>
        <w:t>%). Na poziomie działów największym zatrudnieniem wyróżniają się przedsiębiorstwa handlu detalicznego (24,8% ogółu zatrudnionych) i hurtowego (8,8%), a ponadto jednostki związane z transportem lądowym i rurociągowym (6,4%) oraz podmioty zajmujące się produkcją artykułów spożywczych (</w:t>
      </w:r>
      <w:r>
        <w:rPr>
          <w:spacing w:val="-4"/>
          <w:szCs w:val="19"/>
        </w:rPr>
        <w:t>6,0</w:t>
      </w:r>
      <w:r w:rsidRPr="00696F0C">
        <w:rPr>
          <w:spacing w:val="-4"/>
          <w:szCs w:val="19"/>
        </w:rPr>
        <w:t>%) i mebli (5,3%).</w:t>
      </w:r>
    </w:p>
    <w:p w:rsidR="009C4875" w:rsidRDefault="00CB51F7" w:rsidP="00CB51F7">
      <w:pPr>
        <w:pStyle w:val="tekst"/>
      </w:pPr>
      <w:r w:rsidRPr="00696F0C">
        <w:t>W okresie styczeń-</w:t>
      </w:r>
      <w:r>
        <w:t>lipiec</w:t>
      </w:r>
      <w:r w:rsidRPr="00696F0C">
        <w:t xml:space="preserve"> br. przeciętne zatrudnienie w sektorze przedsiębiorstw wyniosło </w:t>
      </w:r>
      <w:r w:rsidRPr="00896DA8">
        <w:t>862,2</w:t>
      </w:r>
      <w:r w:rsidRPr="00696F0C">
        <w:t xml:space="preserve"> tys. osób i było o 0,</w:t>
      </w:r>
      <w:r>
        <w:t>7</w:t>
      </w:r>
      <w:r w:rsidRPr="00696F0C">
        <w:t xml:space="preserve">% większe niż w analogicznym okresie ub. roku (przed rokiem obserwowano </w:t>
      </w:r>
      <w:r>
        <w:t>spadek</w:t>
      </w:r>
      <w:r w:rsidRPr="00696F0C">
        <w:t xml:space="preserve"> zatrudnienia o 0,</w:t>
      </w:r>
      <w:r>
        <w:t>8</w:t>
      </w:r>
      <w:r w:rsidRPr="00696F0C">
        <w:t xml:space="preserve">%). </w:t>
      </w:r>
      <w:r>
        <w:t>O</w:t>
      </w:r>
      <w:r w:rsidRPr="00696F0C">
        <w:t xml:space="preserve">d początku roku przeciętne zatrudnienie najbardziej zwiększyło się w sekcjach </w:t>
      </w:r>
      <w:r w:rsidRPr="00696F0C">
        <w:rPr>
          <w:spacing w:val="-4"/>
          <w:szCs w:val="19"/>
        </w:rPr>
        <w:t xml:space="preserve">informacja i komunikacja (o </w:t>
      </w:r>
      <w:r>
        <w:rPr>
          <w:spacing w:val="-4"/>
          <w:szCs w:val="19"/>
        </w:rPr>
        <w:t>7,8</w:t>
      </w:r>
      <w:r w:rsidRPr="00696F0C">
        <w:rPr>
          <w:spacing w:val="-4"/>
          <w:szCs w:val="19"/>
        </w:rPr>
        <w:t>%)</w:t>
      </w:r>
      <w:r w:rsidRPr="00E53610">
        <w:rPr>
          <w:spacing w:val="-4"/>
          <w:szCs w:val="19"/>
        </w:rPr>
        <w:t xml:space="preserve"> </w:t>
      </w:r>
      <w:r w:rsidRPr="00696F0C">
        <w:rPr>
          <w:spacing w:val="-4"/>
          <w:szCs w:val="19"/>
        </w:rPr>
        <w:t xml:space="preserve">oraz zakwaterowanie i gastronomia (o </w:t>
      </w:r>
      <w:r>
        <w:rPr>
          <w:spacing w:val="-4"/>
          <w:szCs w:val="19"/>
        </w:rPr>
        <w:t>3,5</w:t>
      </w:r>
      <w:r w:rsidRPr="00696F0C">
        <w:rPr>
          <w:spacing w:val="-4"/>
          <w:szCs w:val="19"/>
        </w:rPr>
        <w:t xml:space="preserve">%). </w:t>
      </w:r>
      <w:r w:rsidRPr="00696F0C">
        <w:t>Największy spadek zatrudnienia odnotowały przedsiębiorstwa zajmujące się</w:t>
      </w:r>
      <w:r>
        <w:t>:</w:t>
      </w:r>
      <w:r w:rsidRPr="00696F0C">
        <w:t xml:space="preserve"> </w:t>
      </w:r>
      <w:r w:rsidRPr="00696F0C">
        <w:rPr>
          <w:spacing w:val="-4"/>
          <w:szCs w:val="19"/>
        </w:rPr>
        <w:t xml:space="preserve">działalnością profesjonalną, naukową i techniczną (o </w:t>
      </w:r>
      <w:r>
        <w:rPr>
          <w:spacing w:val="-4"/>
          <w:szCs w:val="19"/>
        </w:rPr>
        <w:t>8,4</w:t>
      </w:r>
      <w:r w:rsidRPr="00696F0C">
        <w:rPr>
          <w:spacing w:val="-4"/>
          <w:szCs w:val="19"/>
        </w:rPr>
        <w:t>%), górnictwem i wydobywaniem (o 6,</w:t>
      </w:r>
      <w:r>
        <w:rPr>
          <w:spacing w:val="-4"/>
          <w:szCs w:val="19"/>
        </w:rPr>
        <w:t>4</w:t>
      </w:r>
      <w:r w:rsidRPr="00696F0C">
        <w:rPr>
          <w:spacing w:val="-4"/>
          <w:szCs w:val="19"/>
        </w:rPr>
        <w:t xml:space="preserve">%) oraz </w:t>
      </w:r>
      <w:r w:rsidRPr="00696F0C">
        <w:t>dostawą wody; gospodarowaniem ściekami i odpadami; rekultywacją</w:t>
      </w:r>
      <w:r w:rsidRPr="00696F0C">
        <w:rPr>
          <w:spacing w:val="-4"/>
          <w:szCs w:val="19"/>
        </w:rPr>
        <w:t xml:space="preserve"> (o 2,</w:t>
      </w:r>
      <w:r>
        <w:rPr>
          <w:spacing w:val="-4"/>
          <w:szCs w:val="19"/>
        </w:rPr>
        <w:t>1</w:t>
      </w:r>
      <w:r w:rsidRPr="00696F0C">
        <w:rPr>
          <w:spacing w:val="-4"/>
          <w:szCs w:val="19"/>
        </w:rPr>
        <w:t>%).</w:t>
      </w:r>
    </w:p>
    <w:p w:rsidR="005928D2" w:rsidRPr="003E68BA" w:rsidRDefault="00FB649F" w:rsidP="005928D2">
      <w:pPr>
        <w:pStyle w:val="tytuwykresu"/>
        <w:rPr>
          <w:b w:val="0"/>
          <w:bCs/>
        </w:rPr>
      </w:pPr>
      <w:r w:rsidRPr="009841F9">
        <w:rPr>
          <w:noProof/>
          <w:lang w:eastAsia="pl-PL"/>
        </w:rPr>
        <w:lastRenderedPageBreak/>
        <w:drawing>
          <wp:anchor distT="0" distB="0" distL="114300" distR="114300" simplePos="0" relativeHeight="253027840" behindDoc="0" locked="0" layoutInCell="1" allowOverlap="1">
            <wp:simplePos x="0" y="0"/>
            <wp:positionH relativeFrom="margin">
              <wp:align>center</wp:align>
            </wp:positionH>
            <wp:positionV relativeFrom="paragraph">
              <wp:posOffset>533400</wp:posOffset>
            </wp:positionV>
            <wp:extent cx="5500800" cy="2322000"/>
            <wp:effectExtent l="0" t="0" r="5080" b="2540"/>
            <wp:wrapTopAndBottom/>
            <wp:docPr id="25" name="Obraz 25" descr="Podwójny wykres liniowy (Polska i województwo wielkopolskie) ilustrujący dynamikę przeciętnego zatrudnienia w sektorze przedsiębiorstw, w odniesieniu do przeciętnej wartości miesięcznej z 2021 r., w poszczególnych miesiącach w latach 2022–2025 (oś pozioma). Oś pionowa wartości w zakresie od 101 do 106.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0800" cy="232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1.</w:t>
      </w:r>
      <w:r w:rsidR="005928D2" w:rsidRPr="00BA39CC">
        <w:tab/>
        <w:t xml:space="preserve">Przeciętne miesięczne zatrudnienie w sektorze </w:t>
      </w:r>
      <w:r w:rsidR="005928D2" w:rsidRPr="00CC7BE0">
        <w:t>przedsiębiorstw</w:t>
      </w:r>
      <w:r w:rsidR="005928D2" w:rsidRPr="00CC7BE0">
        <w:br/>
      </w:r>
      <w:r w:rsidR="005928D2" w:rsidRPr="00CC7BE0">
        <w:tab/>
      </w:r>
      <w:r w:rsidR="005928D2" w:rsidRPr="00CC7BE0">
        <w:rPr>
          <w:bCs/>
        </w:rPr>
        <w:t>(przeciętna miesięczna 20</w:t>
      </w:r>
      <w:r w:rsidR="005928D2">
        <w:rPr>
          <w:bCs/>
        </w:rPr>
        <w:t>2</w:t>
      </w:r>
      <w:r w:rsidR="005928D2" w:rsidRPr="00CC7BE0">
        <w:rPr>
          <w:bCs/>
        </w:rPr>
        <w:t>1=100)</w:t>
      </w:r>
      <w:r w:rsidR="005928D2" w:rsidRPr="00A2394D">
        <w:rPr>
          <w:b w:val="0"/>
          <w:bCs/>
        </w:rPr>
        <w:t xml:space="preserve"> </w:t>
      </w:r>
    </w:p>
    <w:p w:rsidR="005928D2" w:rsidRPr="00E0638F" w:rsidRDefault="005928D2" w:rsidP="005928D2">
      <w:pPr>
        <w:pStyle w:val="tekst"/>
        <w:spacing w:before="360"/>
        <w:rPr>
          <w:shd w:val="clear" w:color="auto" w:fill="FFFFFF"/>
        </w:rPr>
      </w:pPr>
      <w:r w:rsidRPr="00E0638F">
        <w:rPr>
          <w:shd w:val="clear" w:color="auto" w:fill="FFFFFF"/>
        </w:rPr>
        <w:t xml:space="preserve">W końcu </w:t>
      </w:r>
      <w:r w:rsidR="009C6CF8">
        <w:rPr>
          <w:shd w:val="clear" w:color="auto" w:fill="FFFFFF"/>
        </w:rPr>
        <w:t>lip</w:t>
      </w:r>
      <w:r w:rsidR="005612D4" w:rsidRPr="00E0638F">
        <w:rPr>
          <w:shd w:val="clear" w:color="auto" w:fill="FFFFFF"/>
        </w:rPr>
        <w:t>ca</w:t>
      </w:r>
      <w:r w:rsidRPr="00E0638F">
        <w:rPr>
          <w:shd w:val="clear" w:color="auto" w:fill="FFFFFF"/>
        </w:rPr>
        <w:t xml:space="preserve"> br. </w:t>
      </w:r>
      <w:r w:rsidRPr="00E0638F">
        <w:rPr>
          <w:b/>
          <w:shd w:val="clear" w:color="auto" w:fill="FFFFFF"/>
        </w:rPr>
        <w:t>liczba bezrobotnych</w:t>
      </w:r>
      <w:r w:rsidRPr="00E0638F">
        <w:rPr>
          <w:shd w:val="clear" w:color="auto" w:fill="FFFFFF"/>
        </w:rPr>
        <w:t xml:space="preserve"> zarejestrowanych w urzędach pracy wyniosła </w:t>
      </w:r>
      <w:r w:rsidR="00FF7C50">
        <w:rPr>
          <w:shd w:val="clear" w:color="auto" w:fill="FFFFFF"/>
        </w:rPr>
        <w:t>51,1</w:t>
      </w:r>
      <w:r w:rsidR="00FF7C50" w:rsidRPr="00E0638F">
        <w:rPr>
          <w:shd w:val="clear" w:color="auto" w:fill="FFFFFF"/>
        </w:rPr>
        <w:t xml:space="preserve"> tys., tj. o </w:t>
      </w:r>
      <w:r w:rsidR="00FF7C50">
        <w:rPr>
          <w:shd w:val="clear" w:color="auto" w:fill="FFFFFF"/>
        </w:rPr>
        <w:t>2</w:t>
      </w:r>
      <w:r w:rsidR="00FF7C50" w:rsidRPr="00E0638F">
        <w:rPr>
          <w:shd w:val="clear" w:color="auto" w:fill="FFFFFF"/>
        </w:rPr>
        <w:t>,</w:t>
      </w:r>
      <w:r w:rsidR="00FF7C50">
        <w:rPr>
          <w:shd w:val="clear" w:color="auto" w:fill="FFFFFF"/>
        </w:rPr>
        <w:t>5</w:t>
      </w:r>
      <w:r w:rsidR="00FF7C50" w:rsidRPr="00E0638F">
        <w:rPr>
          <w:shd w:val="clear" w:color="auto" w:fill="FFFFFF"/>
        </w:rPr>
        <w:t xml:space="preserve"> tys. (o </w:t>
      </w:r>
      <w:r w:rsidR="00FF7C50">
        <w:rPr>
          <w:shd w:val="clear" w:color="auto" w:fill="FFFFFF"/>
        </w:rPr>
        <w:t>5,2</w:t>
      </w:r>
      <w:r w:rsidR="00FF7C50" w:rsidRPr="00E0638F">
        <w:rPr>
          <w:shd w:val="clear" w:color="auto" w:fill="FFFFFF"/>
        </w:rPr>
        <w:t xml:space="preserve">%) więcej niż przed miesiącem i o </w:t>
      </w:r>
      <w:r w:rsidR="00FF7C50">
        <w:rPr>
          <w:shd w:val="clear" w:color="auto" w:fill="FFFFFF"/>
        </w:rPr>
        <w:t>5,5</w:t>
      </w:r>
      <w:r w:rsidR="00FF7C50" w:rsidRPr="00E0638F">
        <w:rPr>
          <w:shd w:val="clear" w:color="auto" w:fill="FFFFFF"/>
        </w:rPr>
        <w:t xml:space="preserve"> tys. (o </w:t>
      </w:r>
      <w:r w:rsidR="00FF7C50">
        <w:rPr>
          <w:shd w:val="clear" w:color="auto" w:fill="FFFFFF"/>
        </w:rPr>
        <w:t>12</w:t>
      </w:r>
      <w:r w:rsidR="00FF7C50" w:rsidRPr="00E0638F">
        <w:rPr>
          <w:shd w:val="clear" w:color="auto" w:fill="FFFFFF"/>
        </w:rPr>
        <w:t>,</w:t>
      </w:r>
      <w:r w:rsidR="00FF7C50">
        <w:rPr>
          <w:shd w:val="clear" w:color="auto" w:fill="FFFFFF"/>
        </w:rPr>
        <w:t>1</w:t>
      </w:r>
      <w:r w:rsidR="00FF7C50" w:rsidRPr="00E0638F">
        <w:rPr>
          <w:shd w:val="clear" w:color="auto" w:fill="FFFFFF"/>
        </w:rPr>
        <w:t>%) więcej niż przed rokiem. Kobiety stanowiły 56,</w:t>
      </w:r>
      <w:r w:rsidR="00FF7C50">
        <w:rPr>
          <w:shd w:val="clear" w:color="auto" w:fill="FFFFFF"/>
        </w:rPr>
        <w:t>6</w:t>
      </w:r>
      <w:r w:rsidR="00FF7C50" w:rsidRPr="00E0638F">
        <w:rPr>
          <w:shd w:val="clear" w:color="auto" w:fill="FFFFFF"/>
        </w:rPr>
        <w:t>% ogółu zarejestrowanych bezrobotnych (wobec 57,</w:t>
      </w:r>
      <w:r w:rsidR="00FF7C50">
        <w:rPr>
          <w:shd w:val="clear" w:color="auto" w:fill="FFFFFF"/>
        </w:rPr>
        <w:t>9</w:t>
      </w:r>
      <w:r w:rsidR="00FF7C50" w:rsidRPr="00E0638F">
        <w:rPr>
          <w:shd w:val="clear" w:color="auto" w:fill="FFFFFF"/>
        </w:rPr>
        <w:t xml:space="preserve">% w końcu </w:t>
      </w:r>
      <w:r w:rsidR="00FF7C50">
        <w:rPr>
          <w:shd w:val="clear" w:color="auto" w:fill="FFFFFF"/>
        </w:rPr>
        <w:t>lipca</w:t>
      </w:r>
      <w:r w:rsidR="00FF7C50" w:rsidRPr="00E0638F">
        <w:rPr>
          <w:shd w:val="clear" w:color="auto" w:fill="FFFFFF"/>
        </w:rPr>
        <w:t xml:space="preserve"> ub. roku).</w:t>
      </w:r>
    </w:p>
    <w:p w:rsidR="005928D2" w:rsidRPr="00154B38" w:rsidRDefault="005928D2" w:rsidP="005928D2">
      <w:pPr>
        <w:pStyle w:val="Tytultabeli"/>
      </w:pPr>
      <w:r w:rsidRPr="00154B38">
        <w:t>Tablica 2.</w:t>
      </w:r>
      <w:r w:rsidRPr="00154B38">
        <w:tab/>
        <w:t xml:space="preserve">Liczba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lipiec br.), miesiąc poprzedni i analogiczny miesiąc ub. roku. Dane do tablicy dostępne w pliku w formacie XLSX"/>
      </w:tblPr>
      <w:tblGrid>
        <w:gridCol w:w="5325"/>
        <w:gridCol w:w="1718"/>
        <w:gridCol w:w="1718"/>
        <w:gridCol w:w="1718"/>
      </w:tblGrid>
      <w:tr w:rsidR="005928D2" w:rsidRPr="00E87892" w:rsidTr="000918AC">
        <w:trPr>
          <w:trHeight w:val="57"/>
          <w:tblHeader/>
          <w:jc w:val="center"/>
        </w:trPr>
        <w:tc>
          <w:tcPr>
            <w:tcW w:w="5325" w:type="dxa"/>
            <w:vMerge w:val="restart"/>
            <w:tcBorders>
              <w:top w:val="nil"/>
              <w:bottom w:val="single" w:sz="4" w:space="0" w:color="001D77"/>
              <w:right w:val="single" w:sz="4" w:space="0" w:color="7030A0"/>
            </w:tcBorders>
            <w:vAlign w:val="center"/>
          </w:tcPr>
          <w:p w:rsidR="005928D2" w:rsidRPr="008F1C64" w:rsidRDefault="005928D2" w:rsidP="000918AC">
            <w:pPr>
              <w:pStyle w:val="glowka1"/>
            </w:pPr>
            <w:r w:rsidRPr="008F1C64">
              <w:t>Wyszczególnienie</w:t>
            </w:r>
          </w:p>
        </w:tc>
        <w:tc>
          <w:tcPr>
            <w:tcW w:w="1718" w:type="dxa"/>
            <w:tcBorders>
              <w:top w:val="nil"/>
              <w:left w:val="single" w:sz="4" w:space="0" w:color="7030A0"/>
              <w:bottom w:val="single" w:sz="4" w:space="0" w:color="001D77"/>
            </w:tcBorders>
            <w:vAlign w:val="center"/>
          </w:tcPr>
          <w:p w:rsidR="005928D2" w:rsidRPr="00307AF8" w:rsidRDefault="005928D2" w:rsidP="000918AC">
            <w:pPr>
              <w:pStyle w:val="glowka1"/>
            </w:pPr>
            <w:r>
              <w:t>2024</w:t>
            </w:r>
          </w:p>
        </w:tc>
        <w:tc>
          <w:tcPr>
            <w:tcW w:w="3436" w:type="dxa"/>
            <w:gridSpan w:val="2"/>
            <w:tcBorders>
              <w:top w:val="nil"/>
              <w:left w:val="single" w:sz="4" w:space="0" w:color="7030A0"/>
              <w:bottom w:val="single" w:sz="4" w:space="0" w:color="001D77"/>
            </w:tcBorders>
            <w:vAlign w:val="center"/>
          </w:tcPr>
          <w:p w:rsidR="005928D2" w:rsidRPr="00307AF8" w:rsidRDefault="005928D2" w:rsidP="000918AC">
            <w:pPr>
              <w:pStyle w:val="glowka1"/>
            </w:pPr>
            <w:r>
              <w:t>2025</w:t>
            </w:r>
          </w:p>
        </w:tc>
      </w:tr>
      <w:tr w:rsidR="005928D2" w:rsidRPr="00E87892" w:rsidTr="000918AC">
        <w:trPr>
          <w:trHeight w:val="57"/>
          <w:jc w:val="center"/>
        </w:trPr>
        <w:tc>
          <w:tcPr>
            <w:tcW w:w="5325" w:type="dxa"/>
            <w:vMerge/>
            <w:tcBorders>
              <w:top w:val="single" w:sz="4" w:space="0" w:color="001D77"/>
              <w:bottom w:val="single" w:sz="12" w:space="0" w:color="522398"/>
              <w:right w:val="single" w:sz="4" w:space="0" w:color="7030A0"/>
            </w:tcBorders>
            <w:vAlign w:val="center"/>
          </w:tcPr>
          <w:p w:rsidR="005928D2" w:rsidRPr="008F1C64" w:rsidRDefault="005928D2" w:rsidP="000918AC">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5928D2" w:rsidRPr="008F1C64" w:rsidRDefault="002238C5" w:rsidP="002B3124">
            <w:pPr>
              <w:pStyle w:val="glowka1"/>
            </w:pPr>
            <w:r>
              <w:t>0</w:t>
            </w:r>
            <w:r w:rsidR="002B3124">
              <w:t>7</w:t>
            </w:r>
          </w:p>
        </w:tc>
        <w:tc>
          <w:tcPr>
            <w:tcW w:w="1718" w:type="dxa"/>
            <w:tcBorders>
              <w:top w:val="single" w:sz="4" w:space="0" w:color="001D77"/>
              <w:left w:val="single" w:sz="4" w:space="0" w:color="7030A0"/>
              <w:bottom w:val="single" w:sz="12" w:space="0" w:color="522398"/>
              <w:right w:val="single" w:sz="4" w:space="0" w:color="7030A0"/>
            </w:tcBorders>
            <w:vAlign w:val="center"/>
          </w:tcPr>
          <w:p w:rsidR="005928D2" w:rsidRPr="00092207" w:rsidRDefault="005928D2" w:rsidP="002B3124">
            <w:pPr>
              <w:pStyle w:val="glowka1"/>
            </w:pPr>
            <w:r>
              <w:t>0</w:t>
            </w:r>
            <w:r w:rsidR="002B3124">
              <w:t>6</w:t>
            </w:r>
          </w:p>
        </w:tc>
        <w:tc>
          <w:tcPr>
            <w:tcW w:w="1718" w:type="dxa"/>
            <w:tcBorders>
              <w:top w:val="single" w:sz="4" w:space="0" w:color="001D77"/>
              <w:left w:val="single" w:sz="4" w:space="0" w:color="7030A0"/>
              <w:bottom w:val="single" w:sz="12" w:space="0" w:color="522398"/>
            </w:tcBorders>
            <w:vAlign w:val="center"/>
          </w:tcPr>
          <w:p w:rsidR="005928D2" w:rsidRPr="00092207" w:rsidRDefault="005928D2" w:rsidP="002B3124">
            <w:pPr>
              <w:pStyle w:val="glowka1"/>
            </w:pPr>
            <w:r w:rsidRPr="00092207">
              <w:t>0</w:t>
            </w:r>
            <w:r w:rsidR="002B3124">
              <w:t>7</w:t>
            </w:r>
          </w:p>
        </w:tc>
      </w:tr>
      <w:tr w:rsidR="00FF7C50" w:rsidRPr="00E87892" w:rsidTr="00E0638F">
        <w:trPr>
          <w:trHeight w:val="57"/>
          <w:jc w:val="center"/>
        </w:trPr>
        <w:tc>
          <w:tcPr>
            <w:tcW w:w="5325" w:type="dxa"/>
            <w:tcBorders>
              <w:top w:val="single" w:sz="12" w:space="0" w:color="522398"/>
              <w:bottom w:val="single" w:sz="4" w:space="0" w:color="522398"/>
              <w:right w:val="single" w:sz="4" w:space="0" w:color="7030A0"/>
            </w:tcBorders>
            <w:vAlign w:val="center"/>
          </w:tcPr>
          <w:p w:rsidR="00FF7C50" w:rsidRPr="008F1C64" w:rsidRDefault="00FF7C50" w:rsidP="00FF7C50">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vAlign w:val="center"/>
          </w:tcPr>
          <w:p w:rsidR="00FF7C50" w:rsidRPr="00FF7C50" w:rsidRDefault="00FF7C50" w:rsidP="00FF7C50">
            <w:pPr>
              <w:pStyle w:val="tableteksttab"/>
            </w:pPr>
            <w:r w:rsidRPr="00FF7C50">
              <w:t>45,6</w:t>
            </w:r>
          </w:p>
        </w:tc>
        <w:tc>
          <w:tcPr>
            <w:tcW w:w="1718" w:type="dxa"/>
            <w:tcBorders>
              <w:top w:val="single" w:sz="12" w:space="0" w:color="522398"/>
              <w:left w:val="single" w:sz="4" w:space="0" w:color="7030A0"/>
              <w:bottom w:val="single" w:sz="4" w:space="0" w:color="522398"/>
              <w:right w:val="single" w:sz="4" w:space="0" w:color="7030A0"/>
            </w:tcBorders>
            <w:vAlign w:val="center"/>
          </w:tcPr>
          <w:p w:rsidR="00FF7C50" w:rsidRPr="00FF7C50" w:rsidRDefault="00FF7C50" w:rsidP="00FF7C50">
            <w:pPr>
              <w:pStyle w:val="tableteksttab"/>
            </w:pPr>
            <w:r w:rsidRPr="00FF7C50">
              <w:t>48,6</w:t>
            </w:r>
          </w:p>
        </w:tc>
        <w:tc>
          <w:tcPr>
            <w:tcW w:w="1718" w:type="dxa"/>
            <w:tcBorders>
              <w:top w:val="single" w:sz="12" w:space="0" w:color="522398"/>
              <w:left w:val="single" w:sz="4" w:space="0" w:color="7030A0"/>
              <w:bottom w:val="single" w:sz="4" w:space="0" w:color="522398"/>
            </w:tcBorders>
            <w:vAlign w:val="center"/>
          </w:tcPr>
          <w:p w:rsidR="00FF7C50" w:rsidRPr="00FF7C50" w:rsidRDefault="00FF7C50" w:rsidP="00FF7C50">
            <w:pPr>
              <w:pStyle w:val="tableteksttab"/>
            </w:pPr>
            <w:r w:rsidRPr="00FF7C50">
              <w:t>51,1</w:t>
            </w:r>
          </w:p>
        </w:tc>
      </w:tr>
      <w:tr w:rsidR="00FF7C50" w:rsidRPr="00E87892" w:rsidTr="00E0638F">
        <w:trPr>
          <w:trHeight w:val="57"/>
          <w:jc w:val="center"/>
        </w:trPr>
        <w:tc>
          <w:tcPr>
            <w:tcW w:w="5325" w:type="dxa"/>
            <w:tcBorders>
              <w:top w:val="single" w:sz="4" w:space="0" w:color="522398"/>
              <w:bottom w:val="single" w:sz="4" w:space="0" w:color="522398"/>
              <w:right w:val="single" w:sz="4" w:space="0" w:color="7030A0"/>
            </w:tcBorders>
            <w:vAlign w:val="center"/>
          </w:tcPr>
          <w:p w:rsidR="00FF7C50" w:rsidRPr="008F1C64" w:rsidRDefault="00FF7C50" w:rsidP="00FF7C50">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FF7C50" w:rsidRPr="00FF7C50" w:rsidRDefault="00FF7C50" w:rsidP="00FF7C50">
            <w:pPr>
              <w:pStyle w:val="tableteksttab"/>
            </w:pPr>
            <w:r w:rsidRPr="00FF7C50">
              <w:t>8,2</w:t>
            </w:r>
          </w:p>
        </w:tc>
        <w:tc>
          <w:tcPr>
            <w:tcW w:w="1718" w:type="dxa"/>
            <w:tcBorders>
              <w:top w:val="single" w:sz="4" w:space="0" w:color="522398"/>
              <w:left w:val="single" w:sz="4" w:space="0" w:color="7030A0"/>
              <w:bottom w:val="single" w:sz="4" w:space="0" w:color="522398"/>
              <w:right w:val="single" w:sz="4" w:space="0" w:color="7030A0"/>
            </w:tcBorders>
            <w:vAlign w:val="center"/>
          </w:tcPr>
          <w:p w:rsidR="00FF7C50" w:rsidRPr="00FF7C50" w:rsidRDefault="00FF7C50" w:rsidP="00FF7C50">
            <w:pPr>
              <w:pStyle w:val="tableteksttab"/>
            </w:pPr>
            <w:r w:rsidRPr="00FF7C50">
              <w:t>6,6</w:t>
            </w:r>
          </w:p>
        </w:tc>
        <w:tc>
          <w:tcPr>
            <w:tcW w:w="1718" w:type="dxa"/>
            <w:tcBorders>
              <w:top w:val="single" w:sz="4" w:space="0" w:color="522398"/>
              <w:left w:val="single" w:sz="4" w:space="0" w:color="7030A0"/>
              <w:bottom w:val="single" w:sz="4" w:space="0" w:color="522398"/>
            </w:tcBorders>
            <w:vAlign w:val="center"/>
          </w:tcPr>
          <w:p w:rsidR="00FF7C50" w:rsidRPr="00FF7C50" w:rsidRDefault="00FF7C50" w:rsidP="00FF7C50">
            <w:pPr>
              <w:pStyle w:val="tableteksttab"/>
            </w:pPr>
            <w:r w:rsidRPr="00FF7C50">
              <w:t>8,3</w:t>
            </w:r>
          </w:p>
        </w:tc>
      </w:tr>
      <w:tr w:rsidR="00FF7C50" w:rsidRPr="00E87892" w:rsidTr="00E0638F">
        <w:trPr>
          <w:trHeight w:val="57"/>
          <w:jc w:val="center"/>
        </w:trPr>
        <w:tc>
          <w:tcPr>
            <w:tcW w:w="5325" w:type="dxa"/>
            <w:tcBorders>
              <w:top w:val="single" w:sz="4" w:space="0" w:color="522398"/>
              <w:bottom w:val="single" w:sz="4" w:space="0" w:color="522398"/>
              <w:right w:val="single" w:sz="4" w:space="0" w:color="7030A0"/>
            </w:tcBorders>
            <w:vAlign w:val="center"/>
          </w:tcPr>
          <w:p w:rsidR="00FF7C50" w:rsidRPr="008F1C64" w:rsidRDefault="00FF7C50" w:rsidP="00FF7C50">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FF7C50" w:rsidRPr="00FF7C50" w:rsidRDefault="00FF7C50" w:rsidP="00FF7C50">
            <w:pPr>
              <w:pStyle w:val="tableteksttab"/>
            </w:pPr>
            <w:r w:rsidRPr="00FF7C50">
              <w:t>8,2</w:t>
            </w:r>
          </w:p>
        </w:tc>
        <w:tc>
          <w:tcPr>
            <w:tcW w:w="1718" w:type="dxa"/>
            <w:tcBorders>
              <w:top w:val="single" w:sz="4" w:space="0" w:color="522398"/>
              <w:left w:val="single" w:sz="4" w:space="0" w:color="7030A0"/>
              <w:bottom w:val="single" w:sz="4" w:space="0" w:color="522398"/>
              <w:right w:val="single" w:sz="4" w:space="0" w:color="7030A0"/>
            </w:tcBorders>
            <w:vAlign w:val="center"/>
          </w:tcPr>
          <w:p w:rsidR="00FF7C50" w:rsidRPr="00FF7C50" w:rsidRDefault="00FF7C50" w:rsidP="00FF7C50">
            <w:pPr>
              <w:pStyle w:val="tableteksttab"/>
            </w:pPr>
            <w:r w:rsidRPr="00FF7C50">
              <w:t>5,4</w:t>
            </w:r>
          </w:p>
        </w:tc>
        <w:tc>
          <w:tcPr>
            <w:tcW w:w="1718" w:type="dxa"/>
            <w:tcBorders>
              <w:top w:val="single" w:sz="4" w:space="0" w:color="522398"/>
              <w:left w:val="single" w:sz="4" w:space="0" w:color="7030A0"/>
              <w:bottom w:val="single" w:sz="4" w:space="0" w:color="522398"/>
            </w:tcBorders>
            <w:shd w:val="clear" w:color="auto" w:fill="auto"/>
            <w:vAlign w:val="center"/>
          </w:tcPr>
          <w:p w:rsidR="00FF7C50" w:rsidRPr="00FF7C50" w:rsidRDefault="00FF7C50" w:rsidP="00FF7C50">
            <w:pPr>
              <w:pStyle w:val="tableteksttab"/>
            </w:pPr>
            <w:r w:rsidRPr="00FF7C50">
              <w:t>5,8</w:t>
            </w:r>
          </w:p>
        </w:tc>
      </w:tr>
      <w:tr w:rsidR="00FF7C50" w:rsidRPr="00E87892" w:rsidTr="00E0638F">
        <w:trPr>
          <w:trHeight w:val="57"/>
          <w:jc w:val="center"/>
        </w:trPr>
        <w:tc>
          <w:tcPr>
            <w:tcW w:w="5325" w:type="dxa"/>
            <w:tcBorders>
              <w:top w:val="single" w:sz="4" w:space="0" w:color="522398"/>
              <w:bottom w:val="nil"/>
              <w:right w:val="single" w:sz="4" w:space="0" w:color="7030A0"/>
            </w:tcBorders>
            <w:vAlign w:val="center"/>
          </w:tcPr>
          <w:p w:rsidR="00FF7C50" w:rsidRPr="008F1C64" w:rsidRDefault="00FF7C50" w:rsidP="00FF7C50">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FF7C50" w:rsidRPr="00FF7C50" w:rsidRDefault="00FF7C50" w:rsidP="00FF7C50">
            <w:pPr>
              <w:pStyle w:val="tableteksttab"/>
            </w:pPr>
            <w:r w:rsidRPr="00FF7C50">
              <w:t>2,9</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FF7C50" w:rsidRPr="00FF7C50" w:rsidRDefault="00FF7C50" w:rsidP="00FF7C50">
            <w:pPr>
              <w:pStyle w:val="tableteksttab"/>
            </w:pPr>
            <w:r w:rsidRPr="00FF7C50">
              <w:t>3,1</w:t>
            </w:r>
          </w:p>
        </w:tc>
        <w:tc>
          <w:tcPr>
            <w:tcW w:w="1718" w:type="dxa"/>
            <w:tcBorders>
              <w:top w:val="single" w:sz="4" w:space="0" w:color="522398"/>
              <w:left w:val="single" w:sz="4" w:space="0" w:color="7030A0"/>
              <w:bottom w:val="nil"/>
            </w:tcBorders>
            <w:shd w:val="clear" w:color="auto" w:fill="auto"/>
            <w:vAlign w:val="center"/>
          </w:tcPr>
          <w:p w:rsidR="00FF7C50" w:rsidRPr="00FF7C50" w:rsidRDefault="00FF7C50" w:rsidP="00FF7C50">
            <w:pPr>
              <w:pStyle w:val="tableteksttab"/>
            </w:pPr>
            <w:r w:rsidRPr="00FF7C50">
              <w:t>3,3</w:t>
            </w:r>
          </w:p>
        </w:tc>
      </w:tr>
    </w:tbl>
    <w:p w:rsidR="005928D2" w:rsidRDefault="005928D2" w:rsidP="005928D2">
      <w:pPr>
        <w:pStyle w:val="tekst"/>
        <w:spacing w:before="360"/>
      </w:pPr>
      <w:r w:rsidRPr="002E54D0">
        <w:rPr>
          <w:b/>
        </w:rPr>
        <w:t>Stopa bezrobocia rejestrowanego</w:t>
      </w:r>
      <w:r>
        <w:t xml:space="preserve"> w końcu </w:t>
      </w:r>
      <w:r w:rsidR="009C6CF8">
        <w:t>lip</w:t>
      </w:r>
      <w:r w:rsidR="005612D4">
        <w:t>ca</w:t>
      </w:r>
      <w:r>
        <w:t xml:space="preserve"> br. wyniosła </w:t>
      </w:r>
      <w:r w:rsidR="00FF7C50" w:rsidRPr="0094246A">
        <w:t>3,3% i była najniższa w kraju (5,4%). Wskaźnik ten zwiększył się o 0,2 p.proc. w porównaniu z poprzednim miesiącem i o 0,4 p.proc. w ciągu roku.</w:t>
      </w:r>
    </w:p>
    <w:p w:rsidR="005928D2" w:rsidRDefault="00FB649F" w:rsidP="005928D2">
      <w:pPr>
        <w:pStyle w:val="tytuwykresu"/>
        <w:ind w:left="992" w:hanging="992"/>
        <w:rPr>
          <w:bCs/>
        </w:rPr>
      </w:pPr>
      <w:r w:rsidRPr="00FB649F">
        <w:rPr>
          <w:noProof/>
          <w:lang w:eastAsia="pl-PL"/>
        </w:rPr>
        <w:drawing>
          <wp:anchor distT="0" distB="0" distL="114300" distR="114300" simplePos="0" relativeHeight="253028864" behindDoc="0" locked="0" layoutInCell="1" allowOverlap="1">
            <wp:simplePos x="0" y="0"/>
            <wp:positionH relativeFrom="margin">
              <wp:posOffset>612140</wp:posOffset>
            </wp:positionH>
            <wp:positionV relativeFrom="paragraph">
              <wp:posOffset>713531</wp:posOffset>
            </wp:positionV>
            <wp:extent cx="5421600" cy="2448000"/>
            <wp:effectExtent l="0" t="0" r="8255" b="0"/>
            <wp:wrapTopAndBottom/>
            <wp:docPr id="31" name="Obraz 31" descr="Podwójny wykres liniowy (Polska i województwo wielkopolskie) prezentujący kształtowanie się stopy bezrobocia rejestrowanego w kolejnych miesiącach w latach 2022–2025 (oś pozioma). Oś pionowa wartości w zakresie od 2 do 6%.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1600" cy="24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2.</w:t>
      </w:r>
      <w:r w:rsidR="005928D2">
        <w:tab/>
      </w:r>
      <w:r w:rsidR="005928D2" w:rsidRPr="006861A2">
        <w:t xml:space="preserve">Stopa bezrobocia </w:t>
      </w:r>
      <w:r w:rsidR="005928D2">
        <w:t>rejestrowanego</w:t>
      </w:r>
      <w:r w:rsidR="005928D2">
        <w:br/>
      </w:r>
      <w:r w:rsidR="005928D2" w:rsidRPr="006861A2">
        <w:t>S</w:t>
      </w:r>
      <w:r w:rsidR="005928D2" w:rsidRPr="006861A2">
        <w:rPr>
          <w:bCs/>
        </w:rPr>
        <w:t>tan w końcu miesiąca</w:t>
      </w:r>
    </w:p>
    <w:p w:rsidR="005928D2" w:rsidRDefault="00FB649F" w:rsidP="005928D2">
      <w:pPr>
        <w:pStyle w:val="tytuwykresu"/>
      </w:pPr>
      <w:r w:rsidRPr="00FB649F">
        <w:rPr>
          <w:noProof/>
          <w:lang w:eastAsia="pl-PL"/>
        </w:rPr>
        <w:lastRenderedPageBreak/>
        <w:drawing>
          <wp:anchor distT="0" distB="180340" distL="114300" distR="114300" simplePos="0" relativeHeight="253029888" behindDoc="0" locked="0" layoutInCell="1" allowOverlap="1">
            <wp:simplePos x="0" y="0"/>
            <wp:positionH relativeFrom="margin">
              <wp:align>center</wp:align>
            </wp:positionH>
            <wp:positionV relativeFrom="paragraph">
              <wp:posOffset>466725</wp:posOffset>
            </wp:positionV>
            <wp:extent cx="4374000" cy="4888800"/>
            <wp:effectExtent l="0" t="0" r="7620" b="7620"/>
            <wp:wrapTopAndBottom/>
            <wp:docPr id="35" name="Obraz 35" descr="Kartogramy: większy – województwo wielkopolskie według powiatów, mniejszy – według podregionów, dotyczący stopy bezrobocia rejestrowanego. Cieniowanie – 5 przedziałów według poziomu wskaźnika. W etykietach nazwa powiatu/podregionu oraz wartość stopy bezrobocia w %. Dodatkowo wartości dla Polski (5,4%) i województwa wielkopolskiego (3,3%).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4000" cy="488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66467C">
        <w:t>Mapa 1.</w:t>
      </w:r>
      <w:r w:rsidR="005928D2" w:rsidRPr="00C50D80">
        <w:tab/>
      </w:r>
      <w:r w:rsidR="005928D2" w:rsidRPr="006242B5">
        <w:rPr>
          <w:color w:val="000000" w:themeColor="text1"/>
        </w:rPr>
        <w:t xml:space="preserve">Stopa bezrobocia rejestrowanego według powiatów i podregionów w </w:t>
      </w:r>
      <w:r w:rsidR="005928D2">
        <w:rPr>
          <w:color w:val="000000" w:themeColor="text1"/>
        </w:rPr>
        <w:t>2025 r.</w:t>
      </w:r>
      <w:r w:rsidR="005928D2" w:rsidRPr="006242B5">
        <w:rPr>
          <w:color w:val="000000" w:themeColor="text1"/>
          <w:sz w:val="18"/>
          <w:szCs w:val="18"/>
        </w:rPr>
        <w:br/>
      </w:r>
      <w:r w:rsidR="005928D2" w:rsidRPr="006242B5">
        <w:rPr>
          <w:color w:val="000000" w:themeColor="text1"/>
        </w:rPr>
        <w:tab/>
        <w:t xml:space="preserve">Stan w </w:t>
      </w:r>
      <w:r w:rsidR="005928D2" w:rsidRPr="003B60FC">
        <w:t xml:space="preserve">końcu </w:t>
      </w:r>
      <w:r w:rsidR="00883C75">
        <w:t>lip</w:t>
      </w:r>
      <w:r w:rsidR="005612D4">
        <w:t>ca</w:t>
      </w:r>
    </w:p>
    <w:p w:rsidR="005928D2" w:rsidRPr="00E0638F" w:rsidRDefault="005928D2" w:rsidP="004C290B">
      <w:pPr>
        <w:pStyle w:val="tekst"/>
        <w:spacing w:before="240"/>
      </w:pPr>
      <w:r w:rsidRPr="00E0638F">
        <w:t xml:space="preserve">Natężenie bezrobocia w województwie jest zróżnicowane terytorialnie. W końcu </w:t>
      </w:r>
      <w:r w:rsidR="009C6CF8">
        <w:t>lip</w:t>
      </w:r>
      <w:r w:rsidR="005612D4" w:rsidRPr="00E0638F">
        <w:t>ca</w:t>
      </w:r>
      <w:r w:rsidRPr="00E0638F">
        <w:t xml:space="preserve"> br. najwyższą stopę bezrobocia odnotowano w powiatach: </w:t>
      </w:r>
      <w:r w:rsidR="00FF7C50" w:rsidRPr="000C6ACD">
        <w:t>konińskim (8,5%), chodzieskim (7,4%) i słupeckim (7,</w:t>
      </w:r>
      <w:r w:rsidR="00FF7C50">
        <w:t>3</w:t>
      </w:r>
      <w:r w:rsidR="00FF7C50" w:rsidRPr="000C6ACD">
        <w:t>%), natomiast najniższą w poznańskim (1,2%) oraz Poznaniu (1,3%), a także kępińskim (1,7%)</w:t>
      </w:r>
      <w:r w:rsidR="00FF7C50">
        <w:t xml:space="preserve"> i wolsztyńskim (</w:t>
      </w:r>
      <w:r w:rsidR="00FF7C50" w:rsidRPr="000C6ACD">
        <w:t>1,8</w:t>
      </w:r>
      <w:r w:rsidR="00FF7C50" w:rsidRPr="0042160C">
        <w:t>%). W porównaniu z poprzednim miesiącem wzrost wskaźnika obserwowano w 32 z 35 powiatów (największy w kolskim – o 0,5</w:t>
      </w:r>
      <w:r w:rsidR="00FF7C50">
        <w:t xml:space="preserve"> p.proc.), a w</w:t>
      </w:r>
      <w:r w:rsidR="00FF7C50" w:rsidRPr="0042160C">
        <w:t xml:space="preserve"> 3 pozostał na tym </w:t>
      </w:r>
      <w:r w:rsidR="00FF7C50" w:rsidRPr="00E52D69">
        <w:t>samym poziomie. W ciągu roku stopa bezrobocia zwiększyła się we wszystkich powiatach (najbardziej w kolskim – o 0,8 p.proc. i jarocińskim – o 0,7 p.proc.).</w:t>
      </w:r>
    </w:p>
    <w:p w:rsidR="005928D2" w:rsidRPr="00D0363C" w:rsidRDefault="00DE0C69" w:rsidP="005928D2">
      <w:pPr>
        <w:pStyle w:val="tekst"/>
      </w:pPr>
      <w:r>
        <w:t xml:space="preserve">W </w:t>
      </w:r>
      <w:r w:rsidR="009C6CF8">
        <w:t>lip</w:t>
      </w:r>
      <w:r>
        <w:t>cu</w:t>
      </w:r>
      <w:r w:rsidR="005928D2" w:rsidRPr="0019124A">
        <w:t xml:space="preserve"> br. w urzędach pracy </w:t>
      </w:r>
      <w:r w:rsidR="005928D2" w:rsidRPr="0019124A">
        <w:rPr>
          <w:b/>
        </w:rPr>
        <w:t>zarejestrowano</w:t>
      </w:r>
      <w:r w:rsidR="005928D2" w:rsidRPr="0019124A">
        <w:t xml:space="preserve"> </w:t>
      </w:r>
      <w:r w:rsidR="00FF7C50">
        <w:t>8,3</w:t>
      </w:r>
      <w:r w:rsidR="00FF7C50" w:rsidRPr="00031990">
        <w:t xml:space="preserve"> </w:t>
      </w:r>
      <w:r w:rsidR="00FF7C50" w:rsidRPr="00636E35">
        <w:t xml:space="preserve">tys. osób bezrobotnych, tj. o </w:t>
      </w:r>
      <w:r w:rsidR="00FF7C50">
        <w:t>26,1</w:t>
      </w:r>
      <w:r w:rsidR="00FF7C50" w:rsidRPr="00636E35">
        <w:t xml:space="preserve">% </w:t>
      </w:r>
      <w:r w:rsidR="00FF7C50">
        <w:t>więcej niż przed miesiącem i o 1,0</w:t>
      </w:r>
      <w:r w:rsidR="00FF7C50" w:rsidRPr="00636E35">
        <w:t xml:space="preserve">% </w:t>
      </w:r>
      <w:r w:rsidR="00FF7C50">
        <w:t>więcej</w:t>
      </w:r>
      <w:r w:rsidR="00FF7C50" w:rsidRPr="00E533FF">
        <w:t xml:space="preserve"> </w:t>
      </w:r>
      <w:r w:rsidR="00FF7C50" w:rsidRPr="00636E35">
        <w:t xml:space="preserve">niż przed rokiem. Udział osób rejestrujących się po raz kolejny w ogólnej liczbie nowo zarejestrowanych </w:t>
      </w:r>
      <w:r w:rsidR="00FF7C50">
        <w:t xml:space="preserve">zmniejszył się o </w:t>
      </w:r>
      <w:r w:rsidR="00FF7C50" w:rsidRPr="00031990">
        <w:t>2,</w:t>
      </w:r>
      <w:r w:rsidR="00FF7C50">
        <w:t xml:space="preserve">9 </w:t>
      </w:r>
      <w:r w:rsidR="00FF7C50" w:rsidRPr="006252B7">
        <w:t xml:space="preserve">p.proc. (do </w:t>
      </w:r>
      <w:r w:rsidR="00FF7C50" w:rsidRPr="004D19BA">
        <w:t>7</w:t>
      </w:r>
      <w:r w:rsidR="00FF7C50">
        <w:t>1</w:t>
      </w:r>
      <w:r w:rsidR="00FF7C50" w:rsidRPr="004D19BA">
        <w:t>,</w:t>
      </w:r>
      <w:r w:rsidR="00FF7C50">
        <w:t>4</w:t>
      </w:r>
      <w:r w:rsidR="00FF7C50" w:rsidRPr="00AE0B94">
        <w:t>%)</w:t>
      </w:r>
      <w:r w:rsidR="00FF7C50" w:rsidRPr="00636E35">
        <w:t xml:space="preserve">. </w:t>
      </w:r>
      <w:r w:rsidR="00FF7C50" w:rsidRPr="002452B6">
        <w:t>Obniżył się</w:t>
      </w:r>
      <w:r w:rsidR="00FF7C50">
        <w:t xml:space="preserve"> również</w:t>
      </w:r>
      <w:r w:rsidR="00FF7C50" w:rsidRPr="00D44AF8">
        <w:t xml:space="preserve"> </w:t>
      </w:r>
      <w:r w:rsidR="00FF7C50">
        <w:t xml:space="preserve">odsetek </w:t>
      </w:r>
      <w:r w:rsidR="00FF7C50" w:rsidRPr="00636E35">
        <w:t xml:space="preserve">zwolnionych z przyczyn </w:t>
      </w:r>
      <w:r w:rsidR="00FF7C50">
        <w:t>dotyczących zakładu pracy o 0,3 p.proc. do 5,6%. Wzrósł natomiast udział osób dotychczas niepracujących (o 0,3 p.proc. do 12,0%) oraz bez doświadczenia zawodowego (o 0,5 p.proc. do 18,3%).</w:t>
      </w:r>
    </w:p>
    <w:p w:rsidR="00260DF6" w:rsidRDefault="005928D2" w:rsidP="005928D2">
      <w:pPr>
        <w:pStyle w:val="tekst"/>
      </w:pPr>
      <w:r>
        <w:t>Z</w:t>
      </w:r>
      <w:r w:rsidRPr="006F4D5B">
        <w:t xml:space="preserve"> </w:t>
      </w:r>
      <w:r w:rsidRPr="00D0363C">
        <w:t xml:space="preserve">ewidencji bezrobotnych </w:t>
      </w:r>
      <w:r w:rsidR="00DE0C69">
        <w:t xml:space="preserve">w </w:t>
      </w:r>
      <w:r w:rsidR="009C6CF8">
        <w:t>lip</w:t>
      </w:r>
      <w:r w:rsidR="00DE0C69">
        <w:t>cu</w:t>
      </w:r>
      <w:r w:rsidRPr="00D0363C">
        <w:t xml:space="preserve"> </w:t>
      </w:r>
      <w:r>
        <w:t>br.</w:t>
      </w:r>
      <w:r w:rsidRPr="00D0363C">
        <w:t xml:space="preserve"> </w:t>
      </w:r>
      <w:r w:rsidRPr="00D0363C">
        <w:rPr>
          <w:b/>
        </w:rPr>
        <w:t>wyrejestrowano</w:t>
      </w:r>
      <w:r w:rsidRPr="00D0363C">
        <w:t xml:space="preserve"> </w:t>
      </w:r>
      <w:r w:rsidR="00FF7C50" w:rsidRPr="00085D66">
        <w:t>5,</w:t>
      </w:r>
      <w:r w:rsidR="00FF7C50">
        <w:t>8</w:t>
      </w:r>
      <w:r w:rsidR="00FF7C50" w:rsidRPr="00085D66">
        <w:t xml:space="preserve"> </w:t>
      </w:r>
      <w:r w:rsidR="00FF7C50" w:rsidRPr="000B35C5">
        <w:t xml:space="preserve">tys. osób, tj. o </w:t>
      </w:r>
      <w:r w:rsidR="00FF7C50">
        <w:t>6</w:t>
      </w:r>
      <w:r w:rsidR="00FF7C50" w:rsidRPr="00085D66">
        <w:t>,2</w:t>
      </w:r>
      <w:r w:rsidR="00FF7C50" w:rsidRPr="000B35C5">
        <w:t xml:space="preserve">% </w:t>
      </w:r>
      <w:r w:rsidR="00FF7C50">
        <w:t xml:space="preserve">więcej niż przed miesiącem, ale o </w:t>
      </w:r>
      <w:r w:rsidR="00FF7C50" w:rsidRPr="00085D66">
        <w:t>3</w:t>
      </w:r>
      <w:r w:rsidR="00FF7C50">
        <w:t>0</w:t>
      </w:r>
      <w:r w:rsidR="00FF7C50" w:rsidRPr="00085D66">
        <w:t>,</w:t>
      </w:r>
      <w:r w:rsidR="00FF7C50">
        <w:t>0%</w:t>
      </w:r>
      <w:r w:rsidR="00FF7C50" w:rsidRPr="009D107F">
        <w:t xml:space="preserve"> </w:t>
      </w:r>
      <w:r w:rsidR="00FF7C50">
        <w:t>mniej niż</w:t>
      </w:r>
      <w:r w:rsidR="00FF7C50" w:rsidRPr="000B35C5">
        <w:t xml:space="preserve"> </w:t>
      </w:r>
      <w:r w:rsidR="00FF7C50">
        <w:t>przed rokiem</w:t>
      </w:r>
      <w:r w:rsidR="00FF7C50" w:rsidRPr="000B35C5">
        <w:t>. Z tytułu podjęcia pracy z rejestru bezrobotnych wyłączono</w:t>
      </w:r>
      <w:r w:rsidR="00FF7C50">
        <w:t xml:space="preserve"> 4</w:t>
      </w:r>
      <w:r w:rsidR="00FF7C50" w:rsidRPr="0025362C">
        <w:t>,</w:t>
      </w:r>
      <w:r w:rsidR="00FF7C50">
        <w:t>0</w:t>
      </w:r>
      <w:r w:rsidR="00FF7C50" w:rsidRPr="0025362C">
        <w:t xml:space="preserve"> </w:t>
      </w:r>
      <w:r w:rsidR="00FF7C50" w:rsidRPr="000B35C5">
        <w:t>tys. osób</w:t>
      </w:r>
      <w:r w:rsidR="00FF7C50">
        <w:t xml:space="preserve"> (podobnie jak przed rokiem), a </w:t>
      </w:r>
      <w:r w:rsidR="00FF7C50" w:rsidRPr="00FC10CE">
        <w:t xml:space="preserve">ich udział wśród ogółu wyrejestrowanych </w:t>
      </w:r>
      <w:r w:rsidR="00FF7C50">
        <w:t xml:space="preserve">wzrósł </w:t>
      </w:r>
      <w:r w:rsidR="00FF7C50" w:rsidRPr="00B22A87">
        <w:t xml:space="preserve">o </w:t>
      </w:r>
      <w:r w:rsidR="00FF7C50">
        <w:t>21,3</w:t>
      </w:r>
      <w:r w:rsidR="00FF7C50" w:rsidRPr="00B22A87">
        <w:t xml:space="preserve"> </w:t>
      </w:r>
      <w:r w:rsidR="00FF7C50" w:rsidRPr="000B35C5">
        <w:t xml:space="preserve">p.proc. (do </w:t>
      </w:r>
      <w:r w:rsidR="00FF7C50">
        <w:t>69,7</w:t>
      </w:r>
      <w:r w:rsidR="00FF7C50" w:rsidRPr="000B35C5">
        <w:t>%).</w:t>
      </w:r>
      <w:r w:rsidR="00FF7C50">
        <w:t xml:space="preserve"> Zwiększył się również </w:t>
      </w:r>
      <w:r w:rsidR="00FF7C50" w:rsidRPr="000B35C5">
        <w:t xml:space="preserve">odsetek </w:t>
      </w:r>
      <w:r w:rsidR="00FF7C50">
        <w:t xml:space="preserve">bezrobotnych wyłączonych z ewidencji z powodu </w:t>
      </w:r>
      <w:r w:rsidR="00FF7C50" w:rsidRPr="00240053">
        <w:t>dobrowolnej rezygnacji ze statusu bezrobotnego</w:t>
      </w:r>
      <w:r w:rsidR="00FF7C50">
        <w:t xml:space="preserve"> (o 1,0 p.proc. do 7,0</w:t>
      </w:r>
      <w:r w:rsidR="00FF7C50" w:rsidRPr="000B35C5">
        <w:t>%)</w:t>
      </w:r>
      <w:r w:rsidR="00FF7C50" w:rsidRPr="00561973">
        <w:t xml:space="preserve"> </w:t>
      </w:r>
      <w:r w:rsidR="00FF7C50">
        <w:t>oraz osiągnięcia wieku</w:t>
      </w:r>
      <w:r w:rsidR="00FF7C50" w:rsidRPr="00C47163">
        <w:t xml:space="preserve"> emerytaln</w:t>
      </w:r>
      <w:r w:rsidR="00FF7C50">
        <w:t>ego (</w:t>
      </w:r>
      <w:r w:rsidR="00FF7C50" w:rsidRPr="00FB5442">
        <w:t xml:space="preserve">o </w:t>
      </w:r>
      <w:r w:rsidR="00FF7C50">
        <w:t xml:space="preserve">0,6 </w:t>
      </w:r>
      <w:r w:rsidR="00FF7C50" w:rsidRPr="00FB5442">
        <w:t xml:space="preserve">p.proc. do </w:t>
      </w:r>
      <w:r w:rsidR="00FF7C50">
        <w:t>1,6%). Obniż</w:t>
      </w:r>
      <w:r w:rsidR="00FF7C50" w:rsidRPr="000B35C5">
        <w:t>ył się</w:t>
      </w:r>
      <w:r w:rsidR="00FF7C50">
        <w:t xml:space="preserve"> natomiast</w:t>
      </w:r>
      <w:r w:rsidR="00FF7C50" w:rsidRPr="00EE7842">
        <w:t xml:space="preserve"> </w:t>
      </w:r>
      <w:r w:rsidR="00FF7C50">
        <w:t>udział bezrobotnych</w:t>
      </w:r>
      <w:r w:rsidR="00FF7C50" w:rsidRPr="000B35C5">
        <w:t xml:space="preserve">, </w:t>
      </w:r>
      <w:r w:rsidR="00FF7C50">
        <w:t xml:space="preserve">którzy nie potwierdzili </w:t>
      </w:r>
      <w:r w:rsidR="00FF7C50" w:rsidRPr="00AF3CD3">
        <w:t>gotowości do pracy</w:t>
      </w:r>
      <w:r w:rsidR="00FF7C50">
        <w:t xml:space="preserve"> </w:t>
      </w:r>
      <w:r w:rsidR="00FF7C50" w:rsidRPr="00FB5442">
        <w:t xml:space="preserve">(o </w:t>
      </w:r>
      <w:r w:rsidR="00FF7C50">
        <w:t xml:space="preserve">18,9 </w:t>
      </w:r>
      <w:r w:rsidR="00FF7C50" w:rsidRPr="00FB5442">
        <w:t xml:space="preserve">p.proc. do </w:t>
      </w:r>
      <w:r w:rsidR="00FF7C50">
        <w:t>1,9</w:t>
      </w:r>
      <w:r w:rsidR="00FF7C50" w:rsidRPr="00655F73">
        <w:t>%), rozpoczęli szkolenie lub staż u pracodawców (o 5,6 p.proc. do 6,9%)</w:t>
      </w:r>
      <w:r w:rsidR="00FF7C50">
        <w:t xml:space="preserve"> oraz</w:t>
      </w:r>
      <w:r w:rsidR="00FF7C50" w:rsidRPr="00A02487">
        <w:t xml:space="preserve"> </w:t>
      </w:r>
      <w:r w:rsidR="00FF7C50" w:rsidRPr="00C47163">
        <w:t>odm</w:t>
      </w:r>
      <w:r w:rsidR="00FF7C50">
        <w:t>ówili</w:t>
      </w:r>
      <w:r w:rsidR="00FF7C50" w:rsidRPr="00C47163">
        <w:t xml:space="preserve"> bez uzasadnionej przyczyny przyjęcia propozycji </w:t>
      </w:r>
      <w:r w:rsidR="00FF7C50" w:rsidRPr="00F023E2">
        <w:t>odpowiedniej pracy lub innej formy pomocy</w:t>
      </w:r>
      <w:r w:rsidR="00FF7C50">
        <w:t xml:space="preserve"> (o 0,7 </w:t>
      </w:r>
      <w:r w:rsidR="00FF7C50" w:rsidRPr="000B35C5">
        <w:t xml:space="preserve">p.proc. do </w:t>
      </w:r>
      <w:r w:rsidR="00FF7C50">
        <w:t>2,2%).</w:t>
      </w:r>
    </w:p>
    <w:p w:rsidR="005928D2" w:rsidRDefault="005928D2" w:rsidP="005928D2">
      <w:pPr>
        <w:pStyle w:val="tekst"/>
      </w:pPr>
      <w:r w:rsidRPr="00E02A8C">
        <w:t xml:space="preserve">W końcu </w:t>
      </w:r>
      <w:r w:rsidR="009C6CF8">
        <w:t>lip</w:t>
      </w:r>
      <w:r w:rsidR="005612D4">
        <w:t>ca</w:t>
      </w:r>
      <w:r w:rsidRPr="00E02A8C">
        <w:t xml:space="preserve"> </w:t>
      </w:r>
      <w:r>
        <w:t>br.</w:t>
      </w:r>
      <w:r w:rsidRPr="00E02A8C">
        <w:t xml:space="preserve"> </w:t>
      </w:r>
      <w:r w:rsidRPr="00E02A8C">
        <w:rPr>
          <w:b/>
        </w:rPr>
        <w:t>bez prawa do zasiłku</w:t>
      </w:r>
      <w:r w:rsidRPr="00E02A8C">
        <w:t xml:space="preserve"> pozostawało </w:t>
      </w:r>
      <w:r w:rsidR="00FF7C50">
        <w:t xml:space="preserve">42,2 </w:t>
      </w:r>
      <w:r w:rsidR="00FF7C50" w:rsidRPr="000B35C5">
        <w:t>tys. bezrobotnych, a ich udział w liczbie bezrobotnych ogółem wyniósł</w:t>
      </w:r>
      <w:r w:rsidR="00FF7C50">
        <w:t xml:space="preserve"> </w:t>
      </w:r>
      <w:r w:rsidR="00FF7C50" w:rsidRPr="00220878">
        <w:t>8</w:t>
      </w:r>
      <w:r w:rsidR="00FF7C50">
        <w:t>2,6</w:t>
      </w:r>
      <w:r w:rsidR="00FF7C50" w:rsidRPr="000B35C5">
        <w:t>%</w:t>
      </w:r>
      <w:r w:rsidR="00FF7C50">
        <w:t xml:space="preserve"> (przed rokiem </w:t>
      </w:r>
      <w:r w:rsidR="00FF7C50" w:rsidRPr="00220878">
        <w:t>82,</w:t>
      </w:r>
      <w:r w:rsidR="00FF7C50">
        <w:t>4%)</w:t>
      </w:r>
      <w:r w:rsidR="00E0638F" w:rsidRPr="000B35C5">
        <w:t>.</w:t>
      </w:r>
      <w:r>
        <w:br w:type="page"/>
      </w:r>
    </w:p>
    <w:p w:rsidR="003B1B8D" w:rsidRDefault="009C6CF8" w:rsidP="003B1B8D">
      <w:pPr>
        <w:pStyle w:val="tekst"/>
      </w:pPr>
      <w:r>
        <w:lastRenderedPageBreak/>
        <w:t>Wśród</w:t>
      </w:r>
      <w:r w:rsidRPr="00EA562F">
        <w:t xml:space="preserve"> </w:t>
      </w:r>
      <w:r w:rsidRPr="008811EF">
        <w:t>ogółu zarejestrowanych</w:t>
      </w:r>
      <w:r>
        <w:t xml:space="preserve"> bezrobotnych liczną grupę stanowią</w:t>
      </w:r>
      <w:r w:rsidRPr="008811EF">
        <w:t xml:space="preserve"> osoby długotrwale bezrobotne, któr</w:t>
      </w:r>
      <w:r>
        <w:t>ych udział w </w:t>
      </w:r>
      <w:r w:rsidRPr="008811EF">
        <w:t xml:space="preserve">końcu </w:t>
      </w:r>
      <w:r>
        <w:t>lipca</w:t>
      </w:r>
      <w:r w:rsidRPr="008811EF">
        <w:t xml:space="preserve"> br. </w:t>
      </w:r>
      <w:r>
        <w:t>wyniósł</w:t>
      </w:r>
      <w:r w:rsidRPr="008811EF">
        <w:t xml:space="preserve"> </w:t>
      </w:r>
      <w:r>
        <w:t>37,7%</w:t>
      </w:r>
      <w:r w:rsidRPr="008811EF">
        <w:t xml:space="preserve"> (</w:t>
      </w:r>
      <w:r>
        <w:t>o 0,9 p.proc. mniej niż</w:t>
      </w:r>
      <w:r w:rsidRPr="008811EF">
        <w:t xml:space="preserve"> </w:t>
      </w:r>
      <w:r>
        <w:t>przed rokiem</w:t>
      </w:r>
      <w:r w:rsidRPr="008811EF">
        <w:t>).</w:t>
      </w:r>
      <w:r>
        <w:t xml:space="preserve"> Obniżył się również odsetek osób bezrobotnych </w:t>
      </w:r>
      <w:r w:rsidRPr="00524FAC">
        <w:t xml:space="preserve">posiadających co najmniej jedno dziecko do 6 roku życia (o </w:t>
      </w:r>
      <w:r>
        <w:t xml:space="preserve">2,2 </w:t>
      </w:r>
      <w:r w:rsidRPr="00524FAC">
        <w:t xml:space="preserve">p.proc. do </w:t>
      </w:r>
      <w:r>
        <w:t>15,1</w:t>
      </w:r>
      <w:r w:rsidRPr="00524FAC">
        <w:t>%)</w:t>
      </w:r>
      <w:r>
        <w:t>, niepełnosprawnych (o 1,8 p.proc. do 7,9</w:t>
      </w:r>
      <w:r w:rsidRPr="000B35C5">
        <w:t>%)</w:t>
      </w:r>
      <w:r>
        <w:t xml:space="preserve">, poniżej 30 </w:t>
      </w:r>
      <w:r w:rsidRPr="000B35C5">
        <w:t>roku życia</w:t>
      </w:r>
      <w:r>
        <w:t xml:space="preserve"> (o 0,2 p.proc. do 25,8%)</w:t>
      </w:r>
      <w:r w:rsidRPr="001C0E46">
        <w:t xml:space="preserve"> </w:t>
      </w:r>
      <w:r>
        <w:t>oraz</w:t>
      </w:r>
      <w:r w:rsidRPr="001C0E46">
        <w:t xml:space="preserve"> </w:t>
      </w:r>
      <w:r w:rsidRPr="000B35C5">
        <w:t>korzystających ze św</w:t>
      </w:r>
      <w:r>
        <w:t>iadczeń pomocy społecznej (o 0,3 p.proc. do 1,4</w:t>
      </w:r>
      <w:r w:rsidRPr="000B35C5">
        <w:t>%)</w:t>
      </w:r>
      <w:r>
        <w:t>, a wzrósł udział</w:t>
      </w:r>
      <w:r w:rsidRPr="00DA4CC5">
        <w:t xml:space="preserve"> </w:t>
      </w:r>
      <w:r>
        <w:t xml:space="preserve">osób </w:t>
      </w:r>
      <w:r w:rsidRPr="00F059EB">
        <w:t xml:space="preserve">powyżej 50 roku życia (o </w:t>
      </w:r>
      <w:r>
        <w:t>0,3</w:t>
      </w:r>
      <w:r w:rsidRPr="00F059EB">
        <w:t xml:space="preserve"> p.proc. do </w:t>
      </w:r>
      <w:r>
        <w:t>25,4</w:t>
      </w:r>
      <w:r w:rsidRPr="000B35C5">
        <w:t>%)</w:t>
      </w:r>
      <w:r>
        <w:t>.</w:t>
      </w:r>
    </w:p>
    <w:p w:rsidR="005928D2" w:rsidRDefault="009C6CF8" w:rsidP="005928D2">
      <w:pPr>
        <w:pStyle w:val="tekst"/>
      </w:pPr>
      <w:r>
        <w:t>W lipcu</w:t>
      </w:r>
      <w:r w:rsidRPr="00636E35">
        <w:t xml:space="preserve"> </w:t>
      </w:r>
      <w:r>
        <w:t>br.</w:t>
      </w:r>
      <w:r w:rsidRPr="00636E35">
        <w:t xml:space="preserve"> do urzędów pracy zgłoszono </w:t>
      </w:r>
      <w:r>
        <w:t>3,4</w:t>
      </w:r>
      <w:r w:rsidRPr="00636E35">
        <w:t xml:space="preserve"> tys. </w:t>
      </w:r>
      <w:r w:rsidRPr="002548E4">
        <w:rPr>
          <w:b/>
        </w:rPr>
        <w:t xml:space="preserve">ofert </w:t>
      </w:r>
      <w:r>
        <w:rPr>
          <w:b/>
        </w:rPr>
        <w:t>zatrudnienia</w:t>
      </w:r>
      <w:r w:rsidRPr="00362407">
        <w:rPr>
          <w:rStyle w:val="Odwoanieprzypisudolnego"/>
        </w:rPr>
        <w:footnoteReference w:id="1"/>
      </w:r>
      <w:r w:rsidRPr="00636E35">
        <w:t xml:space="preserve">, tj. </w:t>
      </w:r>
      <w:r>
        <w:t xml:space="preserve">o 0,9 tys. więcej niż przed miesiącem, ale o 1,7 tys. mniej </w:t>
      </w:r>
      <w:r w:rsidRPr="00636E35">
        <w:t>niż przed rokiem. W końcu miesiąca na 1 ofertę przypadało</w:t>
      </w:r>
      <w:r>
        <w:t xml:space="preserve"> 16</w:t>
      </w:r>
      <w:r w:rsidRPr="00636E35">
        <w:t xml:space="preserve"> bezrobotnych.</w:t>
      </w:r>
    </w:p>
    <w:p w:rsidR="005928D2" w:rsidRDefault="00FB649F" w:rsidP="005928D2">
      <w:pPr>
        <w:pStyle w:val="tytuwykresu"/>
        <w:spacing w:before="360"/>
        <w:rPr>
          <w:bCs/>
        </w:rPr>
      </w:pPr>
      <w:r w:rsidRPr="00FB649F">
        <w:rPr>
          <w:noProof/>
          <w:lang w:eastAsia="pl-PL"/>
        </w:rPr>
        <w:drawing>
          <wp:anchor distT="71755" distB="144145" distL="114300" distR="114300" simplePos="0" relativeHeight="253030912" behindDoc="0" locked="0" layoutInCell="1" allowOverlap="1">
            <wp:simplePos x="0" y="0"/>
            <wp:positionH relativeFrom="margin">
              <wp:align>center</wp:align>
            </wp:positionH>
            <wp:positionV relativeFrom="paragraph">
              <wp:posOffset>600075</wp:posOffset>
            </wp:positionV>
            <wp:extent cx="5500800" cy="2023200"/>
            <wp:effectExtent l="0" t="0" r="5080" b="0"/>
            <wp:wrapTopAndBottom/>
            <wp:docPr id="36" name="Obraz 36" descr="Wykres kolumnowy przedstawiający liczbę bezrobotnych przypadających na 1 ofertę pracy w poszczególnych miesiącach w latach 2022–2025 (oś pozioma). Oś pionowa – wartości z przedziału od 0 do 1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08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3</w:t>
      </w:r>
      <w:r w:rsidR="005928D2" w:rsidRPr="00F77B0F">
        <w:t>.</w:t>
      </w:r>
      <w:r w:rsidR="005928D2">
        <w:rPr>
          <w:shd w:val="clear" w:color="auto" w:fill="FFFFFF"/>
        </w:rPr>
        <w:tab/>
      </w:r>
      <w:r w:rsidR="005928D2" w:rsidRPr="00F77B0F">
        <w:t>Be</w:t>
      </w:r>
      <w:r w:rsidR="005928D2">
        <w:t>zrobotni na 1 ofertę pracy</w:t>
      </w:r>
      <w:r w:rsidR="008F3EB7" w:rsidRPr="008F3EB7">
        <w:rPr>
          <w:b w:val="0"/>
          <w:vertAlign w:val="superscript"/>
        </w:rPr>
        <w:t>a</w:t>
      </w:r>
      <w:r w:rsidR="005928D2">
        <w:br/>
      </w:r>
      <w:r w:rsidR="005928D2">
        <w:tab/>
      </w:r>
      <w:bookmarkStart w:id="13" w:name="_Toc64884828"/>
      <w:bookmarkStart w:id="14" w:name="_Toc64884997"/>
      <w:bookmarkStart w:id="15" w:name="_Toc64891650"/>
      <w:r w:rsidR="005928D2">
        <w:rPr>
          <w:bCs/>
        </w:rPr>
        <w:t xml:space="preserve">Stan w końcu miesiąca </w:t>
      </w:r>
    </w:p>
    <w:p w:rsidR="008F3EB7" w:rsidRDefault="008F3EB7" w:rsidP="008F3EB7">
      <w:pPr>
        <w:pStyle w:val="notka"/>
        <w:rPr>
          <w:shd w:val="clear" w:color="auto" w:fill="FFFFFF"/>
        </w:rPr>
      </w:pPr>
      <w:bookmarkStart w:id="16" w:name="OLE_LINK2"/>
      <w:r>
        <w:t xml:space="preserve">a </w:t>
      </w:r>
      <w:r w:rsidRPr="00CA420F">
        <w:t>Od 1 czerwca 2025 r. dane o ofertach pracy nie są w pełni porównywalne z okresami wcześniejszymi ze względu na zmiany metodo</w:t>
      </w:r>
      <w:r>
        <w:t>logiczne wynikające z wejścia w </w:t>
      </w:r>
      <w:r w:rsidRPr="00CA420F">
        <w:t>życie ustawy o rynku pracy i służbach zatrudnienia (Dz. U. z 2025 r. poz. 620).</w:t>
      </w:r>
    </w:p>
    <w:bookmarkEnd w:id="16"/>
    <w:p w:rsidR="005928D2" w:rsidRPr="00A05813" w:rsidRDefault="00452FFF" w:rsidP="004C290B">
      <w:pPr>
        <w:pStyle w:val="tekst"/>
        <w:spacing w:before="360"/>
        <w:rPr>
          <w:bCs/>
        </w:rPr>
      </w:pPr>
      <w:r w:rsidRPr="00726CF9">
        <w:rPr>
          <w:shd w:val="clear" w:color="auto" w:fill="FFFFFF"/>
        </w:rPr>
        <w:t xml:space="preserve">Z danych urzędów pracy wynika, że według stanu w końcu </w:t>
      </w:r>
      <w:r>
        <w:rPr>
          <w:shd w:val="clear" w:color="auto" w:fill="FFFFFF"/>
        </w:rPr>
        <w:t>lipca</w:t>
      </w:r>
      <w:r w:rsidRPr="00726CF9">
        <w:rPr>
          <w:shd w:val="clear" w:color="auto" w:fill="FFFFFF"/>
        </w:rPr>
        <w:t xml:space="preserve"> </w:t>
      </w:r>
      <w:r>
        <w:rPr>
          <w:shd w:val="clear" w:color="auto" w:fill="FFFFFF"/>
        </w:rPr>
        <w:t>br.</w:t>
      </w:r>
      <w:r w:rsidRPr="00726CF9">
        <w:rPr>
          <w:shd w:val="clear" w:color="auto" w:fill="FFFFFF"/>
        </w:rPr>
        <w:t xml:space="preserve"> </w:t>
      </w:r>
      <w:r>
        <w:rPr>
          <w:shd w:val="clear" w:color="auto" w:fill="FFFFFF"/>
        </w:rPr>
        <w:t>19</w:t>
      </w:r>
      <w:r w:rsidRPr="000B35C5">
        <w:rPr>
          <w:shd w:val="clear" w:color="auto" w:fill="FFFFFF"/>
        </w:rPr>
        <w:t xml:space="preserve"> zakład</w:t>
      </w:r>
      <w:r>
        <w:rPr>
          <w:shd w:val="clear" w:color="auto" w:fill="FFFFFF"/>
        </w:rPr>
        <w:t>ów</w:t>
      </w:r>
      <w:r w:rsidRPr="000B35C5">
        <w:rPr>
          <w:shd w:val="clear" w:color="auto" w:fill="FFFFFF"/>
        </w:rPr>
        <w:t xml:space="preserve"> pracy zapow</w:t>
      </w:r>
      <w:r>
        <w:rPr>
          <w:shd w:val="clear" w:color="auto" w:fill="FFFFFF"/>
        </w:rPr>
        <w:t>ia</w:t>
      </w:r>
      <w:r w:rsidRPr="000B35C5">
        <w:rPr>
          <w:shd w:val="clear" w:color="auto" w:fill="FFFFFF"/>
        </w:rPr>
        <w:t>d</w:t>
      </w:r>
      <w:r>
        <w:rPr>
          <w:shd w:val="clear" w:color="auto" w:fill="FFFFFF"/>
        </w:rPr>
        <w:t>ało</w:t>
      </w:r>
      <w:r w:rsidRPr="000B35C5">
        <w:rPr>
          <w:shd w:val="clear" w:color="auto" w:fill="FFFFFF"/>
        </w:rPr>
        <w:t xml:space="preserve"> zwo</w:t>
      </w:r>
      <w:r>
        <w:rPr>
          <w:shd w:val="clear" w:color="auto" w:fill="FFFFFF"/>
        </w:rPr>
        <w:t>lnienie w najbliższym czasie 3,8</w:t>
      </w:r>
      <w:r w:rsidRPr="000B35C5">
        <w:rPr>
          <w:shd w:val="clear" w:color="auto" w:fill="FFFFFF"/>
        </w:rPr>
        <w:t xml:space="preserve"> tys. pracowników (przed rokiem odpowiednio </w:t>
      </w:r>
      <w:r>
        <w:rPr>
          <w:shd w:val="clear" w:color="auto" w:fill="FFFFFF"/>
        </w:rPr>
        <w:t>12</w:t>
      </w:r>
      <w:r w:rsidRPr="000B35C5">
        <w:rPr>
          <w:shd w:val="clear" w:color="auto" w:fill="FFFFFF"/>
        </w:rPr>
        <w:t xml:space="preserve"> zakład</w:t>
      </w:r>
      <w:r>
        <w:rPr>
          <w:shd w:val="clear" w:color="auto" w:fill="FFFFFF"/>
        </w:rPr>
        <w:t>ów</w:t>
      </w:r>
      <w:r w:rsidRPr="000B35C5">
        <w:rPr>
          <w:shd w:val="clear" w:color="auto" w:fill="FFFFFF"/>
        </w:rPr>
        <w:t xml:space="preserve">, </w:t>
      </w:r>
      <w:r>
        <w:rPr>
          <w:shd w:val="clear" w:color="auto" w:fill="FFFFFF"/>
        </w:rPr>
        <w:t>0,8</w:t>
      </w:r>
      <w:r w:rsidRPr="000B35C5">
        <w:rPr>
          <w:shd w:val="clear" w:color="auto" w:fill="FFFFFF"/>
        </w:rPr>
        <w:t xml:space="preserve"> </w:t>
      </w:r>
      <w:r>
        <w:rPr>
          <w:shd w:val="clear" w:color="auto" w:fill="FFFFFF"/>
        </w:rPr>
        <w:t>tys. pracowników).</w:t>
      </w:r>
    </w:p>
    <w:p w:rsidR="005928D2" w:rsidRPr="00343E06" w:rsidRDefault="005928D2" w:rsidP="005928D2">
      <w:pPr>
        <w:pStyle w:val="Nagwek1"/>
      </w:pPr>
      <w:bookmarkStart w:id="17" w:name="_Toc164413795"/>
      <w:bookmarkStart w:id="18" w:name="_Toc205383513"/>
      <w:r w:rsidRPr="00343E06">
        <w:t>Wynagrodzenia</w:t>
      </w:r>
      <w:bookmarkEnd w:id="13"/>
      <w:bookmarkEnd w:id="14"/>
      <w:bookmarkEnd w:id="15"/>
      <w:bookmarkEnd w:id="17"/>
      <w:bookmarkEnd w:id="18"/>
    </w:p>
    <w:p w:rsidR="005928D2" w:rsidRPr="00EF5660" w:rsidRDefault="005928D2" w:rsidP="005928D2">
      <w:pPr>
        <w:pStyle w:val="tekst"/>
      </w:pPr>
      <w:r w:rsidRPr="00EF5660">
        <w:rPr>
          <w:b/>
        </w:rPr>
        <w:t xml:space="preserve">Przeciętne miesięczne wynagrodzenie brutto </w:t>
      </w:r>
      <w:r w:rsidRPr="00EF5660">
        <w:t xml:space="preserve">w sektorze przedsiębiorstw </w:t>
      </w:r>
      <w:r w:rsidR="004376C6" w:rsidRPr="00B67CD7">
        <w:t xml:space="preserve">w </w:t>
      </w:r>
      <w:r w:rsidR="004376C6" w:rsidRPr="00DC3193">
        <w:t>lipcu</w:t>
      </w:r>
      <w:r w:rsidR="004376C6">
        <w:t xml:space="preserve"> </w:t>
      </w:r>
      <w:r w:rsidR="004376C6" w:rsidRPr="00B67CD7">
        <w:t xml:space="preserve">br. wyniosło </w:t>
      </w:r>
      <w:r w:rsidR="004376C6" w:rsidRPr="00DC3193">
        <w:t>8001,27</w:t>
      </w:r>
      <w:r w:rsidR="004376C6" w:rsidRPr="00B67CD7">
        <w:t xml:space="preserve"> zł, co w skali miesiąca oznacza </w:t>
      </w:r>
      <w:r w:rsidR="004376C6">
        <w:t>wzrost</w:t>
      </w:r>
      <w:r w:rsidR="004376C6" w:rsidRPr="00B67CD7">
        <w:t xml:space="preserve"> o </w:t>
      </w:r>
      <w:r w:rsidR="004376C6">
        <w:t>1,8</w:t>
      </w:r>
      <w:r w:rsidR="004376C6" w:rsidRPr="00B67CD7">
        <w:t xml:space="preserve">%, </w:t>
      </w:r>
      <w:r w:rsidR="004376C6">
        <w:t>a</w:t>
      </w:r>
      <w:r w:rsidR="004376C6" w:rsidRPr="00B67CD7">
        <w:t xml:space="preserve"> w porównaniu z </w:t>
      </w:r>
      <w:r w:rsidR="004376C6">
        <w:t>lipcem</w:t>
      </w:r>
      <w:r w:rsidR="004376C6" w:rsidRPr="00B67CD7">
        <w:t xml:space="preserve"> ub. roku </w:t>
      </w:r>
      <w:r w:rsidR="004376C6">
        <w:t>–</w:t>
      </w:r>
      <w:r w:rsidR="004376C6" w:rsidRPr="00B67CD7">
        <w:t xml:space="preserve"> o </w:t>
      </w:r>
      <w:r w:rsidR="004376C6">
        <w:t>8</w:t>
      </w:r>
      <w:r w:rsidR="004376C6" w:rsidRPr="00B67CD7">
        <w:t xml:space="preserve">,6% (przed rokiem obserwowano </w:t>
      </w:r>
      <w:r w:rsidR="004376C6">
        <w:t>wzrost</w:t>
      </w:r>
      <w:r w:rsidR="004376C6" w:rsidRPr="00B67CD7">
        <w:t xml:space="preserve"> poziomu wynagrodzeń w ujęciu miesięcznym – o 0,</w:t>
      </w:r>
      <w:r w:rsidR="004376C6">
        <w:t>9</w:t>
      </w:r>
      <w:r w:rsidR="004376C6" w:rsidRPr="00B67CD7">
        <w:t xml:space="preserve">%, a wzrost w stosunku rocznym – o </w:t>
      </w:r>
      <w:r w:rsidR="004376C6">
        <w:t>10,9</w:t>
      </w:r>
      <w:r w:rsidR="004376C6" w:rsidRPr="00B67CD7">
        <w:t>%).</w:t>
      </w:r>
    </w:p>
    <w:p w:rsidR="005928D2" w:rsidRDefault="00931E0A" w:rsidP="005928D2">
      <w:pPr>
        <w:pStyle w:val="tytuwykresu"/>
        <w:spacing w:before="360"/>
        <w:ind w:left="958" w:hanging="958"/>
        <w:rPr>
          <w:b w:val="0"/>
          <w:bCs/>
          <w:szCs w:val="19"/>
        </w:rPr>
      </w:pPr>
      <w:r w:rsidRPr="00931E0A">
        <w:rPr>
          <w:noProof/>
          <w:lang w:eastAsia="pl-PL"/>
        </w:rPr>
        <w:drawing>
          <wp:anchor distT="0" distB="0" distL="114300" distR="114300" simplePos="0" relativeHeight="253031936" behindDoc="0" locked="0" layoutInCell="1" allowOverlap="1">
            <wp:simplePos x="0" y="0"/>
            <wp:positionH relativeFrom="margin">
              <wp:align>center</wp:align>
            </wp:positionH>
            <wp:positionV relativeFrom="paragraph">
              <wp:posOffset>713105</wp:posOffset>
            </wp:positionV>
            <wp:extent cx="5504400" cy="2286000"/>
            <wp:effectExtent l="0" t="0" r="1270" b="0"/>
            <wp:wrapTopAndBottom/>
            <wp:docPr id="37" name="Obraz 37" descr="Podwójny wykres liniowy (Polska i województwo wielkopolskie) ilustrujący dynamikę przeciętnego miesięcznego wynagrodzenia brutto w sektorze przedsiębiorstw, w odniesieniu do przeciętnej wartości miesięcznej z 2021 r., w poszczególnych miesiącach w latach 2022–2025 (oś pozioma). Oś pionowa wartości w zakresie od 100 do 16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44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w:t>
      </w:r>
      <w:r w:rsidR="005928D2" w:rsidRPr="003F192B">
        <w:t>ykres</w:t>
      </w:r>
      <w:r w:rsidR="005928D2">
        <w:t xml:space="preserve"> 4.</w:t>
      </w:r>
      <w:r w:rsidR="005928D2">
        <w:tab/>
        <w:t xml:space="preserve">Przeciętne miesięczne </w:t>
      </w:r>
      <w:r w:rsidR="005928D2" w:rsidRPr="00D05741">
        <w:t>wynagro</w:t>
      </w:r>
      <w:r w:rsidR="005928D2">
        <w:t xml:space="preserve">dzenie brutto </w:t>
      </w:r>
      <w:r w:rsidR="005928D2" w:rsidRPr="00D05741">
        <w:t>w sektorze przedsiębiorstw</w:t>
      </w:r>
      <w:r w:rsidR="005928D2">
        <w:br/>
      </w:r>
      <w:r w:rsidR="005928D2" w:rsidRPr="003C2B8D">
        <w:rPr>
          <w:bCs/>
          <w:szCs w:val="19"/>
        </w:rPr>
        <w:t>(przeciętna miesięczna 20</w:t>
      </w:r>
      <w:r w:rsidR="005928D2">
        <w:rPr>
          <w:bCs/>
          <w:szCs w:val="19"/>
        </w:rPr>
        <w:t>2</w:t>
      </w:r>
      <w:r w:rsidR="005928D2" w:rsidRPr="003C2B8D">
        <w:rPr>
          <w:bCs/>
          <w:szCs w:val="19"/>
        </w:rPr>
        <w:t>1=100)</w:t>
      </w:r>
      <w:r w:rsidR="005928D2" w:rsidRPr="007F73D2">
        <w:rPr>
          <w:b w:val="0"/>
          <w:bCs/>
          <w:szCs w:val="19"/>
        </w:rPr>
        <w:t xml:space="preserve"> </w:t>
      </w:r>
    </w:p>
    <w:p w:rsidR="005928D2" w:rsidRPr="002F2C79" w:rsidRDefault="005928D2" w:rsidP="005928D2">
      <w:pPr>
        <w:pStyle w:val="Tytultabeli"/>
        <w:spacing w:before="600"/>
      </w:pPr>
      <w:r>
        <w:lastRenderedPageBreak/>
        <w:t>Tablica 3.</w:t>
      </w:r>
      <w:r>
        <w:tab/>
      </w:r>
      <w:r w:rsidRPr="002F2C79">
        <w:t xml:space="preserve">Przeciętne miesięczne wynagrodzenie brutto w sektorze przedsiębiorstw </w:t>
      </w:r>
    </w:p>
    <w:tbl>
      <w:tblPr>
        <w:tblW w:w="0" w:type="auto"/>
        <w:jc w:val="center"/>
        <w:tblBorders>
          <w:top w:val="single" w:sz="4" w:space="0" w:color="522398"/>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lipiec br.) i w okresie narastającym (styczeń-lipiec ) oraz jego dynamikę w odniesieniu do analogicznych okresów ub. roku, w przekroju sekcji PKD. Dane do tablicy dostępne w pliku w formacie XLSX "/>
      </w:tblPr>
      <w:tblGrid>
        <w:gridCol w:w="4253"/>
        <w:gridCol w:w="1556"/>
        <w:gridCol w:w="1557"/>
        <w:gridCol w:w="1556"/>
        <w:gridCol w:w="1557"/>
      </w:tblGrid>
      <w:tr w:rsidR="005928D2" w:rsidRPr="00E87892" w:rsidTr="000918AC">
        <w:trPr>
          <w:trHeight w:val="57"/>
          <w:tblHeader/>
          <w:jc w:val="center"/>
        </w:trPr>
        <w:tc>
          <w:tcPr>
            <w:tcW w:w="4253" w:type="dxa"/>
            <w:vMerge w:val="restart"/>
            <w:tcBorders>
              <w:top w:val="nil"/>
              <w:bottom w:val="single" w:sz="4" w:space="0" w:color="522398"/>
            </w:tcBorders>
            <w:vAlign w:val="center"/>
          </w:tcPr>
          <w:p w:rsidR="005928D2" w:rsidRPr="000163F1" w:rsidRDefault="005928D2" w:rsidP="000918AC">
            <w:pPr>
              <w:pStyle w:val="glowka1"/>
            </w:pPr>
            <w:r w:rsidRPr="000163F1">
              <w:t>Wyszczególnienie</w:t>
            </w:r>
          </w:p>
        </w:tc>
        <w:tc>
          <w:tcPr>
            <w:tcW w:w="3113" w:type="dxa"/>
            <w:gridSpan w:val="2"/>
            <w:tcBorders>
              <w:top w:val="nil"/>
              <w:bottom w:val="single" w:sz="4" w:space="0" w:color="522398"/>
            </w:tcBorders>
          </w:tcPr>
          <w:p w:rsidR="005928D2" w:rsidRDefault="005928D2" w:rsidP="00B86D56">
            <w:pPr>
              <w:pStyle w:val="glowka1"/>
            </w:pPr>
            <w:r>
              <w:t>0</w:t>
            </w:r>
            <w:r w:rsidR="002B3124">
              <w:t>7</w:t>
            </w:r>
            <w:r>
              <w:t xml:space="preserve"> 2025</w:t>
            </w:r>
          </w:p>
        </w:tc>
        <w:tc>
          <w:tcPr>
            <w:tcW w:w="3113" w:type="dxa"/>
            <w:gridSpan w:val="2"/>
            <w:tcBorders>
              <w:top w:val="nil"/>
              <w:bottom w:val="single" w:sz="4" w:space="0" w:color="522398"/>
            </w:tcBorders>
            <w:vAlign w:val="center"/>
          </w:tcPr>
          <w:p w:rsidR="005928D2" w:rsidRPr="000163F1" w:rsidRDefault="005928D2" w:rsidP="002B3124">
            <w:pPr>
              <w:pStyle w:val="glowka1"/>
            </w:pPr>
            <w:r>
              <w:t>0</w:t>
            </w:r>
            <w:r w:rsidR="002238C5">
              <w:t>1–0</w:t>
            </w:r>
            <w:r w:rsidR="002B3124">
              <w:t>7</w:t>
            </w:r>
            <w:r w:rsidR="007020F3">
              <w:t xml:space="preserve"> </w:t>
            </w:r>
            <w:r>
              <w:t>2025</w:t>
            </w:r>
          </w:p>
        </w:tc>
      </w:tr>
      <w:tr w:rsidR="005928D2" w:rsidRPr="00E87892" w:rsidTr="000918AC">
        <w:trPr>
          <w:trHeight w:val="57"/>
          <w:tblHeader/>
          <w:jc w:val="center"/>
        </w:trPr>
        <w:tc>
          <w:tcPr>
            <w:tcW w:w="4253" w:type="dxa"/>
            <w:vMerge/>
            <w:tcBorders>
              <w:top w:val="single" w:sz="4" w:space="0" w:color="522398"/>
              <w:bottom w:val="single" w:sz="12" w:space="0" w:color="522398"/>
            </w:tcBorders>
            <w:vAlign w:val="center"/>
          </w:tcPr>
          <w:p w:rsidR="005928D2" w:rsidRPr="000163F1" w:rsidRDefault="005928D2" w:rsidP="000918AC">
            <w:pPr>
              <w:pStyle w:val="glowka1"/>
            </w:pPr>
          </w:p>
        </w:tc>
        <w:tc>
          <w:tcPr>
            <w:tcW w:w="1556" w:type="dxa"/>
            <w:tcBorders>
              <w:top w:val="single" w:sz="4" w:space="0" w:color="522398"/>
              <w:bottom w:val="single" w:sz="12" w:space="0" w:color="522398"/>
            </w:tcBorders>
          </w:tcPr>
          <w:p w:rsidR="005928D2" w:rsidRPr="000163F1" w:rsidRDefault="005928D2" w:rsidP="000918AC">
            <w:pPr>
              <w:pStyle w:val="glowka1"/>
            </w:pPr>
            <w:r w:rsidRPr="000163F1">
              <w:t>w zł</w:t>
            </w:r>
          </w:p>
        </w:tc>
        <w:tc>
          <w:tcPr>
            <w:tcW w:w="1557" w:type="dxa"/>
            <w:tcBorders>
              <w:top w:val="single" w:sz="4" w:space="0" w:color="522398"/>
              <w:bottom w:val="single" w:sz="12" w:space="0" w:color="522398"/>
            </w:tcBorders>
          </w:tcPr>
          <w:p w:rsidR="005928D2" w:rsidRPr="000163F1" w:rsidRDefault="005928D2" w:rsidP="002B3124">
            <w:pPr>
              <w:pStyle w:val="glowka1"/>
            </w:pPr>
            <w:r>
              <w:t>0</w:t>
            </w:r>
            <w:r w:rsidR="002B3124">
              <w:t>7</w:t>
            </w:r>
            <w:r>
              <w:t xml:space="preserve"> 2024=100</w:t>
            </w:r>
          </w:p>
        </w:tc>
        <w:tc>
          <w:tcPr>
            <w:tcW w:w="1556" w:type="dxa"/>
            <w:tcBorders>
              <w:top w:val="single" w:sz="4" w:space="0" w:color="522398"/>
              <w:bottom w:val="single" w:sz="12" w:space="0" w:color="522398"/>
            </w:tcBorders>
            <w:vAlign w:val="center"/>
          </w:tcPr>
          <w:p w:rsidR="005928D2" w:rsidRPr="000163F1" w:rsidRDefault="005928D2" w:rsidP="000918AC">
            <w:pPr>
              <w:pStyle w:val="glowka1"/>
            </w:pPr>
            <w:r w:rsidRPr="000163F1">
              <w:t>w zł</w:t>
            </w:r>
          </w:p>
        </w:tc>
        <w:tc>
          <w:tcPr>
            <w:tcW w:w="1557" w:type="dxa"/>
            <w:tcBorders>
              <w:top w:val="single" w:sz="4" w:space="0" w:color="522398"/>
              <w:bottom w:val="single" w:sz="12" w:space="0" w:color="522398"/>
            </w:tcBorders>
            <w:vAlign w:val="center"/>
          </w:tcPr>
          <w:p w:rsidR="005928D2" w:rsidRPr="000163F1" w:rsidRDefault="002238C5" w:rsidP="002B3124">
            <w:pPr>
              <w:pStyle w:val="glowka1"/>
            </w:pPr>
            <w:r>
              <w:t>01–0</w:t>
            </w:r>
            <w:r w:rsidR="002B3124">
              <w:t>7</w:t>
            </w:r>
            <w:r w:rsidR="005928D2">
              <w:t xml:space="preserve"> 2024=100</w:t>
            </w:r>
          </w:p>
        </w:tc>
      </w:tr>
      <w:tr w:rsidR="004376C6" w:rsidRPr="00E87892" w:rsidTr="00154185">
        <w:trPr>
          <w:trHeight w:val="57"/>
          <w:jc w:val="center"/>
        </w:trPr>
        <w:tc>
          <w:tcPr>
            <w:tcW w:w="4253" w:type="dxa"/>
            <w:tcBorders>
              <w:bottom w:val="single" w:sz="4" w:space="0" w:color="522398"/>
            </w:tcBorders>
            <w:vAlign w:val="center"/>
          </w:tcPr>
          <w:p w:rsidR="004376C6" w:rsidRPr="000163F1" w:rsidRDefault="004376C6" w:rsidP="004376C6">
            <w:pPr>
              <w:pStyle w:val="boczekbez"/>
            </w:pPr>
            <w:r>
              <w:t>OGÓŁEM</w:t>
            </w:r>
          </w:p>
        </w:tc>
        <w:tc>
          <w:tcPr>
            <w:tcW w:w="1556" w:type="dxa"/>
            <w:tcBorders>
              <w:bottom w:val="single" w:sz="4" w:space="0" w:color="522398"/>
            </w:tcBorders>
            <w:vAlign w:val="center"/>
          </w:tcPr>
          <w:p w:rsidR="004376C6" w:rsidRPr="00B67CD7" w:rsidRDefault="004376C6" w:rsidP="004376C6">
            <w:pPr>
              <w:pStyle w:val="tablet"/>
            </w:pPr>
            <w:r w:rsidRPr="00981601">
              <w:t>8001,27</w:t>
            </w:r>
          </w:p>
        </w:tc>
        <w:tc>
          <w:tcPr>
            <w:tcW w:w="1557" w:type="dxa"/>
            <w:tcBorders>
              <w:bottom w:val="single" w:sz="4" w:space="0" w:color="522398"/>
            </w:tcBorders>
            <w:vAlign w:val="center"/>
          </w:tcPr>
          <w:p w:rsidR="004376C6" w:rsidRPr="00B67CD7" w:rsidRDefault="004376C6" w:rsidP="004376C6">
            <w:pPr>
              <w:pStyle w:val="tablet"/>
            </w:pPr>
            <w:r w:rsidRPr="00AD06EA">
              <w:t>108,6</w:t>
            </w:r>
          </w:p>
        </w:tc>
        <w:tc>
          <w:tcPr>
            <w:tcW w:w="1556" w:type="dxa"/>
            <w:tcBorders>
              <w:bottom w:val="single" w:sz="4" w:space="0" w:color="522398"/>
            </w:tcBorders>
            <w:vAlign w:val="center"/>
          </w:tcPr>
          <w:p w:rsidR="004376C6" w:rsidRPr="00B67CD7" w:rsidRDefault="004376C6" w:rsidP="004376C6">
            <w:pPr>
              <w:pStyle w:val="tablet"/>
            </w:pPr>
            <w:r w:rsidRPr="00CF29D6">
              <w:t>7984,23</w:t>
            </w:r>
          </w:p>
        </w:tc>
        <w:tc>
          <w:tcPr>
            <w:tcW w:w="1557" w:type="dxa"/>
            <w:tcBorders>
              <w:bottom w:val="single" w:sz="4" w:space="0" w:color="522398"/>
            </w:tcBorders>
            <w:vAlign w:val="center"/>
          </w:tcPr>
          <w:p w:rsidR="004376C6" w:rsidRPr="00B67CD7" w:rsidRDefault="004376C6" w:rsidP="004376C6">
            <w:pPr>
              <w:pStyle w:val="tablet"/>
            </w:pPr>
            <w:r w:rsidRPr="00AD06EA">
              <w:t>108,4</w:t>
            </w:r>
          </w:p>
        </w:tc>
      </w:tr>
      <w:tr w:rsidR="004376C6" w:rsidRPr="00E87892" w:rsidTr="00154185">
        <w:trPr>
          <w:trHeight w:val="57"/>
          <w:jc w:val="center"/>
        </w:trPr>
        <w:tc>
          <w:tcPr>
            <w:tcW w:w="4253" w:type="dxa"/>
            <w:tcBorders>
              <w:bottom w:val="single" w:sz="4" w:space="0" w:color="522398"/>
            </w:tcBorders>
            <w:vAlign w:val="center"/>
          </w:tcPr>
          <w:p w:rsidR="004376C6" w:rsidRPr="000163F1" w:rsidRDefault="004376C6" w:rsidP="004376C6">
            <w:pPr>
              <w:pStyle w:val="boczek2"/>
            </w:pPr>
            <w:r w:rsidRPr="000163F1">
              <w:t>w tym:</w:t>
            </w:r>
          </w:p>
        </w:tc>
        <w:tc>
          <w:tcPr>
            <w:tcW w:w="1556" w:type="dxa"/>
            <w:tcBorders>
              <w:bottom w:val="single" w:sz="4" w:space="0" w:color="522398"/>
            </w:tcBorders>
            <w:vAlign w:val="center"/>
          </w:tcPr>
          <w:p w:rsidR="004376C6" w:rsidRPr="00B67CD7" w:rsidRDefault="004376C6" w:rsidP="004376C6">
            <w:pPr>
              <w:pStyle w:val="tableteksttab"/>
            </w:pPr>
          </w:p>
        </w:tc>
        <w:tc>
          <w:tcPr>
            <w:tcW w:w="1557" w:type="dxa"/>
            <w:tcBorders>
              <w:bottom w:val="single" w:sz="4" w:space="0" w:color="522398"/>
            </w:tcBorders>
            <w:vAlign w:val="center"/>
          </w:tcPr>
          <w:p w:rsidR="004376C6" w:rsidRPr="00B67CD7" w:rsidRDefault="004376C6" w:rsidP="004376C6">
            <w:pPr>
              <w:pStyle w:val="tableteksttab"/>
            </w:pPr>
          </w:p>
        </w:tc>
        <w:tc>
          <w:tcPr>
            <w:tcW w:w="1556" w:type="dxa"/>
            <w:tcBorders>
              <w:bottom w:val="single" w:sz="4" w:space="0" w:color="522398"/>
            </w:tcBorders>
            <w:vAlign w:val="center"/>
          </w:tcPr>
          <w:p w:rsidR="004376C6" w:rsidRPr="00B67CD7" w:rsidRDefault="004376C6" w:rsidP="004376C6">
            <w:pPr>
              <w:pStyle w:val="tableteksttab"/>
            </w:pPr>
          </w:p>
        </w:tc>
        <w:tc>
          <w:tcPr>
            <w:tcW w:w="1557" w:type="dxa"/>
            <w:tcBorders>
              <w:bottom w:val="single" w:sz="4" w:space="0" w:color="522398"/>
            </w:tcBorders>
            <w:vAlign w:val="center"/>
          </w:tcPr>
          <w:p w:rsidR="004376C6" w:rsidRPr="00B67CD7" w:rsidRDefault="004376C6" w:rsidP="004376C6">
            <w:pPr>
              <w:pStyle w:val="tableteksttab"/>
            </w:pPr>
          </w:p>
        </w:tc>
      </w:tr>
      <w:tr w:rsidR="004376C6" w:rsidRPr="00E87892" w:rsidTr="00154185">
        <w:trPr>
          <w:trHeight w:val="57"/>
          <w:jc w:val="center"/>
        </w:trPr>
        <w:tc>
          <w:tcPr>
            <w:tcW w:w="4253" w:type="dxa"/>
            <w:tcBorders>
              <w:bottom w:val="single" w:sz="4" w:space="0" w:color="522398"/>
            </w:tcBorders>
            <w:vAlign w:val="center"/>
          </w:tcPr>
          <w:p w:rsidR="004376C6" w:rsidRPr="000163F1" w:rsidRDefault="004376C6" w:rsidP="004376C6">
            <w:pPr>
              <w:pStyle w:val="boczek1"/>
              <w:rPr>
                <w:rStyle w:val="boczekZnak"/>
              </w:rPr>
            </w:pPr>
            <w:r>
              <w:t>Przemysł</w:t>
            </w:r>
          </w:p>
        </w:tc>
        <w:tc>
          <w:tcPr>
            <w:tcW w:w="1556" w:type="dxa"/>
            <w:tcBorders>
              <w:bottom w:val="single" w:sz="4" w:space="0" w:color="522398"/>
            </w:tcBorders>
            <w:vAlign w:val="center"/>
          </w:tcPr>
          <w:p w:rsidR="004376C6" w:rsidRPr="00B67CD7" w:rsidRDefault="004376C6" w:rsidP="004376C6">
            <w:pPr>
              <w:pStyle w:val="tableteksttab"/>
            </w:pPr>
            <w:r w:rsidRPr="00981601">
              <w:t>8171,11</w:t>
            </w:r>
          </w:p>
        </w:tc>
        <w:tc>
          <w:tcPr>
            <w:tcW w:w="1557" w:type="dxa"/>
            <w:tcBorders>
              <w:bottom w:val="single" w:sz="4" w:space="0" w:color="522398"/>
            </w:tcBorders>
            <w:vAlign w:val="center"/>
          </w:tcPr>
          <w:p w:rsidR="004376C6" w:rsidRPr="00B67CD7" w:rsidRDefault="004376C6" w:rsidP="004376C6">
            <w:pPr>
              <w:pStyle w:val="tableteksttab"/>
            </w:pPr>
            <w:r w:rsidRPr="00AD06EA">
              <w:t>107,7</w:t>
            </w:r>
          </w:p>
        </w:tc>
        <w:tc>
          <w:tcPr>
            <w:tcW w:w="1556" w:type="dxa"/>
            <w:tcBorders>
              <w:bottom w:val="single" w:sz="4" w:space="0" w:color="522398"/>
            </w:tcBorders>
            <w:vAlign w:val="center"/>
          </w:tcPr>
          <w:p w:rsidR="004376C6" w:rsidRPr="00B67CD7" w:rsidRDefault="004376C6" w:rsidP="004376C6">
            <w:pPr>
              <w:pStyle w:val="tableteksttab"/>
            </w:pPr>
            <w:r w:rsidRPr="00CF29D6">
              <w:t>8134,08</w:t>
            </w:r>
          </w:p>
        </w:tc>
        <w:tc>
          <w:tcPr>
            <w:tcW w:w="1557" w:type="dxa"/>
            <w:tcBorders>
              <w:bottom w:val="single" w:sz="4" w:space="0" w:color="522398"/>
            </w:tcBorders>
            <w:vAlign w:val="center"/>
          </w:tcPr>
          <w:p w:rsidR="004376C6" w:rsidRPr="00B67CD7" w:rsidRDefault="004376C6" w:rsidP="004376C6">
            <w:pPr>
              <w:pStyle w:val="tableteksttab"/>
            </w:pPr>
            <w:r w:rsidRPr="00AD06EA">
              <w:t>108,5</w:t>
            </w:r>
          </w:p>
        </w:tc>
      </w:tr>
      <w:tr w:rsidR="004376C6" w:rsidRPr="00E87892" w:rsidTr="00154185">
        <w:trPr>
          <w:trHeight w:val="57"/>
          <w:jc w:val="center"/>
        </w:trPr>
        <w:tc>
          <w:tcPr>
            <w:tcW w:w="4253" w:type="dxa"/>
            <w:tcBorders>
              <w:top w:val="single" w:sz="4" w:space="0" w:color="522398"/>
            </w:tcBorders>
            <w:vAlign w:val="center"/>
          </w:tcPr>
          <w:p w:rsidR="004376C6" w:rsidRPr="000163F1" w:rsidRDefault="004376C6" w:rsidP="004376C6">
            <w:pPr>
              <w:pStyle w:val="boczek2"/>
            </w:pPr>
            <w:r>
              <w:t>górnictwo i wydobywanie</w:t>
            </w:r>
          </w:p>
        </w:tc>
        <w:tc>
          <w:tcPr>
            <w:tcW w:w="1556" w:type="dxa"/>
            <w:tcBorders>
              <w:top w:val="single" w:sz="4" w:space="0" w:color="522398"/>
            </w:tcBorders>
            <w:vAlign w:val="center"/>
          </w:tcPr>
          <w:p w:rsidR="004376C6" w:rsidRPr="00B67CD7" w:rsidRDefault="004376C6" w:rsidP="004376C6">
            <w:pPr>
              <w:pStyle w:val="tableteksttab"/>
            </w:pPr>
            <w:r w:rsidRPr="00981601">
              <w:t>8615,78</w:t>
            </w:r>
          </w:p>
        </w:tc>
        <w:tc>
          <w:tcPr>
            <w:tcW w:w="1557" w:type="dxa"/>
            <w:tcBorders>
              <w:top w:val="single" w:sz="4" w:space="0" w:color="522398"/>
            </w:tcBorders>
            <w:vAlign w:val="center"/>
          </w:tcPr>
          <w:p w:rsidR="004376C6" w:rsidRPr="00B67CD7" w:rsidRDefault="004376C6" w:rsidP="004376C6">
            <w:pPr>
              <w:pStyle w:val="tableteksttab"/>
            </w:pPr>
            <w:r w:rsidRPr="00AD06EA">
              <w:t>87,9</w:t>
            </w:r>
          </w:p>
        </w:tc>
        <w:tc>
          <w:tcPr>
            <w:tcW w:w="1556" w:type="dxa"/>
            <w:tcBorders>
              <w:top w:val="single" w:sz="4" w:space="0" w:color="522398"/>
            </w:tcBorders>
            <w:vAlign w:val="center"/>
          </w:tcPr>
          <w:p w:rsidR="004376C6" w:rsidRPr="00B67CD7" w:rsidRDefault="004376C6" w:rsidP="004376C6">
            <w:pPr>
              <w:pStyle w:val="tableteksttab"/>
            </w:pPr>
            <w:r w:rsidRPr="00CF29D6">
              <w:t>9239,63</w:t>
            </w:r>
          </w:p>
        </w:tc>
        <w:tc>
          <w:tcPr>
            <w:tcW w:w="1557" w:type="dxa"/>
            <w:tcBorders>
              <w:top w:val="single" w:sz="4" w:space="0" w:color="522398"/>
            </w:tcBorders>
            <w:vAlign w:val="center"/>
          </w:tcPr>
          <w:p w:rsidR="004376C6" w:rsidRPr="00B67CD7" w:rsidRDefault="004376C6" w:rsidP="004376C6">
            <w:pPr>
              <w:pStyle w:val="tableteksttab"/>
            </w:pPr>
            <w:r w:rsidRPr="00AD06EA">
              <w:t>95,4</w:t>
            </w:r>
          </w:p>
        </w:tc>
      </w:tr>
      <w:tr w:rsidR="004376C6" w:rsidRPr="00E87892" w:rsidTr="00154185">
        <w:trPr>
          <w:trHeight w:val="57"/>
          <w:jc w:val="center"/>
        </w:trPr>
        <w:tc>
          <w:tcPr>
            <w:tcW w:w="4253" w:type="dxa"/>
            <w:vAlign w:val="center"/>
          </w:tcPr>
          <w:p w:rsidR="004376C6" w:rsidRPr="000163F1" w:rsidRDefault="004376C6" w:rsidP="004376C6">
            <w:pPr>
              <w:pStyle w:val="boczek2"/>
            </w:pPr>
            <w:r>
              <w:t>przetwórstwo przemysłowe</w:t>
            </w:r>
          </w:p>
        </w:tc>
        <w:tc>
          <w:tcPr>
            <w:tcW w:w="1556" w:type="dxa"/>
            <w:vAlign w:val="center"/>
          </w:tcPr>
          <w:p w:rsidR="004376C6" w:rsidRPr="00B67CD7" w:rsidRDefault="004376C6" w:rsidP="004376C6">
            <w:pPr>
              <w:pStyle w:val="tableteksttab"/>
            </w:pPr>
            <w:r w:rsidRPr="00981601">
              <w:t>8079,14</w:t>
            </w:r>
          </w:p>
        </w:tc>
        <w:tc>
          <w:tcPr>
            <w:tcW w:w="1557" w:type="dxa"/>
            <w:vAlign w:val="center"/>
          </w:tcPr>
          <w:p w:rsidR="004376C6" w:rsidRPr="00B67CD7" w:rsidRDefault="004376C6" w:rsidP="004376C6">
            <w:pPr>
              <w:pStyle w:val="tableteksttab"/>
            </w:pPr>
            <w:r w:rsidRPr="00AD06EA">
              <w:t>108,1</w:t>
            </w:r>
          </w:p>
        </w:tc>
        <w:tc>
          <w:tcPr>
            <w:tcW w:w="1556" w:type="dxa"/>
            <w:vAlign w:val="center"/>
          </w:tcPr>
          <w:p w:rsidR="004376C6" w:rsidRPr="00B67CD7" w:rsidRDefault="004376C6" w:rsidP="004376C6">
            <w:pPr>
              <w:pStyle w:val="tableteksttab"/>
            </w:pPr>
            <w:r w:rsidRPr="00CF29D6">
              <w:t>8029,99</w:t>
            </w:r>
          </w:p>
        </w:tc>
        <w:tc>
          <w:tcPr>
            <w:tcW w:w="1557" w:type="dxa"/>
            <w:vAlign w:val="center"/>
          </w:tcPr>
          <w:p w:rsidR="004376C6" w:rsidRPr="00B67CD7" w:rsidRDefault="004376C6" w:rsidP="004376C6">
            <w:pPr>
              <w:pStyle w:val="tableteksttab"/>
            </w:pPr>
            <w:r w:rsidRPr="00AD06EA">
              <w:t>108,7</w:t>
            </w:r>
          </w:p>
        </w:tc>
      </w:tr>
      <w:tr w:rsidR="004376C6" w:rsidRPr="00E87892" w:rsidTr="00B222F3">
        <w:trPr>
          <w:trHeight w:val="57"/>
          <w:jc w:val="center"/>
        </w:trPr>
        <w:tc>
          <w:tcPr>
            <w:tcW w:w="4253" w:type="dxa"/>
            <w:vAlign w:val="bottom"/>
          </w:tcPr>
          <w:p w:rsidR="004376C6" w:rsidRPr="000163F1" w:rsidRDefault="004376C6" w:rsidP="004376C6">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1556" w:type="dxa"/>
            <w:vAlign w:val="bottom"/>
          </w:tcPr>
          <w:p w:rsidR="004376C6" w:rsidRPr="00B67CD7" w:rsidRDefault="004376C6" w:rsidP="004376C6">
            <w:pPr>
              <w:pStyle w:val="tableteksttab"/>
            </w:pPr>
            <w:r w:rsidRPr="00981601">
              <w:t>11472,61</w:t>
            </w:r>
          </w:p>
        </w:tc>
        <w:tc>
          <w:tcPr>
            <w:tcW w:w="1557" w:type="dxa"/>
            <w:vAlign w:val="bottom"/>
          </w:tcPr>
          <w:p w:rsidR="004376C6" w:rsidRPr="00B67CD7" w:rsidRDefault="004376C6" w:rsidP="004376C6">
            <w:pPr>
              <w:pStyle w:val="tableteksttab"/>
            </w:pPr>
            <w:r w:rsidRPr="00AD06EA">
              <w:t>102,5</w:t>
            </w:r>
          </w:p>
        </w:tc>
        <w:tc>
          <w:tcPr>
            <w:tcW w:w="1556" w:type="dxa"/>
            <w:vAlign w:val="bottom"/>
          </w:tcPr>
          <w:p w:rsidR="004376C6" w:rsidRPr="00B67CD7" w:rsidRDefault="004376C6" w:rsidP="004376C6">
            <w:pPr>
              <w:pStyle w:val="tableteksttab"/>
            </w:pPr>
            <w:r w:rsidRPr="00CF29D6">
              <w:t>12477,18</w:t>
            </w:r>
          </w:p>
        </w:tc>
        <w:tc>
          <w:tcPr>
            <w:tcW w:w="1557" w:type="dxa"/>
            <w:vAlign w:val="bottom"/>
          </w:tcPr>
          <w:p w:rsidR="004376C6" w:rsidRPr="00B67CD7" w:rsidRDefault="004376C6" w:rsidP="004376C6">
            <w:pPr>
              <w:pStyle w:val="tableteksttab"/>
            </w:pPr>
            <w:r w:rsidRPr="00AD06EA">
              <w:t>106,5</w:t>
            </w:r>
          </w:p>
        </w:tc>
      </w:tr>
      <w:tr w:rsidR="004376C6" w:rsidRPr="00E87892" w:rsidTr="00B222F3">
        <w:trPr>
          <w:trHeight w:val="57"/>
          <w:jc w:val="center"/>
        </w:trPr>
        <w:tc>
          <w:tcPr>
            <w:tcW w:w="4253" w:type="dxa"/>
            <w:vAlign w:val="bottom"/>
          </w:tcPr>
          <w:p w:rsidR="004376C6" w:rsidRPr="000163F1" w:rsidRDefault="004376C6" w:rsidP="004376C6">
            <w:pPr>
              <w:pStyle w:val="boczek2"/>
            </w:pPr>
            <w:r w:rsidRPr="000163F1">
              <w:t>dostawa wody; gospodarowanie ściekami i odpadami; rekultywacja</w:t>
            </w:r>
            <w:r w:rsidRPr="000163F1">
              <w:rPr>
                <w:rFonts w:ascii="Symbol" w:hAnsi="Symbol"/>
                <w:vertAlign w:val="superscript"/>
              </w:rPr>
              <w:t></w:t>
            </w:r>
          </w:p>
        </w:tc>
        <w:tc>
          <w:tcPr>
            <w:tcW w:w="1556" w:type="dxa"/>
            <w:vAlign w:val="bottom"/>
          </w:tcPr>
          <w:p w:rsidR="004376C6" w:rsidRPr="00B67CD7" w:rsidRDefault="004376C6" w:rsidP="004376C6">
            <w:pPr>
              <w:pStyle w:val="tableteksttab"/>
            </w:pPr>
            <w:r w:rsidRPr="00981601">
              <w:t>8247,00</w:t>
            </w:r>
          </w:p>
        </w:tc>
        <w:tc>
          <w:tcPr>
            <w:tcW w:w="1557" w:type="dxa"/>
            <w:vAlign w:val="bottom"/>
          </w:tcPr>
          <w:p w:rsidR="004376C6" w:rsidRPr="00B67CD7" w:rsidRDefault="004376C6" w:rsidP="004376C6">
            <w:pPr>
              <w:pStyle w:val="tableteksttab"/>
            </w:pPr>
            <w:r w:rsidRPr="00AD06EA">
              <w:t>109,3</w:t>
            </w:r>
          </w:p>
        </w:tc>
        <w:tc>
          <w:tcPr>
            <w:tcW w:w="1556" w:type="dxa"/>
            <w:vAlign w:val="bottom"/>
          </w:tcPr>
          <w:p w:rsidR="004376C6" w:rsidRPr="00B67CD7" w:rsidRDefault="004376C6" w:rsidP="004376C6">
            <w:pPr>
              <w:pStyle w:val="tableteksttab"/>
            </w:pPr>
            <w:r w:rsidRPr="00CF29D6">
              <w:t>7720,49</w:t>
            </w:r>
          </w:p>
        </w:tc>
        <w:tc>
          <w:tcPr>
            <w:tcW w:w="1557" w:type="dxa"/>
            <w:vAlign w:val="bottom"/>
          </w:tcPr>
          <w:p w:rsidR="004376C6" w:rsidRPr="00B67CD7" w:rsidRDefault="004376C6" w:rsidP="004376C6">
            <w:pPr>
              <w:pStyle w:val="tableteksttab"/>
            </w:pPr>
            <w:r w:rsidRPr="00AD06EA">
              <w:t>108,2</w:t>
            </w:r>
          </w:p>
        </w:tc>
      </w:tr>
      <w:tr w:rsidR="004376C6" w:rsidRPr="00E87892" w:rsidTr="00154185">
        <w:trPr>
          <w:trHeight w:val="57"/>
          <w:jc w:val="center"/>
        </w:trPr>
        <w:tc>
          <w:tcPr>
            <w:tcW w:w="4253" w:type="dxa"/>
            <w:vAlign w:val="center"/>
          </w:tcPr>
          <w:p w:rsidR="004376C6" w:rsidRPr="000163F1" w:rsidRDefault="004376C6" w:rsidP="004376C6">
            <w:pPr>
              <w:pStyle w:val="boczek1"/>
            </w:pPr>
            <w:r>
              <w:t>Budownictwo</w:t>
            </w:r>
          </w:p>
        </w:tc>
        <w:tc>
          <w:tcPr>
            <w:tcW w:w="1556" w:type="dxa"/>
            <w:vAlign w:val="center"/>
          </w:tcPr>
          <w:p w:rsidR="004376C6" w:rsidRPr="00B67CD7" w:rsidRDefault="004376C6" w:rsidP="004376C6">
            <w:pPr>
              <w:pStyle w:val="tableteksttab"/>
            </w:pPr>
            <w:r w:rsidRPr="00981601">
              <w:t>8787,46</w:t>
            </w:r>
          </w:p>
        </w:tc>
        <w:tc>
          <w:tcPr>
            <w:tcW w:w="1557" w:type="dxa"/>
            <w:vAlign w:val="center"/>
          </w:tcPr>
          <w:p w:rsidR="004376C6" w:rsidRPr="00B67CD7" w:rsidRDefault="004376C6" w:rsidP="004376C6">
            <w:pPr>
              <w:pStyle w:val="tableteksttab"/>
            </w:pPr>
            <w:r w:rsidRPr="00AD06EA">
              <w:t>112,9</w:t>
            </w:r>
          </w:p>
        </w:tc>
        <w:tc>
          <w:tcPr>
            <w:tcW w:w="1556" w:type="dxa"/>
            <w:vAlign w:val="center"/>
          </w:tcPr>
          <w:p w:rsidR="004376C6" w:rsidRPr="00B67CD7" w:rsidRDefault="004376C6" w:rsidP="004376C6">
            <w:pPr>
              <w:pStyle w:val="tableteksttab"/>
            </w:pPr>
            <w:r w:rsidRPr="00CF29D6">
              <w:t>8470,73</w:t>
            </w:r>
          </w:p>
        </w:tc>
        <w:tc>
          <w:tcPr>
            <w:tcW w:w="1557" w:type="dxa"/>
            <w:vAlign w:val="center"/>
          </w:tcPr>
          <w:p w:rsidR="004376C6" w:rsidRPr="00B67CD7" w:rsidRDefault="004376C6" w:rsidP="004376C6">
            <w:pPr>
              <w:pStyle w:val="tableteksttab"/>
            </w:pPr>
            <w:r w:rsidRPr="00AD06EA">
              <w:t>111,5</w:t>
            </w:r>
          </w:p>
        </w:tc>
      </w:tr>
      <w:tr w:rsidR="004376C6" w:rsidRPr="00E87892" w:rsidTr="00154185">
        <w:trPr>
          <w:trHeight w:val="57"/>
          <w:jc w:val="center"/>
        </w:trPr>
        <w:tc>
          <w:tcPr>
            <w:tcW w:w="4253" w:type="dxa"/>
            <w:vAlign w:val="center"/>
          </w:tcPr>
          <w:p w:rsidR="004376C6" w:rsidRPr="000163F1" w:rsidRDefault="004376C6" w:rsidP="004376C6">
            <w:pPr>
              <w:pStyle w:val="boczek1"/>
            </w:pPr>
            <w:r w:rsidRPr="000163F1">
              <w:t>Handel; naprawa pojazdów samochodowych</w:t>
            </w:r>
            <w:r w:rsidRPr="000163F1">
              <w:rPr>
                <w:rFonts w:ascii="Symbol" w:hAnsi="Symbol"/>
                <w:vertAlign w:val="superscript"/>
              </w:rPr>
              <w:t></w:t>
            </w:r>
          </w:p>
        </w:tc>
        <w:tc>
          <w:tcPr>
            <w:tcW w:w="1556" w:type="dxa"/>
            <w:vAlign w:val="center"/>
          </w:tcPr>
          <w:p w:rsidR="004376C6" w:rsidRPr="00B67CD7" w:rsidRDefault="004376C6" w:rsidP="004376C6">
            <w:pPr>
              <w:pStyle w:val="tableteksttab"/>
            </w:pPr>
            <w:r w:rsidRPr="00981601">
              <w:t>7122,12</w:t>
            </w:r>
          </w:p>
        </w:tc>
        <w:tc>
          <w:tcPr>
            <w:tcW w:w="1557" w:type="dxa"/>
            <w:vAlign w:val="center"/>
          </w:tcPr>
          <w:p w:rsidR="004376C6" w:rsidRPr="00B67CD7" w:rsidRDefault="004376C6" w:rsidP="004376C6">
            <w:pPr>
              <w:pStyle w:val="tableteksttab"/>
            </w:pPr>
            <w:r w:rsidRPr="00AD06EA">
              <w:t>107,7</w:t>
            </w:r>
          </w:p>
        </w:tc>
        <w:tc>
          <w:tcPr>
            <w:tcW w:w="1556" w:type="dxa"/>
            <w:vAlign w:val="center"/>
          </w:tcPr>
          <w:p w:rsidR="004376C6" w:rsidRPr="00B67CD7" w:rsidRDefault="004376C6" w:rsidP="004376C6">
            <w:pPr>
              <w:pStyle w:val="tableteksttab"/>
            </w:pPr>
            <w:r w:rsidRPr="00CF29D6">
              <w:t>7245,13</w:t>
            </w:r>
          </w:p>
        </w:tc>
        <w:tc>
          <w:tcPr>
            <w:tcW w:w="1557" w:type="dxa"/>
            <w:vAlign w:val="center"/>
          </w:tcPr>
          <w:p w:rsidR="004376C6" w:rsidRPr="00B67CD7" w:rsidRDefault="004376C6" w:rsidP="004376C6">
            <w:pPr>
              <w:pStyle w:val="tableteksttab"/>
            </w:pPr>
            <w:r w:rsidRPr="00AD06EA">
              <w:t>107,1</w:t>
            </w:r>
          </w:p>
        </w:tc>
      </w:tr>
      <w:tr w:rsidR="004376C6" w:rsidRPr="00E87892" w:rsidTr="00154185">
        <w:trPr>
          <w:trHeight w:val="57"/>
          <w:jc w:val="center"/>
        </w:trPr>
        <w:tc>
          <w:tcPr>
            <w:tcW w:w="4253" w:type="dxa"/>
            <w:vAlign w:val="center"/>
          </w:tcPr>
          <w:p w:rsidR="004376C6" w:rsidRPr="000163F1" w:rsidRDefault="004376C6" w:rsidP="004376C6">
            <w:pPr>
              <w:pStyle w:val="boczek1"/>
            </w:pPr>
            <w:r w:rsidRPr="000163F1">
              <w:t>Tr</w:t>
            </w:r>
            <w:r>
              <w:t>ansport i gospodarka magazynowa</w:t>
            </w:r>
          </w:p>
        </w:tc>
        <w:tc>
          <w:tcPr>
            <w:tcW w:w="1556" w:type="dxa"/>
            <w:vAlign w:val="center"/>
          </w:tcPr>
          <w:p w:rsidR="004376C6" w:rsidRPr="00B67CD7" w:rsidRDefault="004376C6" w:rsidP="004376C6">
            <w:pPr>
              <w:pStyle w:val="tableteksttab"/>
            </w:pPr>
            <w:r w:rsidRPr="00981601">
              <w:t>8506,28</w:t>
            </w:r>
          </w:p>
        </w:tc>
        <w:tc>
          <w:tcPr>
            <w:tcW w:w="1557" w:type="dxa"/>
            <w:vAlign w:val="center"/>
          </w:tcPr>
          <w:p w:rsidR="004376C6" w:rsidRPr="00B67CD7" w:rsidRDefault="004376C6" w:rsidP="004376C6">
            <w:pPr>
              <w:pStyle w:val="tableteksttab"/>
            </w:pPr>
            <w:r w:rsidRPr="00AD06EA">
              <w:t>112,9</w:t>
            </w:r>
          </w:p>
        </w:tc>
        <w:tc>
          <w:tcPr>
            <w:tcW w:w="1556" w:type="dxa"/>
            <w:vAlign w:val="center"/>
          </w:tcPr>
          <w:p w:rsidR="004376C6" w:rsidRPr="00B67CD7" w:rsidRDefault="004376C6" w:rsidP="004376C6">
            <w:pPr>
              <w:pStyle w:val="tableteksttab"/>
            </w:pPr>
            <w:r w:rsidRPr="00CF29D6">
              <w:t>8214,58</w:t>
            </w:r>
          </w:p>
        </w:tc>
        <w:tc>
          <w:tcPr>
            <w:tcW w:w="1557" w:type="dxa"/>
            <w:vAlign w:val="center"/>
          </w:tcPr>
          <w:p w:rsidR="004376C6" w:rsidRPr="00B67CD7" w:rsidRDefault="004376C6" w:rsidP="004376C6">
            <w:pPr>
              <w:pStyle w:val="tableteksttab"/>
            </w:pPr>
            <w:r w:rsidRPr="00AD06EA">
              <w:t>110,3</w:t>
            </w:r>
          </w:p>
        </w:tc>
      </w:tr>
      <w:tr w:rsidR="004376C6" w:rsidRPr="00E87892" w:rsidTr="00154185">
        <w:trPr>
          <w:trHeight w:val="57"/>
          <w:jc w:val="center"/>
        </w:trPr>
        <w:tc>
          <w:tcPr>
            <w:tcW w:w="4253" w:type="dxa"/>
            <w:vAlign w:val="center"/>
          </w:tcPr>
          <w:p w:rsidR="004376C6" w:rsidRPr="000163F1" w:rsidRDefault="004376C6" w:rsidP="004376C6">
            <w:pPr>
              <w:pStyle w:val="boczek1"/>
            </w:pPr>
            <w:r w:rsidRPr="000163F1">
              <w:t>Zakwaterowanie i gastronomia</w:t>
            </w:r>
            <w:r w:rsidRPr="000163F1">
              <w:rPr>
                <w:rFonts w:ascii="Symbol" w:hAnsi="Symbol"/>
                <w:vertAlign w:val="superscript"/>
              </w:rPr>
              <w:t></w:t>
            </w:r>
          </w:p>
        </w:tc>
        <w:tc>
          <w:tcPr>
            <w:tcW w:w="1556" w:type="dxa"/>
            <w:vAlign w:val="center"/>
          </w:tcPr>
          <w:p w:rsidR="004376C6" w:rsidRPr="00B67CD7" w:rsidRDefault="004376C6" w:rsidP="004376C6">
            <w:pPr>
              <w:pStyle w:val="tableteksttab"/>
            </w:pPr>
            <w:r w:rsidRPr="00981601">
              <w:t>6124,05</w:t>
            </w:r>
          </w:p>
        </w:tc>
        <w:tc>
          <w:tcPr>
            <w:tcW w:w="1557" w:type="dxa"/>
            <w:vAlign w:val="center"/>
          </w:tcPr>
          <w:p w:rsidR="004376C6" w:rsidRPr="00B67CD7" w:rsidRDefault="004376C6" w:rsidP="004376C6">
            <w:pPr>
              <w:pStyle w:val="tableteksttab"/>
            </w:pPr>
            <w:r w:rsidRPr="00AD06EA">
              <w:t>111,9</w:t>
            </w:r>
          </w:p>
        </w:tc>
        <w:tc>
          <w:tcPr>
            <w:tcW w:w="1556" w:type="dxa"/>
            <w:vAlign w:val="center"/>
          </w:tcPr>
          <w:p w:rsidR="004376C6" w:rsidRPr="00B67CD7" w:rsidRDefault="004376C6" w:rsidP="004376C6">
            <w:pPr>
              <w:pStyle w:val="tableteksttab"/>
            </w:pPr>
            <w:r w:rsidRPr="00CF29D6">
              <w:t>5906,47</w:t>
            </w:r>
          </w:p>
        </w:tc>
        <w:tc>
          <w:tcPr>
            <w:tcW w:w="1557" w:type="dxa"/>
            <w:vAlign w:val="center"/>
          </w:tcPr>
          <w:p w:rsidR="004376C6" w:rsidRPr="00B67CD7" w:rsidRDefault="004376C6" w:rsidP="004376C6">
            <w:pPr>
              <w:pStyle w:val="tableteksttab"/>
            </w:pPr>
            <w:r w:rsidRPr="00AD06EA">
              <w:t>108,8</w:t>
            </w:r>
          </w:p>
        </w:tc>
      </w:tr>
      <w:tr w:rsidR="004376C6" w:rsidRPr="00E87892" w:rsidTr="00154185">
        <w:trPr>
          <w:trHeight w:val="57"/>
          <w:jc w:val="center"/>
        </w:trPr>
        <w:tc>
          <w:tcPr>
            <w:tcW w:w="4253" w:type="dxa"/>
            <w:vAlign w:val="center"/>
          </w:tcPr>
          <w:p w:rsidR="004376C6" w:rsidRPr="000163F1" w:rsidRDefault="004376C6" w:rsidP="004376C6">
            <w:pPr>
              <w:pStyle w:val="boczek1"/>
            </w:pPr>
            <w:r>
              <w:t>Informacja i komunikacja</w:t>
            </w:r>
          </w:p>
        </w:tc>
        <w:tc>
          <w:tcPr>
            <w:tcW w:w="1556" w:type="dxa"/>
            <w:vAlign w:val="center"/>
          </w:tcPr>
          <w:p w:rsidR="004376C6" w:rsidRPr="00B67CD7" w:rsidRDefault="004376C6" w:rsidP="004376C6">
            <w:pPr>
              <w:pStyle w:val="tableteksttab"/>
            </w:pPr>
            <w:r w:rsidRPr="00981601">
              <w:t>13790,24</w:t>
            </w:r>
          </w:p>
        </w:tc>
        <w:tc>
          <w:tcPr>
            <w:tcW w:w="1557" w:type="dxa"/>
            <w:vAlign w:val="center"/>
          </w:tcPr>
          <w:p w:rsidR="004376C6" w:rsidRPr="00B67CD7" w:rsidRDefault="004376C6" w:rsidP="004376C6">
            <w:pPr>
              <w:pStyle w:val="tableteksttab"/>
            </w:pPr>
            <w:r w:rsidRPr="00AD06EA">
              <w:t>108,7</w:t>
            </w:r>
          </w:p>
        </w:tc>
        <w:tc>
          <w:tcPr>
            <w:tcW w:w="1556" w:type="dxa"/>
            <w:vAlign w:val="center"/>
          </w:tcPr>
          <w:p w:rsidR="004376C6" w:rsidRPr="00B67CD7" w:rsidRDefault="004376C6" w:rsidP="004376C6">
            <w:pPr>
              <w:pStyle w:val="tableteksttab"/>
            </w:pPr>
            <w:r w:rsidRPr="00CF29D6">
              <w:t>14551,69</w:t>
            </w:r>
          </w:p>
        </w:tc>
        <w:tc>
          <w:tcPr>
            <w:tcW w:w="1557" w:type="dxa"/>
            <w:vAlign w:val="center"/>
          </w:tcPr>
          <w:p w:rsidR="004376C6" w:rsidRPr="00B67CD7" w:rsidRDefault="004376C6" w:rsidP="004376C6">
            <w:pPr>
              <w:pStyle w:val="tableteksttab"/>
            </w:pPr>
            <w:r w:rsidRPr="00AD06EA">
              <w:t>111,2</w:t>
            </w:r>
          </w:p>
        </w:tc>
      </w:tr>
      <w:tr w:rsidR="004376C6" w:rsidRPr="00E87892" w:rsidTr="00154185">
        <w:trPr>
          <w:trHeight w:val="57"/>
          <w:jc w:val="center"/>
        </w:trPr>
        <w:tc>
          <w:tcPr>
            <w:tcW w:w="4253" w:type="dxa"/>
            <w:vAlign w:val="center"/>
          </w:tcPr>
          <w:p w:rsidR="004376C6" w:rsidRPr="000163F1" w:rsidRDefault="004376C6" w:rsidP="004376C6">
            <w:pPr>
              <w:pStyle w:val="boczek1"/>
            </w:pPr>
            <w:r w:rsidRPr="000163F1">
              <w:t>Obsługa rynku nieruchomości</w:t>
            </w:r>
            <w:r w:rsidRPr="000163F1">
              <w:rPr>
                <w:rFonts w:ascii="Symbol" w:hAnsi="Symbol"/>
                <w:vertAlign w:val="superscript"/>
              </w:rPr>
              <w:t></w:t>
            </w:r>
          </w:p>
        </w:tc>
        <w:tc>
          <w:tcPr>
            <w:tcW w:w="1556" w:type="dxa"/>
            <w:vAlign w:val="center"/>
          </w:tcPr>
          <w:p w:rsidR="004376C6" w:rsidRPr="00B67CD7" w:rsidRDefault="004376C6" w:rsidP="004376C6">
            <w:pPr>
              <w:pStyle w:val="tableteksttab"/>
            </w:pPr>
            <w:r w:rsidRPr="00981601">
              <w:t>9082,78</w:t>
            </w:r>
          </w:p>
        </w:tc>
        <w:tc>
          <w:tcPr>
            <w:tcW w:w="1557" w:type="dxa"/>
            <w:vAlign w:val="center"/>
          </w:tcPr>
          <w:p w:rsidR="004376C6" w:rsidRPr="00B67CD7" w:rsidRDefault="004376C6" w:rsidP="004376C6">
            <w:pPr>
              <w:pStyle w:val="tableteksttab"/>
            </w:pPr>
            <w:r w:rsidRPr="00AD06EA">
              <w:t>119,1</w:t>
            </w:r>
          </w:p>
        </w:tc>
        <w:tc>
          <w:tcPr>
            <w:tcW w:w="1556" w:type="dxa"/>
            <w:vAlign w:val="center"/>
          </w:tcPr>
          <w:p w:rsidR="004376C6" w:rsidRPr="00B67CD7" w:rsidRDefault="004376C6" w:rsidP="004376C6">
            <w:pPr>
              <w:pStyle w:val="tableteksttab"/>
            </w:pPr>
            <w:r w:rsidRPr="00CF29D6">
              <w:t>8457,09</w:t>
            </w:r>
          </w:p>
        </w:tc>
        <w:tc>
          <w:tcPr>
            <w:tcW w:w="1557" w:type="dxa"/>
            <w:vAlign w:val="center"/>
          </w:tcPr>
          <w:p w:rsidR="004376C6" w:rsidRPr="00B67CD7" w:rsidRDefault="004376C6" w:rsidP="004376C6">
            <w:pPr>
              <w:pStyle w:val="tableteksttab"/>
            </w:pPr>
            <w:r w:rsidRPr="00AD06EA">
              <w:t>115,9</w:t>
            </w:r>
          </w:p>
        </w:tc>
      </w:tr>
      <w:tr w:rsidR="004376C6" w:rsidRPr="00E87892" w:rsidTr="00154185">
        <w:trPr>
          <w:trHeight w:val="57"/>
          <w:jc w:val="center"/>
        </w:trPr>
        <w:tc>
          <w:tcPr>
            <w:tcW w:w="4253" w:type="dxa"/>
            <w:tcBorders>
              <w:bottom w:val="single" w:sz="4" w:space="0" w:color="522398"/>
            </w:tcBorders>
            <w:vAlign w:val="center"/>
          </w:tcPr>
          <w:p w:rsidR="004376C6" w:rsidRPr="000163F1" w:rsidRDefault="004376C6" w:rsidP="004376C6">
            <w:pPr>
              <w:pStyle w:val="boczek1"/>
            </w:pPr>
            <w:r w:rsidRPr="000163F1">
              <w:t>Działalność profesjonalna, naukowa i techniczna</w:t>
            </w:r>
            <w:r w:rsidRPr="0036212B">
              <w:rPr>
                <w:vertAlign w:val="superscript"/>
              </w:rPr>
              <w:t xml:space="preserve"> a</w:t>
            </w:r>
          </w:p>
        </w:tc>
        <w:tc>
          <w:tcPr>
            <w:tcW w:w="1556" w:type="dxa"/>
            <w:tcBorders>
              <w:bottom w:val="single" w:sz="4" w:space="0" w:color="522398"/>
            </w:tcBorders>
            <w:vAlign w:val="center"/>
          </w:tcPr>
          <w:p w:rsidR="004376C6" w:rsidRPr="00B67CD7" w:rsidRDefault="004376C6" w:rsidP="004376C6">
            <w:pPr>
              <w:pStyle w:val="tableteksttab"/>
            </w:pPr>
            <w:r w:rsidRPr="00C53F54">
              <w:t>9813,94</w:t>
            </w:r>
          </w:p>
        </w:tc>
        <w:tc>
          <w:tcPr>
            <w:tcW w:w="1557" w:type="dxa"/>
            <w:tcBorders>
              <w:bottom w:val="single" w:sz="4" w:space="0" w:color="522398"/>
            </w:tcBorders>
            <w:vAlign w:val="center"/>
          </w:tcPr>
          <w:p w:rsidR="004376C6" w:rsidRPr="00B67CD7" w:rsidRDefault="004376C6" w:rsidP="004376C6">
            <w:pPr>
              <w:pStyle w:val="tableteksttab"/>
            </w:pPr>
            <w:r w:rsidRPr="00AD06EA">
              <w:t>104,0</w:t>
            </w:r>
          </w:p>
        </w:tc>
        <w:tc>
          <w:tcPr>
            <w:tcW w:w="1556" w:type="dxa"/>
            <w:tcBorders>
              <w:bottom w:val="single" w:sz="4" w:space="0" w:color="522398"/>
            </w:tcBorders>
            <w:vAlign w:val="center"/>
          </w:tcPr>
          <w:p w:rsidR="004376C6" w:rsidRPr="00B67CD7" w:rsidRDefault="004376C6" w:rsidP="004376C6">
            <w:pPr>
              <w:pStyle w:val="tableteksttab"/>
            </w:pPr>
            <w:r w:rsidRPr="00CF29D6">
              <w:t>9717,76</w:t>
            </w:r>
          </w:p>
        </w:tc>
        <w:tc>
          <w:tcPr>
            <w:tcW w:w="1557" w:type="dxa"/>
            <w:tcBorders>
              <w:bottom w:val="single" w:sz="4" w:space="0" w:color="522398"/>
            </w:tcBorders>
            <w:vAlign w:val="center"/>
          </w:tcPr>
          <w:p w:rsidR="004376C6" w:rsidRPr="00B67CD7" w:rsidRDefault="004376C6" w:rsidP="004376C6">
            <w:pPr>
              <w:pStyle w:val="tableteksttab"/>
            </w:pPr>
            <w:r w:rsidRPr="00AD06EA">
              <w:t>99,4</w:t>
            </w:r>
          </w:p>
        </w:tc>
      </w:tr>
      <w:tr w:rsidR="004376C6" w:rsidRPr="00E87892" w:rsidTr="00154185">
        <w:trPr>
          <w:trHeight w:val="57"/>
          <w:jc w:val="center"/>
        </w:trPr>
        <w:tc>
          <w:tcPr>
            <w:tcW w:w="4253" w:type="dxa"/>
            <w:tcBorders>
              <w:bottom w:val="nil"/>
            </w:tcBorders>
            <w:vAlign w:val="center"/>
          </w:tcPr>
          <w:p w:rsidR="004376C6" w:rsidRPr="000163F1" w:rsidRDefault="004376C6" w:rsidP="004376C6">
            <w:pPr>
              <w:pStyle w:val="boczek1"/>
            </w:pPr>
            <w:r w:rsidRPr="000163F1">
              <w:t>Administrowanie i działalność wspierająca</w:t>
            </w:r>
            <w:r w:rsidRPr="000163F1">
              <w:rPr>
                <w:rFonts w:ascii="Symbol" w:hAnsi="Symbol"/>
                <w:vertAlign w:val="superscript"/>
              </w:rPr>
              <w:t></w:t>
            </w:r>
          </w:p>
        </w:tc>
        <w:tc>
          <w:tcPr>
            <w:tcW w:w="1556" w:type="dxa"/>
            <w:tcBorders>
              <w:bottom w:val="nil"/>
            </w:tcBorders>
            <w:vAlign w:val="center"/>
          </w:tcPr>
          <w:p w:rsidR="004376C6" w:rsidRPr="00B67CD7" w:rsidRDefault="004376C6" w:rsidP="004376C6">
            <w:pPr>
              <w:pStyle w:val="tableteksttab"/>
            </w:pPr>
            <w:r w:rsidRPr="00C53F54">
              <w:t>7347,99</w:t>
            </w:r>
          </w:p>
        </w:tc>
        <w:tc>
          <w:tcPr>
            <w:tcW w:w="1557" w:type="dxa"/>
            <w:tcBorders>
              <w:bottom w:val="nil"/>
            </w:tcBorders>
            <w:vAlign w:val="center"/>
          </w:tcPr>
          <w:p w:rsidR="004376C6" w:rsidRPr="00B67CD7" w:rsidRDefault="004376C6" w:rsidP="004376C6">
            <w:pPr>
              <w:pStyle w:val="tableteksttab"/>
            </w:pPr>
            <w:r w:rsidRPr="00AD06EA">
              <w:t>112,2</w:t>
            </w:r>
          </w:p>
        </w:tc>
        <w:tc>
          <w:tcPr>
            <w:tcW w:w="1556" w:type="dxa"/>
            <w:tcBorders>
              <w:bottom w:val="nil"/>
            </w:tcBorders>
            <w:vAlign w:val="center"/>
          </w:tcPr>
          <w:p w:rsidR="004376C6" w:rsidRPr="00B67CD7" w:rsidRDefault="004376C6" w:rsidP="004376C6">
            <w:pPr>
              <w:pStyle w:val="tableteksttab"/>
            </w:pPr>
            <w:r w:rsidRPr="00CF29D6">
              <w:t>7209,63</w:t>
            </w:r>
          </w:p>
        </w:tc>
        <w:tc>
          <w:tcPr>
            <w:tcW w:w="1557" w:type="dxa"/>
            <w:tcBorders>
              <w:bottom w:val="nil"/>
            </w:tcBorders>
            <w:vAlign w:val="center"/>
          </w:tcPr>
          <w:p w:rsidR="004376C6" w:rsidRPr="00B67CD7" w:rsidRDefault="004376C6" w:rsidP="004376C6">
            <w:pPr>
              <w:pStyle w:val="tableteksttab"/>
            </w:pPr>
            <w:r w:rsidRPr="00AD06EA">
              <w:t>113,7</w:t>
            </w:r>
          </w:p>
        </w:tc>
      </w:tr>
    </w:tbl>
    <w:p w:rsidR="005928D2" w:rsidRDefault="005928D2" w:rsidP="00EB4501">
      <w:pPr>
        <w:pStyle w:val="notka"/>
      </w:pPr>
      <w:r w:rsidRPr="004A40C8">
        <w:t xml:space="preserve">a </w:t>
      </w:r>
      <w:r w:rsidRPr="00840CB9">
        <w:t>Nie obejmuje działów: Badania naukowe i prace rozwojowe oraz Działalność weterynaryjna.</w:t>
      </w:r>
    </w:p>
    <w:p w:rsidR="00674D67" w:rsidRPr="00674D67" w:rsidRDefault="004376C6" w:rsidP="004C290B">
      <w:pPr>
        <w:pStyle w:val="tekst"/>
        <w:spacing w:before="360"/>
      </w:pPr>
      <w:r w:rsidRPr="00B67CD7">
        <w:t xml:space="preserve">W porównaniu z </w:t>
      </w:r>
      <w:r w:rsidRPr="00F1602A">
        <w:t>lipcem</w:t>
      </w:r>
      <w:r>
        <w:t xml:space="preserve"> </w:t>
      </w:r>
      <w:r w:rsidRPr="00B67CD7">
        <w:t xml:space="preserve">ub. roku wzrost przeciętnych miesięcznych wynagrodzeń obserwowano we wszystkich sekcjach sektora przedsiębiorstw, z wyjątkiem </w:t>
      </w:r>
      <w:r w:rsidRPr="00A0427B">
        <w:t>górnictw</w:t>
      </w:r>
      <w:r>
        <w:t>a</w:t>
      </w:r>
      <w:r w:rsidRPr="00A0427B">
        <w:t xml:space="preserve"> i wydobywani</w:t>
      </w:r>
      <w:r>
        <w:t>a</w:t>
      </w:r>
      <w:r w:rsidRPr="00B67CD7">
        <w:t xml:space="preserve">, gdzie zanotowano spadek wynagrodzeń o </w:t>
      </w:r>
      <w:r>
        <w:t>12,1</w:t>
      </w:r>
      <w:r w:rsidRPr="00B67CD7">
        <w:t xml:space="preserve">%. Największy wzrost przeciętnych miesięcznych wynagrodzeń </w:t>
      </w:r>
      <w:r w:rsidR="00AA7B03">
        <w:t xml:space="preserve">brutto </w:t>
      </w:r>
      <w:r w:rsidRPr="00B67CD7">
        <w:t>wystąpił w przedsiębiorstwach zajmujących się</w:t>
      </w:r>
      <w:r>
        <w:t>:</w:t>
      </w:r>
      <w:r w:rsidRPr="00A0427B">
        <w:t xml:space="preserve"> </w:t>
      </w:r>
      <w:r>
        <w:t>o</w:t>
      </w:r>
      <w:r w:rsidRPr="00A0427B">
        <w:t>bsług</w:t>
      </w:r>
      <w:r>
        <w:t>ą</w:t>
      </w:r>
      <w:r w:rsidRPr="00A0427B">
        <w:t xml:space="preserve"> rynku nieruchomości</w:t>
      </w:r>
      <w:r w:rsidRPr="00B67CD7">
        <w:t xml:space="preserve"> (o </w:t>
      </w:r>
      <w:r>
        <w:t>19,1</w:t>
      </w:r>
      <w:r w:rsidRPr="00B67CD7">
        <w:t xml:space="preserve">%), budownictwem </w:t>
      </w:r>
      <w:r>
        <w:t>oraz t</w:t>
      </w:r>
      <w:r w:rsidRPr="00A0427B">
        <w:t>ranspor</w:t>
      </w:r>
      <w:r>
        <w:t>tem</w:t>
      </w:r>
      <w:r w:rsidRPr="00A0427B">
        <w:t xml:space="preserve"> i gospodark</w:t>
      </w:r>
      <w:r>
        <w:t>ą magazynową</w:t>
      </w:r>
      <w:r w:rsidRPr="00A0427B">
        <w:t xml:space="preserve"> </w:t>
      </w:r>
      <w:r w:rsidRPr="00B67CD7">
        <w:t>(</w:t>
      </w:r>
      <w:r>
        <w:t xml:space="preserve">po </w:t>
      </w:r>
      <w:r w:rsidRPr="00B67CD7">
        <w:t xml:space="preserve">12,9%), </w:t>
      </w:r>
      <w:r>
        <w:t>a</w:t>
      </w:r>
      <w:r w:rsidRPr="00EB52DE">
        <w:t>dministrowanie</w:t>
      </w:r>
      <w:r w:rsidR="00AA7B03">
        <w:t>m i </w:t>
      </w:r>
      <w:r>
        <w:t>działalnością wspierającą</w:t>
      </w:r>
      <w:r w:rsidRPr="00B67CD7">
        <w:t xml:space="preserve"> (o </w:t>
      </w:r>
      <w:r>
        <w:t>12,2</w:t>
      </w:r>
      <w:r w:rsidRPr="00B67CD7">
        <w:t xml:space="preserve">%) oraz </w:t>
      </w:r>
      <w:r>
        <w:t>z</w:t>
      </w:r>
      <w:r w:rsidRPr="00EB52DE">
        <w:t>akwaterowanie</w:t>
      </w:r>
      <w:r>
        <w:t>m</w:t>
      </w:r>
      <w:r w:rsidRPr="00EB52DE">
        <w:t xml:space="preserve"> </w:t>
      </w:r>
      <w:r>
        <w:t>i gastronomią</w:t>
      </w:r>
      <w:r w:rsidRPr="00B67CD7">
        <w:t xml:space="preserve"> (o </w:t>
      </w:r>
      <w:r>
        <w:t>11,9</w:t>
      </w:r>
      <w:r w:rsidRPr="00B67CD7">
        <w:t>%).</w:t>
      </w:r>
    </w:p>
    <w:p w:rsidR="005928D2" w:rsidRDefault="005928D2" w:rsidP="00C6348E">
      <w:pPr>
        <w:pStyle w:val="tytuwykresu"/>
        <w:spacing w:before="360"/>
        <w:ind w:left="990" w:hanging="990"/>
        <w:rPr>
          <w:b w:val="0"/>
        </w:rPr>
      </w:pPr>
      <w:r w:rsidRPr="00316609">
        <w:t>Wykres 5</w:t>
      </w:r>
      <w:r>
        <w:t>.</w:t>
      </w:r>
      <w:r>
        <w:tab/>
      </w:r>
      <w:r w:rsidRPr="00316609">
        <w:t>Odchylenia względne przeciętnych miesięcznych wynagrodzeń brutto w sekcjach od</w:t>
      </w:r>
      <w:r>
        <w:t xml:space="preserve"> przeciętnego </w:t>
      </w:r>
      <w:r>
        <w:br/>
        <w:t xml:space="preserve">wynagrodzenia </w:t>
      </w:r>
      <w:r w:rsidRPr="00316609">
        <w:t xml:space="preserve">w sektorze przedsiębiorstw </w:t>
      </w:r>
      <w:r w:rsidR="00DE0C69">
        <w:t xml:space="preserve">w </w:t>
      </w:r>
      <w:r w:rsidR="001C3212">
        <w:t>lip</w:t>
      </w:r>
      <w:r w:rsidR="00DE0C69">
        <w:t>cu</w:t>
      </w:r>
      <w:r w:rsidRPr="00316609">
        <w:t xml:space="preserve"> </w:t>
      </w:r>
      <w:r>
        <w:t>2025 r.</w:t>
      </w:r>
      <w:r w:rsidR="008C61D3" w:rsidRPr="008C61D3">
        <w:rPr>
          <w:b w:val="0"/>
        </w:rPr>
        <w:t xml:space="preserve"> </w:t>
      </w:r>
    </w:p>
    <w:p w:rsidR="005312D7" w:rsidRDefault="005312D7" w:rsidP="00C6348E">
      <w:pPr>
        <w:pStyle w:val="tytuwykresu"/>
        <w:spacing w:before="360"/>
        <w:ind w:left="990" w:hanging="990"/>
      </w:pPr>
      <w:r w:rsidRPr="00561C51">
        <w:rPr>
          <w:noProof/>
          <w:lang w:eastAsia="pl-PL"/>
        </w:rPr>
        <w:drawing>
          <wp:anchor distT="0" distB="0" distL="114300" distR="114300" simplePos="0" relativeHeight="253032960" behindDoc="0" locked="0" layoutInCell="1" allowOverlap="1">
            <wp:simplePos x="0" y="0"/>
            <wp:positionH relativeFrom="margin">
              <wp:posOffset>1145540</wp:posOffset>
            </wp:positionH>
            <wp:positionV relativeFrom="paragraph">
              <wp:posOffset>269240</wp:posOffset>
            </wp:positionV>
            <wp:extent cx="4362450" cy="2990850"/>
            <wp:effectExtent l="0" t="0" r="0" b="0"/>
            <wp:wrapTopAndBottom/>
            <wp:docPr id="39" name="Obraz 39" descr="Wykres słupkowy dwustronny. Oś pozioma – odchylenia względne przeciętnych miesięcznych wynagrodzeń brutto w wybranych sekcjach od przeciętnego wynagrodzenia w sektorze przedsiębiorstw; wartości z przedziału od -40 do 80%. Oś pionowa – sekcje PKD; sort według wielkości odchyleń.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2450" cy="2990850"/>
                    </a:xfrm>
                    <a:prstGeom prst="rect">
                      <a:avLst/>
                    </a:prstGeom>
                    <a:noFill/>
                    <a:ln>
                      <a:noFill/>
                    </a:ln>
                  </pic:spPr>
                </pic:pic>
              </a:graphicData>
            </a:graphic>
          </wp:anchor>
        </w:drawing>
      </w:r>
      <w:r>
        <w:br w:type="page"/>
      </w:r>
    </w:p>
    <w:p w:rsidR="00296806" w:rsidRPr="00B67CD7" w:rsidRDefault="00296806" w:rsidP="00296806">
      <w:pPr>
        <w:pStyle w:val="tekst"/>
      </w:pPr>
      <w:r w:rsidRPr="00B67CD7">
        <w:lastRenderedPageBreak/>
        <w:t xml:space="preserve">Najwyższe wynagrodzenie w </w:t>
      </w:r>
      <w:r>
        <w:t>lipcu</w:t>
      </w:r>
      <w:r w:rsidRPr="00B67CD7">
        <w:t xml:space="preserve"> br. otrzymali zatrudnieni w sekcjach: informacja i komunikacja (o </w:t>
      </w:r>
      <w:r>
        <w:t>72,4</w:t>
      </w:r>
      <w:r w:rsidRPr="00B67CD7">
        <w:t xml:space="preserve">% wyższe od przeciętnego miesięcznego wynagrodzenia w sektorze przedsiębiorstw), wytwarzanie i zaopatrywanie w energię elektryczną, gaz, parę wodną i gorącą wodę (o </w:t>
      </w:r>
      <w:r>
        <w:t>43,4</w:t>
      </w:r>
      <w:r w:rsidRPr="00B67CD7">
        <w:t xml:space="preserve">% wyższe od średniej) oraz </w:t>
      </w:r>
      <w:r>
        <w:t>d</w:t>
      </w:r>
      <w:r w:rsidRPr="00A038FF">
        <w:t>ziałalność profesjonalna, naukowa i techniczna</w:t>
      </w:r>
      <w:r>
        <w:t xml:space="preserve"> (o 22,7</w:t>
      </w:r>
      <w:r w:rsidRPr="00B67CD7">
        <w:t xml:space="preserve">% wyższe od średniej). Wciąż najniższy pozostaje poziom płac w jednostkach zajmujących się zakwaterowaniem i gastronomią (o </w:t>
      </w:r>
      <w:r>
        <w:t>23,5</w:t>
      </w:r>
      <w:r w:rsidRPr="00B67CD7">
        <w:t>% poniżej przeciętnego wynagrodzenia w sektorze przedsiębiorstw).</w:t>
      </w:r>
    </w:p>
    <w:p w:rsidR="00A30DA4" w:rsidRPr="00674D67" w:rsidRDefault="00296806" w:rsidP="00296806">
      <w:pPr>
        <w:pStyle w:val="tekst"/>
      </w:pPr>
      <w:r w:rsidRPr="00B67CD7">
        <w:t>W okresie styczeń-</w:t>
      </w:r>
      <w:r>
        <w:t>lipiec</w:t>
      </w:r>
      <w:r w:rsidRPr="00B67CD7">
        <w:t xml:space="preserve"> br. przeciętne miesięczne wynagrodzenie brutto w sektorze przedsiębiorstw ukształtowało się na poziomie </w:t>
      </w:r>
      <w:r w:rsidRPr="00E24DA6">
        <w:t>7984,23</w:t>
      </w:r>
      <w:r w:rsidRPr="00B67CD7">
        <w:t xml:space="preserve"> zł, tj. o 8,</w:t>
      </w:r>
      <w:r>
        <w:t>4</w:t>
      </w:r>
      <w:r w:rsidRPr="00B67CD7">
        <w:t>% wyżej niż przed rokiem (w analogicznym okresie ub. roku roczny wzrost wynagrodzeń wyniósł 11,</w:t>
      </w:r>
      <w:r>
        <w:t>4</w:t>
      </w:r>
      <w:r w:rsidRPr="00B67CD7">
        <w:t xml:space="preserve">%). Wzrost przeciętnych wynagrodzeń odnotowano we wszystkich sekcjach sektora przedsiębiorstw, z wyjątkiem górnictwa i wydobywania, gdzie zanotowano spadek o </w:t>
      </w:r>
      <w:r>
        <w:t>4,6</w:t>
      </w:r>
      <w:r w:rsidRPr="00B67CD7">
        <w:t>%</w:t>
      </w:r>
      <w:r>
        <w:t xml:space="preserve"> oraz d</w:t>
      </w:r>
      <w:r w:rsidRPr="00B67CD7">
        <w:t>ziałalnoś</w:t>
      </w:r>
      <w:r>
        <w:t>ci profesjonalnej, naukowej i technicznej (spadek o 0,6%)</w:t>
      </w:r>
      <w:r w:rsidRPr="00B67CD7">
        <w:t>. W skali roku przeciętne wynagrodzenie najbardziej zwiększyło się w obsłudze rynku nieruchomości (o 15,</w:t>
      </w:r>
      <w:r>
        <w:t>9</w:t>
      </w:r>
      <w:r w:rsidRPr="00B67CD7">
        <w:t xml:space="preserve">%), administrowaniu i działalności wspierającej (o </w:t>
      </w:r>
      <w:r>
        <w:t>13,7</w:t>
      </w:r>
      <w:r w:rsidRPr="00B67CD7">
        <w:t xml:space="preserve">%) oraz </w:t>
      </w:r>
      <w:r>
        <w:t>b</w:t>
      </w:r>
      <w:r w:rsidRPr="00263BF2">
        <w:t>udownictw</w:t>
      </w:r>
      <w:r>
        <w:t>ie</w:t>
      </w:r>
      <w:r w:rsidRPr="00B67CD7">
        <w:t xml:space="preserve"> (o </w:t>
      </w:r>
      <w:r>
        <w:t>11,5</w:t>
      </w:r>
      <w:r w:rsidRPr="00B67CD7">
        <w:t>%).</w:t>
      </w:r>
      <w:r w:rsidR="007C2329" w:rsidRPr="00674D67">
        <w:t xml:space="preserve"> </w:t>
      </w:r>
    </w:p>
    <w:p w:rsidR="005928D2" w:rsidRDefault="005928D2" w:rsidP="005928D2">
      <w:pPr>
        <w:pStyle w:val="Nagwek1"/>
      </w:pPr>
      <w:bookmarkStart w:id="19" w:name="_Toc64884829"/>
      <w:bookmarkStart w:id="20" w:name="_Toc64884998"/>
      <w:bookmarkStart w:id="21" w:name="_Toc64891651"/>
      <w:bookmarkStart w:id="22" w:name="_Toc164413796"/>
      <w:bookmarkStart w:id="23" w:name="_Toc205383514"/>
      <w:r w:rsidRPr="00D46C9B">
        <w:t>Rolnictwo</w:t>
      </w:r>
      <w:bookmarkEnd w:id="19"/>
      <w:bookmarkEnd w:id="20"/>
      <w:bookmarkEnd w:id="21"/>
      <w:bookmarkEnd w:id="22"/>
      <w:bookmarkEnd w:id="23"/>
    </w:p>
    <w:p w:rsidR="005B6279" w:rsidRDefault="00DC1543" w:rsidP="00DC1543">
      <w:pPr>
        <w:pStyle w:val="tekst"/>
      </w:pPr>
      <w:r w:rsidRPr="00B77B44">
        <w:t>W lipcu br. średnia</w:t>
      </w:r>
      <w:r w:rsidRPr="00B77B44">
        <w:rPr>
          <w:vertAlign w:val="superscript"/>
        </w:rPr>
        <w:footnoteReference w:id="2"/>
      </w:r>
      <w:r w:rsidRPr="00B77B44">
        <w:t xml:space="preserve"> temperatura powietrza na obszarze województwa wielkopolskiego wyniosła +19,2°C, tj. o </w:t>
      </w:r>
      <w:r>
        <w:t>1,1</w:t>
      </w:r>
      <w:r w:rsidRPr="00B77B44">
        <w:t xml:space="preserve">°C mniej niż przed rokiem i o 0,2°C poniżej normy z lat 1991–2020. Maksymalne wskazania temperatury odnotowały stacje hydrologiczno-meteorologiczne w Lesznie (na poziomie +33,3°C) i Poznaniu (+33,2°C). Również w Lesznie została zarejestrowana najniższa temperatura dobowa (+6,6°C). </w:t>
      </w:r>
      <w:r w:rsidRPr="008919A3">
        <w:t xml:space="preserve">Temperatura powyżej +25°C najdłużej – przez 15 dni – utrzymywała się w </w:t>
      </w:r>
      <w:r>
        <w:t>Kaliszu i </w:t>
      </w:r>
      <w:r w:rsidRPr="008919A3">
        <w:t xml:space="preserve">Lesznie, natomiast najkrócej – 12 dni – w Pile. Średnia miesięczna suma opadów w lipcu br. wyniosła 95,9 mm, co stanowiło </w:t>
      </w:r>
      <w:r>
        <w:t>123</w:t>
      </w:r>
      <w:r w:rsidRPr="008919A3">
        <w:t xml:space="preserve">% normy </w:t>
      </w:r>
      <w:r w:rsidRPr="00402DD8">
        <w:t>wieloletniej. Największe opady obserwowano w Kaliszu (109,8 mm, tj. 142% normy) i w Pile (100,5 mm, tj. 138% normy</w:t>
      </w:r>
      <w:r w:rsidRPr="00026316">
        <w:t>), a najmniejszy</w:t>
      </w:r>
      <w:r w:rsidRPr="00135DF1">
        <w:t xml:space="preserve"> opad zanotowała stacja w Lesznie (78,5 mm, tj. 101% normy). Liczba dni z deszczem wyniosła 15 dni w Kaliszu, Lesznie i Poznaniu, a 19 w Pile.</w:t>
      </w:r>
      <w:r>
        <w:t xml:space="preserve"> </w:t>
      </w:r>
    </w:p>
    <w:p w:rsidR="00D6321E" w:rsidRPr="004E5A6A" w:rsidRDefault="004E5A6A" w:rsidP="00DC1543">
      <w:pPr>
        <w:pStyle w:val="tekst"/>
      </w:pPr>
      <w:r w:rsidRPr="004E5A6A">
        <w:t>Deszczowy i stosunkowo chłodny lipiec spowodował, że utrudniony był zbiór zbóż i rzepaku. Nieliczne korzystne okna pogodowe pod koniec miesiąca pozwoliły zebrać jęczmień ozimy z większości uprawianej powierzchni oraz dużą część areału rzepaku. Zbiór pozostałych zbóż był jednak dopiero w fazie początkowej. Zebrane ziarno cechowało się wysoką wilgotnością, często powyżej 15%-16%. Istotna część zebranego ziarna zbóż, uprawianego w celach konsumpcyjnych, nie spełniało odpowiednich parametrów i zostało przeznaczone na paszę. Ze względu na ryzyko, że przez przeciągające się złe warunki pogodowe nie uda się zebrać całości upraw, duże gospodarstwa posiadające suszarnie kontynuowały zbiór zbóż. Niekorzystne warunki meteorologiczne do przeprowadzenia żniw był za to odpowiednie dla pozostałych upraw rolnych. W lipcu bardzo dobrze wyglądały uprawy kukurydzy czy buraków, co stanowi zapowiedź wysokich plonów. Korzystna sytuacja dotyczyła również użytków zielonych. Udało się już zebrać dobry 2 pokos traw i 4 pokos lucerny. Bardzo dobrze zapowiadały się też kolejne pokosy.</w:t>
      </w:r>
    </w:p>
    <w:p w:rsidR="005B6279" w:rsidRPr="00691DA7" w:rsidRDefault="00DC1543" w:rsidP="00CC4A30">
      <w:pPr>
        <w:pStyle w:val="tekst"/>
        <w:rPr>
          <w:spacing w:val="-4"/>
        </w:rPr>
      </w:pPr>
      <w:r w:rsidRPr="00523F7E">
        <w:t xml:space="preserve">W porównaniu z poprzednim miesiącem w lipcu br. na rynku rolnym odnotowano spadek cen skupu produktów roślinnych oraz zwierzęcych, oprócz żywca </w:t>
      </w:r>
      <w:r w:rsidRPr="00250E7F">
        <w:t>wołowego. W obrocie targowiskowym obserwowano spadek cen ziarna zbóż, z wyłączeniem owsa. W stosunku do lipca ub. roku w skupie zanotowano wzrost cen większości produktów rolnych objętych obserwacją, z wyjątkiem żywca wieprzowego i ziemniaków</w:t>
      </w:r>
      <w:r>
        <w:t>. N</w:t>
      </w:r>
      <w:r w:rsidRPr="00250E7F">
        <w:t>atomiast na wolnym rynku niższe były ceny wszystkich badanych produktów, oprócz jęczmienia, którego cena utrzymała się na podobnym poziomie.</w:t>
      </w:r>
    </w:p>
    <w:p w:rsidR="005B6279" w:rsidRPr="000D200C" w:rsidRDefault="00DC1543" w:rsidP="005B6279">
      <w:pPr>
        <w:pStyle w:val="tekst"/>
        <w:rPr>
          <w:b/>
        </w:rPr>
      </w:pPr>
      <w:r w:rsidRPr="00B13BCB">
        <w:rPr>
          <w:szCs w:val="19"/>
        </w:rPr>
        <w:t xml:space="preserve">W lipcu br. </w:t>
      </w:r>
      <w:r w:rsidRPr="00B13BCB">
        <w:rPr>
          <w:b/>
          <w:bCs/>
          <w:szCs w:val="19"/>
        </w:rPr>
        <w:t xml:space="preserve">skup zbóż podstawowych </w:t>
      </w:r>
      <w:r w:rsidRPr="00B13BCB">
        <w:rPr>
          <w:szCs w:val="19"/>
        </w:rPr>
        <w:t>(z mieszankami zbożowymi bez ziarna siewnego) od producentów z terenu województwa wielkopolskiego wyniósł łącznie 68,9 tys. ton i zwiększył się w stosunku do poprz</w:t>
      </w:r>
      <w:r w:rsidR="00A86946">
        <w:rPr>
          <w:szCs w:val="19"/>
        </w:rPr>
        <w:t xml:space="preserve">edniego miesiąca – o 30,1%, natomiast w </w:t>
      </w:r>
      <w:r w:rsidRPr="00B13BCB">
        <w:rPr>
          <w:szCs w:val="19"/>
        </w:rPr>
        <w:t xml:space="preserve">ujęciu rocznym zmniejszył o ponad połowę (o 57,9%). </w:t>
      </w:r>
      <w:r w:rsidR="00A86946">
        <w:rPr>
          <w:szCs w:val="19"/>
        </w:rPr>
        <w:t>W</w:t>
      </w:r>
      <w:r w:rsidR="00A86946" w:rsidRPr="00B13BCB">
        <w:rPr>
          <w:szCs w:val="19"/>
        </w:rPr>
        <w:t xml:space="preserve"> skali miesiąca </w:t>
      </w:r>
      <w:r w:rsidR="00A86946">
        <w:rPr>
          <w:szCs w:val="19"/>
        </w:rPr>
        <w:t>p</w:t>
      </w:r>
      <w:r w:rsidRPr="00B13BCB">
        <w:rPr>
          <w:szCs w:val="19"/>
        </w:rPr>
        <w:t xml:space="preserve">odaż pszenicy była mniejsza o 26,9%, </w:t>
      </w:r>
      <w:r w:rsidR="00A86946">
        <w:rPr>
          <w:szCs w:val="19"/>
        </w:rPr>
        <w:t>zaś</w:t>
      </w:r>
      <w:r w:rsidRPr="00B13BCB">
        <w:rPr>
          <w:szCs w:val="19"/>
        </w:rPr>
        <w:t xml:space="preserve"> </w:t>
      </w:r>
      <w:r w:rsidR="00A86946" w:rsidRPr="00B13BCB">
        <w:rPr>
          <w:szCs w:val="19"/>
        </w:rPr>
        <w:t xml:space="preserve">dostawy </w:t>
      </w:r>
      <w:r w:rsidRPr="00B13BCB">
        <w:rPr>
          <w:szCs w:val="19"/>
        </w:rPr>
        <w:t xml:space="preserve">żyta </w:t>
      </w:r>
      <w:r w:rsidR="00A86946">
        <w:rPr>
          <w:szCs w:val="19"/>
        </w:rPr>
        <w:t>–</w:t>
      </w:r>
      <w:r w:rsidRPr="00B13BCB">
        <w:rPr>
          <w:szCs w:val="19"/>
        </w:rPr>
        <w:t xml:space="preserve"> większe o 62,3%. W odniesieniu do lipca ub. roku odnotowano spadek</w:t>
      </w:r>
      <w:r w:rsidR="00A86946">
        <w:rPr>
          <w:szCs w:val="19"/>
        </w:rPr>
        <w:t xml:space="preserve"> podaży zarówno pszenicy, jak i </w:t>
      </w:r>
      <w:r w:rsidRPr="00B13BCB">
        <w:rPr>
          <w:szCs w:val="19"/>
        </w:rPr>
        <w:t>żyta</w:t>
      </w:r>
      <w:r w:rsidR="00A86946">
        <w:rPr>
          <w:szCs w:val="19"/>
        </w:rPr>
        <w:t>,</w:t>
      </w:r>
      <w:r w:rsidRPr="00B13BCB">
        <w:rPr>
          <w:szCs w:val="19"/>
        </w:rPr>
        <w:t xml:space="preserve"> odpowiednio o 68,4% i o 72,8%.</w:t>
      </w:r>
    </w:p>
    <w:p w:rsidR="005B6279" w:rsidRPr="000D200C" w:rsidRDefault="001A3599" w:rsidP="005B6279">
      <w:pPr>
        <w:pStyle w:val="Tytultabeli"/>
        <w:spacing w:before="240"/>
      </w:pPr>
      <w:r>
        <w:t xml:space="preserve">Tablica </w:t>
      </w:r>
      <w:r w:rsidR="0086710D">
        <w:t>4</w:t>
      </w:r>
      <w:r w:rsidR="005B6279" w:rsidRPr="000D200C">
        <w:t>.</w:t>
      </w:r>
      <w:r w:rsidR="005B6279" w:rsidRPr="000D200C">
        <w:tab/>
        <w:t>Skup</w:t>
      </w:r>
      <w:r w:rsidR="005B6279" w:rsidRPr="000D200C">
        <w:rPr>
          <w:vertAlign w:val="superscript"/>
        </w:rPr>
        <w:t xml:space="preserve"> </w:t>
      </w:r>
      <w:r w:rsidR="005B6279" w:rsidRPr="000D200C">
        <w:rPr>
          <w:b w:val="0"/>
          <w:vertAlign w:val="superscript"/>
        </w:rPr>
        <w:t>a</w:t>
      </w:r>
      <w:r w:rsidR="005B6279" w:rsidRPr="000D200C">
        <w:t xml:space="preserve"> zbóż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lipiec br.) oraz dynamikę skupu w relacji do poprzedniego miesiąca i analogicznego okresu ub. roku. Dane do tablicy dostępne w pliku w formacie XLSX                                                                                                                                                                                                                                                                                                                                                                                                                                                                                                                                                                                                                                                                                                                                                                                                                                                                                                                                                                                                                                                                                                                                                                                                                                                                                                                                                                              "/>
      </w:tblPr>
      <w:tblGrid>
        <w:gridCol w:w="4148"/>
        <w:gridCol w:w="2113"/>
        <w:gridCol w:w="2108"/>
        <w:gridCol w:w="2110"/>
      </w:tblGrid>
      <w:tr w:rsidR="002B3124" w:rsidRPr="000D200C" w:rsidTr="002B3124">
        <w:trPr>
          <w:trHeight w:val="57"/>
          <w:jc w:val="center"/>
        </w:trPr>
        <w:tc>
          <w:tcPr>
            <w:tcW w:w="1979" w:type="pct"/>
            <w:vMerge w:val="restart"/>
            <w:tcBorders>
              <w:top w:val="nil"/>
              <w:bottom w:val="single" w:sz="4" w:space="0" w:color="522398"/>
            </w:tcBorders>
            <w:vAlign w:val="center"/>
          </w:tcPr>
          <w:p w:rsidR="002B3124" w:rsidRPr="000D200C" w:rsidRDefault="002B3124" w:rsidP="00012928">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Wyszczególnienie</w:t>
            </w:r>
          </w:p>
        </w:tc>
        <w:tc>
          <w:tcPr>
            <w:tcW w:w="3021" w:type="pct"/>
            <w:gridSpan w:val="3"/>
            <w:tcBorders>
              <w:top w:val="nil"/>
              <w:bottom w:val="single" w:sz="4" w:space="0" w:color="522398"/>
            </w:tcBorders>
            <w:vAlign w:val="center"/>
          </w:tcPr>
          <w:p w:rsidR="002B3124" w:rsidRPr="000D200C" w:rsidRDefault="002B3124" w:rsidP="002B3124">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0</w:t>
            </w:r>
            <w:r>
              <w:rPr>
                <w:rFonts w:eastAsia="Times New Roman" w:cs="Times New Roman"/>
                <w:sz w:val="16"/>
                <w:szCs w:val="18"/>
                <w:lang w:eastAsia="pl-PL"/>
              </w:rPr>
              <w:t>7</w:t>
            </w:r>
            <w:r w:rsidRPr="000D200C">
              <w:rPr>
                <w:rFonts w:eastAsia="Times New Roman" w:cs="Times New Roman"/>
                <w:sz w:val="16"/>
                <w:szCs w:val="18"/>
                <w:lang w:eastAsia="pl-PL"/>
              </w:rPr>
              <w:t xml:space="preserve"> 2025</w:t>
            </w:r>
          </w:p>
        </w:tc>
      </w:tr>
      <w:tr w:rsidR="002B3124" w:rsidRPr="000D200C" w:rsidTr="002B3124">
        <w:trPr>
          <w:trHeight w:val="57"/>
          <w:jc w:val="center"/>
        </w:trPr>
        <w:tc>
          <w:tcPr>
            <w:tcW w:w="1979" w:type="pct"/>
            <w:vMerge/>
            <w:tcBorders>
              <w:top w:val="single" w:sz="4" w:space="0" w:color="522398"/>
              <w:bottom w:val="single" w:sz="12" w:space="0" w:color="522398"/>
            </w:tcBorders>
            <w:vAlign w:val="center"/>
          </w:tcPr>
          <w:p w:rsidR="002B3124" w:rsidRPr="000D200C" w:rsidRDefault="002B3124" w:rsidP="00012928">
            <w:pPr>
              <w:spacing w:before="0" w:after="0"/>
              <w:jc w:val="center"/>
              <w:rPr>
                <w:rFonts w:eastAsia="Times New Roman" w:cs="Times New Roman"/>
                <w:sz w:val="16"/>
                <w:szCs w:val="18"/>
                <w:lang w:eastAsia="pl-PL"/>
              </w:rPr>
            </w:pPr>
          </w:p>
        </w:tc>
        <w:tc>
          <w:tcPr>
            <w:tcW w:w="1008" w:type="pct"/>
            <w:tcBorders>
              <w:top w:val="single" w:sz="4" w:space="0" w:color="522398"/>
              <w:bottom w:val="single" w:sz="12" w:space="0" w:color="522398"/>
            </w:tcBorders>
            <w:vAlign w:val="center"/>
          </w:tcPr>
          <w:p w:rsidR="002B3124" w:rsidRPr="000D200C" w:rsidRDefault="002B3124" w:rsidP="00012928">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w tys. t</w:t>
            </w:r>
          </w:p>
        </w:tc>
        <w:tc>
          <w:tcPr>
            <w:tcW w:w="1006" w:type="pct"/>
            <w:tcBorders>
              <w:top w:val="single" w:sz="4" w:space="0" w:color="522398"/>
              <w:bottom w:val="single" w:sz="12" w:space="0" w:color="522398"/>
            </w:tcBorders>
            <w:vAlign w:val="center"/>
          </w:tcPr>
          <w:p w:rsidR="002B3124" w:rsidRPr="000D200C" w:rsidRDefault="002B3124" w:rsidP="002B3124">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Pr="000D200C">
              <w:rPr>
                <w:rFonts w:eastAsia="Times New Roman" w:cs="Times New Roman"/>
                <w:sz w:val="16"/>
                <w:szCs w:val="18"/>
                <w:lang w:eastAsia="pl-PL"/>
              </w:rPr>
              <w:t xml:space="preserve"> 2024=100</w:t>
            </w:r>
          </w:p>
        </w:tc>
        <w:tc>
          <w:tcPr>
            <w:tcW w:w="1007" w:type="pct"/>
            <w:tcBorders>
              <w:top w:val="single" w:sz="4" w:space="0" w:color="522398"/>
              <w:bottom w:val="single" w:sz="12" w:space="0" w:color="522398"/>
            </w:tcBorders>
            <w:vAlign w:val="center"/>
          </w:tcPr>
          <w:p w:rsidR="002B3124" w:rsidRPr="000D200C" w:rsidRDefault="002B3124" w:rsidP="002B3124">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0</w:t>
            </w:r>
            <w:r>
              <w:rPr>
                <w:rFonts w:eastAsia="Times New Roman" w:cs="Times New Roman"/>
                <w:sz w:val="16"/>
                <w:szCs w:val="18"/>
                <w:lang w:eastAsia="pl-PL"/>
              </w:rPr>
              <w:t>6</w:t>
            </w:r>
            <w:r w:rsidRPr="000D200C">
              <w:rPr>
                <w:rFonts w:eastAsia="Times New Roman" w:cs="Times New Roman"/>
                <w:sz w:val="16"/>
                <w:szCs w:val="18"/>
                <w:lang w:eastAsia="pl-PL"/>
              </w:rPr>
              <w:t xml:space="preserve"> 2025=100</w:t>
            </w:r>
          </w:p>
        </w:tc>
      </w:tr>
      <w:tr w:rsidR="00DC1543" w:rsidRPr="000D200C" w:rsidTr="002B3124">
        <w:trPr>
          <w:trHeight w:val="57"/>
          <w:jc w:val="center"/>
        </w:trPr>
        <w:tc>
          <w:tcPr>
            <w:tcW w:w="1979" w:type="pct"/>
            <w:tcBorders>
              <w:top w:val="single" w:sz="12" w:space="0" w:color="522398"/>
              <w:bottom w:val="single" w:sz="4" w:space="0" w:color="522398"/>
            </w:tcBorders>
            <w:vAlign w:val="center"/>
          </w:tcPr>
          <w:p w:rsidR="00DC1543" w:rsidRPr="000D200C" w:rsidRDefault="00DC1543" w:rsidP="00DC1543">
            <w:pPr>
              <w:tabs>
                <w:tab w:val="left" w:pos="5103"/>
              </w:tabs>
              <w:spacing w:before="0" w:after="0"/>
              <w:ind w:right="57"/>
              <w:rPr>
                <w:rFonts w:eastAsia="Times New Roman" w:cs="Times New Roman"/>
                <w:sz w:val="16"/>
                <w:szCs w:val="16"/>
                <w:lang w:eastAsia="pl-PL"/>
              </w:rPr>
            </w:pPr>
            <w:r w:rsidRPr="000D200C">
              <w:rPr>
                <w:rFonts w:eastAsia="Times New Roman" w:cs="Times New Roman"/>
                <w:sz w:val="16"/>
                <w:szCs w:val="16"/>
                <w:lang w:eastAsia="pl-PL"/>
              </w:rPr>
              <w:t>Ziarno zbóż podstawowych</w:t>
            </w:r>
            <w:r w:rsidRPr="000D200C">
              <w:rPr>
                <w:rFonts w:eastAsia="Times New Roman" w:cs="Times New Roman"/>
                <w:sz w:val="16"/>
                <w:szCs w:val="16"/>
                <w:vertAlign w:val="superscript"/>
                <w:lang w:eastAsia="pl-PL"/>
              </w:rPr>
              <w:t xml:space="preserve"> b</w:t>
            </w:r>
          </w:p>
        </w:tc>
        <w:tc>
          <w:tcPr>
            <w:tcW w:w="1008" w:type="pct"/>
            <w:tcBorders>
              <w:top w:val="single" w:sz="12" w:space="0" w:color="522398"/>
              <w:bottom w:val="single" w:sz="4" w:space="0" w:color="522398"/>
            </w:tcBorders>
            <w:vAlign w:val="center"/>
          </w:tcPr>
          <w:p w:rsidR="00DC1543" w:rsidRPr="00907E4E" w:rsidRDefault="00DC1543" w:rsidP="00DC1543">
            <w:pPr>
              <w:pStyle w:val="tableteksttab"/>
            </w:pPr>
            <w:r w:rsidRPr="00B13BCB">
              <w:t>68,9</w:t>
            </w:r>
          </w:p>
        </w:tc>
        <w:tc>
          <w:tcPr>
            <w:tcW w:w="1006" w:type="pct"/>
            <w:tcBorders>
              <w:top w:val="single" w:sz="12" w:space="0" w:color="522398"/>
              <w:bottom w:val="single" w:sz="4" w:space="0" w:color="522398"/>
            </w:tcBorders>
            <w:vAlign w:val="center"/>
          </w:tcPr>
          <w:p w:rsidR="00DC1543" w:rsidRPr="00907E4E" w:rsidRDefault="00DC1543" w:rsidP="00DC1543">
            <w:pPr>
              <w:pStyle w:val="tableteksttab"/>
            </w:pPr>
            <w:r w:rsidRPr="00B13BCB">
              <w:t>42,1</w:t>
            </w:r>
          </w:p>
        </w:tc>
        <w:tc>
          <w:tcPr>
            <w:tcW w:w="1007" w:type="pct"/>
            <w:tcBorders>
              <w:top w:val="single" w:sz="12" w:space="0" w:color="522398"/>
              <w:bottom w:val="single" w:sz="4" w:space="0" w:color="522398"/>
            </w:tcBorders>
            <w:vAlign w:val="center"/>
          </w:tcPr>
          <w:p w:rsidR="00DC1543" w:rsidRPr="00907E4E" w:rsidRDefault="00DC1543" w:rsidP="00DC1543">
            <w:pPr>
              <w:pStyle w:val="tableteksttab"/>
            </w:pPr>
            <w:r w:rsidRPr="00B13BCB">
              <w:t>130,1</w:t>
            </w:r>
          </w:p>
        </w:tc>
      </w:tr>
      <w:tr w:rsidR="00DC1543" w:rsidRPr="000D200C" w:rsidTr="002B3124">
        <w:trPr>
          <w:trHeight w:val="57"/>
          <w:jc w:val="center"/>
        </w:trPr>
        <w:tc>
          <w:tcPr>
            <w:tcW w:w="1979" w:type="pct"/>
            <w:tcBorders>
              <w:top w:val="single" w:sz="4" w:space="0" w:color="522398"/>
            </w:tcBorders>
            <w:vAlign w:val="center"/>
          </w:tcPr>
          <w:p w:rsidR="00DC1543" w:rsidRPr="000D200C" w:rsidRDefault="00DC1543" w:rsidP="00DC1543">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ab/>
              <w:t>w tym:</w:t>
            </w:r>
          </w:p>
        </w:tc>
        <w:tc>
          <w:tcPr>
            <w:tcW w:w="1008" w:type="pct"/>
            <w:tcBorders>
              <w:top w:val="single" w:sz="4" w:space="0" w:color="522398"/>
            </w:tcBorders>
            <w:vAlign w:val="center"/>
          </w:tcPr>
          <w:p w:rsidR="00DC1543" w:rsidRPr="00907E4E" w:rsidRDefault="00DC1543" w:rsidP="00DC1543">
            <w:pPr>
              <w:pStyle w:val="tableteksttab"/>
            </w:pPr>
          </w:p>
        </w:tc>
        <w:tc>
          <w:tcPr>
            <w:tcW w:w="1006" w:type="pct"/>
            <w:tcBorders>
              <w:top w:val="single" w:sz="4" w:space="0" w:color="522398"/>
            </w:tcBorders>
            <w:vAlign w:val="center"/>
          </w:tcPr>
          <w:p w:rsidR="00DC1543" w:rsidRPr="00907E4E" w:rsidRDefault="00DC1543" w:rsidP="00DC1543">
            <w:pPr>
              <w:pStyle w:val="tableteksttab"/>
            </w:pPr>
          </w:p>
        </w:tc>
        <w:tc>
          <w:tcPr>
            <w:tcW w:w="1007" w:type="pct"/>
            <w:tcBorders>
              <w:top w:val="single" w:sz="4" w:space="0" w:color="522398"/>
            </w:tcBorders>
            <w:vAlign w:val="center"/>
          </w:tcPr>
          <w:p w:rsidR="00DC1543" w:rsidRPr="00907E4E" w:rsidRDefault="00DC1543" w:rsidP="00DC1543">
            <w:pPr>
              <w:pStyle w:val="tableteksttab"/>
            </w:pPr>
          </w:p>
        </w:tc>
      </w:tr>
      <w:tr w:rsidR="00DC1543" w:rsidRPr="000D200C" w:rsidTr="002B3124">
        <w:trPr>
          <w:trHeight w:val="57"/>
          <w:jc w:val="center"/>
        </w:trPr>
        <w:tc>
          <w:tcPr>
            <w:tcW w:w="1979" w:type="pct"/>
            <w:tcBorders>
              <w:bottom w:val="single" w:sz="4" w:space="0" w:color="522398"/>
            </w:tcBorders>
            <w:vAlign w:val="center"/>
          </w:tcPr>
          <w:p w:rsidR="00DC1543" w:rsidRPr="000D200C" w:rsidRDefault="00DC1543" w:rsidP="00DC1543">
            <w:pPr>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 xml:space="preserve">pszenica </w:t>
            </w:r>
            <w:r w:rsidRPr="000D200C">
              <w:rPr>
                <w:rFonts w:eastAsia="Times New Roman" w:cs="Times New Roman"/>
                <w:sz w:val="16"/>
                <w:szCs w:val="16"/>
                <w:lang w:eastAsia="pl-PL"/>
              </w:rPr>
              <w:tab/>
            </w:r>
          </w:p>
        </w:tc>
        <w:tc>
          <w:tcPr>
            <w:tcW w:w="1008" w:type="pct"/>
            <w:tcBorders>
              <w:bottom w:val="single" w:sz="4" w:space="0" w:color="522398"/>
            </w:tcBorders>
            <w:vAlign w:val="center"/>
          </w:tcPr>
          <w:p w:rsidR="00DC1543" w:rsidRPr="00907E4E" w:rsidRDefault="00DC1543" w:rsidP="00DC1543">
            <w:pPr>
              <w:pStyle w:val="tableteksttab"/>
            </w:pPr>
            <w:r w:rsidRPr="00B13BCB">
              <w:t>28,5</w:t>
            </w:r>
          </w:p>
        </w:tc>
        <w:tc>
          <w:tcPr>
            <w:tcW w:w="1006" w:type="pct"/>
            <w:tcBorders>
              <w:bottom w:val="single" w:sz="4" w:space="0" w:color="522398"/>
            </w:tcBorders>
            <w:vAlign w:val="center"/>
          </w:tcPr>
          <w:p w:rsidR="00DC1543" w:rsidRPr="00907E4E" w:rsidRDefault="00DC1543" w:rsidP="00DC1543">
            <w:pPr>
              <w:pStyle w:val="tableteksttab"/>
            </w:pPr>
            <w:r w:rsidRPr="00B13BCB">
              <w:t>31,6</w:t>
            </w:r>
          </w:p>
        </w:tc>
        <w:tc>
          <w:tcPr>
            <w:tcW w:w="1007" w:type="pct"/>
            <w:tcBorders>
              <w:bottom w:val="single" w:sz="4" w:space="0" w:color="522398"/>
            </w:tcBorders>
            <w:vAlign w:val="center"/>
          </w:tcPr>
          <w:p w:rsidR="00DC1543" w:rsidRPr="00907E4E" w:rsidRDefault="00DC1543" w:rsidP="00DC1543">
            <w:pPr>
              <w:pStyle w:val="tableteksttab"/>
            </w:pPr>
            <w:r w:rsidRPr="00B13BCB">
              <w:t>73,1</w:t>
            </w:r>
          </w:p>
        </w:tc>
      </w:tr>
      <w:tr w:rsidR="00DC1543" w:rsidRPr="000D200C" w:rsidTr="002B3124">
        <w:trPr>
          <w:trHeight w:val="19"/>
          <w:jc w:val="center"/>
        </w:trPr>
        <w:tc>
          <w:tcPr>
            <w:tcW w:w="1979" w:type="pct"/>
            <w:tcBorders>
              <w:top w:val="single" w:sz="4" w:space="0" w:color="522398"/>
              <w:bottom w:val="nil"/>
            </w:tcBorders>
            <w:vAlign w:val="center"/>
          </w:tcPr>
          <w:p w:rsidR="00DC1543" w:rsidRPr="000D200C" w:rsidRDefault="00DC1543" w:rsidP="00DC1543">
            <w:pPr>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żyto</w:t>
            </w:r>
            <w:r w:rsidRPr="000D200C">
              <w:rPr>
                <w:rFonts w:eastAsia="Times New Roman" w:cs="Times New Roman"/>
                <w:sz w:val="16"/>
                <w:szCs w:val="16"/>
                <w:lang w:eastAsia="pl-PL"/>
              </w:rPr>
              <w:tab/>
            </w:r>
          </w:p>
        </w:tc>
        <w:tc>
          <w:tcPr>
            <w:tcW w:w="1008" w:type="pct"/>
            <w:tcBorders>
              <w:top w:val="single" w:sz="4" w:space="0" w:color="522398"/>
              <w:bottom w:val="nil"/>
            </w:tcBorders>
            <w:vAlign w:val="center"/>
          </w:tcPr>
          <w:p w:rsidR="00DC1543" w:rsidRPr="00907E4E" w:rsidRDefault="00DC1543" w:rsidP="00DC1543">
            <w:pPr>
              <w:pStyle w:val="tableteksttab"/>
            </w:pPr>
            <w:r w:rsidRPr="00B13BCB">
              <w:t>5,0</w:t>
            </w:r>
          </w:p>
        </w:tc>
        <w:tc>
          <w:tcPr>
            <w:tcW w:w="1006" w:type="pct"/>
            <w:tcBorders>
              <w:top w:val="single" w:sz="4" w:space="0" w:color="522398"/>
              <w:bottom w:val="nil"/>
            </w:tcBorders>
            <w:vAlign w:val="center"/>
          </w:tcPr>
          <w:p w:rsidR="00DC1543" w:rsidRPr="00907E4E" w:rsidRDefault="00DC1543" w:rsidP="00DC1543">
            <w:pPr>
              <w:pStyle w:val="tableteksttab"/>
            </w:pPr>
            <w:r w:rsidRPr="00B13BCB">
              <w:t>27,2</w:t>
            </w:r>
          </w:p>
        </w:tc>
        <w:tc>
          <w:tcPr>
            <w:tcW w:w="1007" w:type="pct"/>
            <w:tcBorders>
              <w:top w:val="single" w:sz="4" w:space="0" w:color="522398"/>
              <w:bottom w:val="nil"/>
            </w:tcBorders>
            <w:vAlign w:val="center"/>
          </w:tcPr>
          <w:p w:rsidR="00DC1543" w:rsidRPr="00907E4E" w:rsidRDefault="00DC1543" w:rsidP="00DC1543">
            <w:pPr>
              <w:pStyle w:val="tableteksttab"/>
            </w:pPr>
            <w:r w:rsidRPr="00B13BCB">
              <w:t>162,3</w:t>
            </w:r>
          </w:p>
        </w:tc>
      </w:tr>
    </w:tbl>
    <w:p w:rsidR="005B6279" w:rsidRPr="000D200C" w:rsidRDefault="002238C5" w:rsidP="00EB4501">
      <w:pPr>
        <w:pStyle w:val="notka"/>
      </w:pPr>
      <w:r>
        <w:t xml:space="preserve">a </w:t>
      </w:r>
      <w:r w:rsidR="002B3124">
        <w:t>B</w:t>
      </w:r>
      <w:r w:rsidR="005B6279" w:rsidRPr="000D200C">
        <w:t>ez skupu realizowanego przez osoby fizyczne. b Obejmuje: pszenicę, żyto, jęczmień, owies, pszenżyto; łącznie z mieszankami zbożowymi; bez ziarna siewnego.</w:t>
      </w:r>
    </w:p>
    <w:p w:rsidR="00907E4E" w:rsidRDefault="00907E4E" w:rsidP="006F610E">
      <w:pPr>
        <w:pStyle w:val="tekst"/>
        <w:spacing w:before="240"/>
      </w:pPr>
      <w:r>
        <w:br w:type="page"/>
      </w:r>
    </w:p>
    <w:p w:rsidR="005B6279" w:rsidRPr="008814B1" w:rsidRDefault="00F50F17" w:rsidP="006F610E">
      <w:pPr>
        <w:pStyle w:val="tekst"/>
        <w:spacing w:before="240"/>
      </w:pPr>
      <w:r w:rsidRPr="00365B18">
        <w:rPr>
          <w:spacing w:val="-4"/>
        </w:rPr>
        <w:lastRenderedPageBreak/>
        <w:t xml:space="preserve">W okresie styczeń-lipiec br. producenci z województwa dostarczyli do </w:t>
      </w:r>
      <w:r w:rsidRPr="00365B18">
        <w:rPr>
          <w:b/>
          <w:spacing w:val="-4"/>
        </w:rPr>
        <w:t>skupu</w:t>
      </w:r>
      <w:r w:rsidRPr="00365B18">
        <w:rPr>
          <w:spacing w:val="-4"/>
        </w:rPr>
        <w:t xml:space="preserve"> łącznie 4</w:t>
      </w:r>
      <w:r w:rsidR="00365B18" w:rsidRPr="00365B18">
        <w:rPr>
          <w:spacing w:val="-4"/>
        </w:rPr>
        <w:t>18,8</w:t>
      </w:r>
      <w:r w:rsidRPr="00365B18">
        <w:rPr>
          <w:spacing w:val="-4"/>
        </w:rPr>
        <w:t xml:space="preserve"> tys. ton </w:t>
      </w:r>
      <w:r w:rsidRPr="00365B18">
        <w:rPr>
          <w:b/>
          <w:spacing w:val="-4"/>
        </w:rPr>
        <w:t>żywca rzeźnego</w:t>
      </w:r>
      <w:r w:rsidRPr="00365B18">
        <w:rPr>
          <w:spacing w:val="-4"/>
        </w:rPr>
        <w:t xml:space="preserve"> (</w:t>
      </w:r>
      <w:r w:rsidR="00365B18" w:rsidRPr="00365B18">
        <w:t xml:space="preserve">w przeliczeniu na mięso </w:t>
      </w:r>
      <w:r w:rsidRPr="00365B18">
        <w:rPr>
          <w:spacing w:val="-4"/>
        </w:rPr>
        <w:t xml:space="preserve">w wadze poubojowej ciepłej), tj. o </w:t>
      </w:r>
      <w:r w:rsidR="00365B18" w:rsidRPr="00365B18">
        <w:rPr>
          <w:spacing w:val="-4"/>
        </w:rPr>
        <w:t>15,9</w:t>
      </w:r>
      <w:r w:rsidRPr="00365B18">
        <w:rPr>
          <w:spacing w:val="-4"/>
        </w:rPr>
        <w:t xml:space="preserve">% mniej niż w analogicznym okresie ub. roku. Skup </w:t>
      </w:r>
      <w:r w:rsidRPr="00365B18">
        <w:rPr>
          <w:b/>
          <w:spacing w:val="-4"/>
        </w:rPr>
        <w:t xml:space="preserve">żywca </w:t>
      </w:r>
      <w:r w:rsidR="00365B18" w:rsidRPr="00365B18">
        <w:rPr>
          <w:b/>
          <w:spacing w:val="-4"/>
        </w:rPr>
        <w:t>wołowego</w:t>
      </w:r>
      <w:r w:rsidR="00365B18" w:rsidRPr="00365B18">
        <w:rPr>
          <w:spacing w:val="-4"/>
        </w:rPr>
        <w:t xml:space="preserve"> (z cielęcym) </w:t>
      </w:r>
      <w:r w:rsidRPr="00365B18">
        <w:rPr>
          <w:spacing w:val="-4"/>
        </w:rPr>
        <w:t>zmniejszył się w tym czasie o 2</w:t>
      </w:r>
      <w:r w:rsidR="00365B18" w:rsidRPr="00365B18">
        <w:rPr>
          <w:spacing w:val="-4"/>
        </w:rPr>
        <w:t>9,7</w:t>
      </w:r>
      <w:r w:rsidRPr="00365B18">
        <w:rPr>
          <w:spacing w:val="-4"/>
        </w:rPr>
        <w:t xml:space="preserve">%, </w:t>
      </w:r>
      <w:r w:rsidRPr="00365B18">
        <w:rPr>
          <w:b/>
          <w:spacing w:val="-4"/>
        </w:rPr>
        <w:t xml:space="preserve">żywca </w:t>
      </w:r>
      <w:r w:rsidR="00365B18" w:rsidRPr="00365B18">
        <w:rPr>
          <w:b/>
          <w:spacing w:val="-4"/>
        </w:rPr>
        <w:t>wieprzowego</w:t>
      </w:r>
      <w:r w:rsidR="00365B18" w:rsidRPr="00365B18">
        <w:rPr>
          <w:spacing w:val="-4"/>
        </w:rPr>
        <w:t xml:space="preserve"> – </w:t>
      </w:r>
      <w:r w:rsidRPr="00365B18">
        <w:rPr>
          <w:spacing w:val="-4"/>
        </w:rPr>
        <w:t>o 14,</w:t>
      </w:r>
      <w:r w:rsidR="00365B18" w:rsidRPr="00365B18">
        <w:rPr>
          <w:spacing w:val="-4"/>
        </w:rPr>
        <w:t>8</w:t>
      </w:r>
      <w:r w:rsidRPr="00365B18">
        <w:rPr>
          <w:spacing w:val="-4"/>
        </w:rPr>
        <w:t xml:space="preserve">%, </w:t>
      </w:r>
      <w:r w:rsidR="00365B18" w:rsidRPr="00365B18">
        <w:rPr>
          <w:spacing w:val="-4"/>
        </w:rPr>
        <w:t>a</w:t>
      </w:r>
      <w:r w:rsidRPr="00365B18">
        <w:rPr>
          <w:spacing w:val="-4"/>
        </w:rPr>
        <w:t xml:space="preserve"> podaż </w:t>
      </w:r>
      <w:r w:rsidRPr="00365B18">
        <w:rPr>
          <w:b/>
          <w:spacing w:val="-4"/>
        </w:rPr>
        <w:t xml:space="preserve">drobiu rzeźnego </w:t>
      </w:r>
      <w:r w:rsidR="00365B18" w:rsidRPr="00365B18">
        <w:rPr>
          <w:spacing w:val="-4"/>
        </w:rPr>
        <w:t>–</w:t>
      </w:r>
      <w:r w:rsidRPr="00365B18">
        <w:rPr>
          <w:spacing w:val="-4"/>
        </w:rPr>
        <w:t xml:space="preserve"> o </w:t>
      </w:r>
      <w:r w:rsidR="00365B18" w:rsidRPr="00365B18">
        <w:rPr>
          <w:spacing w:val="-4"/>
        </w:rPr>
        <w:t>13,3</w:t>
      </w:r>
      <w:r w:rsidRPr="00365B18">
        <w:rPr>
          <w:spacing w:val="-4"/>
        </w:rPr>
        <w:t>%.</w:t>
      </w:r>
    </w:p>
    <w:p w:rsidR="005B6279" w:rsidRPr="000D200C" w:rsidRDefault="005B6279" w:rsidP="005B6279">
      <w:pPr>
        <w:pStyle w:val="Tytultabeli"/>
        <w:spacing w:before="240"/>
      </w:pPr>
      <w:r w:rsidRPr="000D200C">
        <w:t xml:space="preserve">Tablica </w:t>
      </w:r>
      <w:r w:rsidR="0086710D">
        <w:t>5</w:t>
      </w:r>
      <w:r w:rsidRPr="000D200C">
        <w:t>.</w:t>
      </w:r>
      <w:r w:rsidRPr="000D200C">
        <w:tab/>
        <w:t>Skup</w:t>
      </w:r>
      <w:r w:rsidRPr="000D200C">
        <w:rPr>
          <w:vertAlign w:val="superscript"/>
        </w:rPr>
        <w:t xml:space="preserve"> </w:t>
      </w:r>
      <w:r w:rsidRPr="000D200C">
        <w:rPr>
          <w:b w:val="0"/>
          <w:vertAlign w:val="superscript"/>
        </w:rPr>
        <w:t>a</w:t>
      </w:r>
      <w:r w:rsidRPr="000D200C">
        <w:t xml:space="preserve"> podstawowych produktów zwierzęcych </w:t>
      </w:r>
    </w:p>
    <w:tbl>
      <w:tblPr>
        <w:tblW w:w="0" w:type="auto"/>
        <w:tblBorders>
          <w:insideH w:val="single" w:sz="4" w:space="0" w:color="522398"/>
          <w:insideV w:val="single" w:sz="4" w:space="0" w:color="522398"/>
        </w:tblBorders>
        <w:tblLayout w:type="fixed"/>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lipiec br.) i w okresie narastającym (styczeń-lipiec br.), a także dynamikę skupu w stosunku do poprzedniego miesiąca i analogicznych okresów ub. roku. Dane do tablicy dostępne w pliku w formacie XLSX"/>
      </w:tblPr>
      <w:tblGrid>
        <w:gridCol w:w="2749"/>
        <w:gridCol w:w="1546"/>
        <w:gridCol w:w="1546"/>
        <w:gridCol w:w="1546"/>
        <w:gridCol w:w="1546"/>
        <w:gridCol w:w="1546"/>
      </w:tblGrid>
      <w:tr w:rsidR="005B6279" w:rsidRPr="000D200C" w:rsidTr="00012928">
        <w:trPr>
          <w:trHeight w:val="57"/>
          <w:tblHeader/>
        </w:trPr>
        <w:tc>
          <w:tcPr>
            <w:tcW w:w="2749" w:type="dxa"/>
            <w:vMerge w:val="restart"/>
            <w:tcBorders>
              <w:top w:val="nil"/>
              <w:bottom w:val="single" w:sz="4" w:space="0" w:color="522398"/>
            </w:tcBorders>
            <w:shd w:val="clear" w:color="auto" w:fill="auto"/>
            <w:vAlign w:val="center"/>
          </w:tcPr>
          <w:p w:rsidR="005B6279" w:rsidRPr="000D200C" w:rsidRDefault="005B6279" w:rsidP="00012928">
            <w:pPr>
              <w:spacing w:before="0" w:after="0" w:line="220" w:lineRule="exact"/>
              <w:jc w:val="center"/>
              <w:rPr>
                <w:rFonts w:eastAsia="Times New Roman" w:cs="Times New Roman"/>
                <w:spacing w:val="-2"/>
                <w:sz w:val="16"/>
                <w:szCs w:val="18"/>
                <w:lang w:eastAsia="pl-PL"/>
              </w:rPr>
            </w:pPr>
            <w:r w:rsidRPr="000D200C">
              <w:rPr>
                <w:rFonts w:eastAsia="Times New Roman" w:cs="Times New Roman"/>
                <w:sz w:val="16"/>
                <w:szCs w:val="18"/>
                <w:lang w:eastAsia="pl-PL"/>
              </w:rPr>
              <w:t>Wyszczególnienie</w:t>
            </w:r>
          </w:p>
        </w:tc>
        <w:tc>
          <w:tcPr>
            <w:tcW w:w="3092" w:type="dxa"/>
            <w:gridSpan w:val="2"/>
            <w:tcBorders>
              <w:top w:val="nil"/>
              <w:bottom w:val="single" w:sz="4" w:space="0" w:color="522398"/>
            </w:tcBorders>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2025</w:t>
            </w:r>
          </w:p>
        </w:tc>
        <w:tc>
          <w:tcPr>
            <w:tcW w:w="4638" w:type="dxa"/>
            <w:gridSpan w:val="3"/>
            <w:tcBorders>
              <w:top w:val="nil"/>
              <w:bottom w:val="single" w:sz="4" w:space="0" w:color="522398"/>
            </w:tcBorders>
            <w:shd w:val="clear" w:color="auto" w:fill="auto"/>
            <w:vAlign w:val="center"/>
          </w:tcPr>
          <w:p w:rsidR="005B6279" w:rsidRPr="000D200C" w:rsidRDefault="005B6279" w:rsidP="002B3124">
            <w:pPr>
              <w:spacing w:before="0" w:after="0" w:line="220" w:lineRule="exact"/>
              <w:jc w:val="center"/>
              <w:rPr>
                <w:rFonts w:eastAsia="Times New Roman" w:cs="Times New Roman"/>
                <w:spacing w:val="-2"/>
                <w:sz w:val="16"/>
                <w:szCs w:val="18"/>
                <w:lang w:eastAsia="pl-PL"/>
              </w:rPr>
            </w:pPr>
            <w:r w:rsidRPr="000D200C">
              <w:rPr>
                <w:rFonts w:eastAsia="Times New Roman" w:cs="Times New Roman"/>
                <w:sz w:val="16"/>
                <w:szCs w:val="18"/>
                <w:lang w:eastAsia="pl-PL"/>
              </w:rPr>
              <w:t>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2025</w:t>
            </w:r>
          </w:p>
        </w:tc>
      </w:tr>
      <w:tr w:rsidR="005B6279" w:rsidRPr="000D200C" w:rsidTr="00012928">
        <w:trPr>
          <w:trHeight w:val="57"/>
          <w:tblHeader/>
        </w:trPr>
        <w:tc>
          <w:tcPr>
            <w:tcW w:w="2749" w:type="dxa"/>
            <w:vMerge/>
            <w:tcBorders>
              <w:top w:val="single" w:sz="4" w:space="0" w:color="522398"/>
              <w:bottom w:val="single" w:sz="12" w:space="0" w:color="522398"/>
            </w:tcBorders>
            <w:shd w:val="clear" w:color="auto" w:fill="auto"/>
          </w:tcPr>
          <w:p w:rsidR="005B6279" w:rsidRPr="000D200C" w:rsidRDefault="005B6279" w:rsidP="00012928">
            <w:pPr>
              <w:spacing w:before="0" w:after="0" w:line="220" w:lineRule="exact"/>
              <w:jc w:val="center"/>
              <w:rPr>
                <w:rFonts w:eastAsia="Times New Roman" w:cs="Times New Roman"/>
                <w:sz w:val="16"/>
                <w:szCs w:val="18"/>
                <w:lang w:eastAsia="pl-PL"/>
              </w:rPr>
            </w:pPr>
          </w:p>
        </w:tc>
        <w:tc>
          <w:tcPr>
            <w:tcW w:w="1546" w:type="dxa"/>
            <w:tcBorders>
              <w:top w:val="single" w:sz="4" w:space="0" w:color="522398"/>
              <w:bottom w:val="single" w:sz="12" w:space="0" w:color="522398"/>
            </w:tcBorders>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tys. t</w:t>
            </w:r>
          </w:p>
        </w:tc>
        <w:tc>
          <w:tcPr>
            <w:tcW w:w="1546" w:type="dxa"/>
            <w:tcBorders>
              <w:top w:val="single" w:sz="4" w:space="0" w:color="522398"/>
              <w:bottom w:val="single" w:sz="12" w:space="0" w:color="522398"/>
            </w:tcBorders>
          </w:tcPr>
          <w:p w:rsidR="005B6279" w:rsidRPr="000D200C" w:rsidRDefault="002238C5" w:rsidP="002B3124">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01–0</w:t>
            </w:r>
            <w:r w:rsidR="002B3124">
              <w:rPr>
                <w:rFonts w:eastAsia="Times New Roman" w:cs="Times New Roman"/>
                <w:sz w:val="16"/>
                <w:szCs w:val="18"/>
                <w:lang w:eastAsia="pl-PL"/>
              </w:rPr>
              <w:t>7</w:t>
            </w:r>
            <w:r w:rsidR="005B6279" w:rsidRPr="000D200C">
              <w:rPr>
                <w:rFonts w:eastAsia="Times New Roman" w:cs="Times New Roman"/>
                <w:sz w:val="16"/>
                <w:szCs w:val="18"/>
                <w:lang w:eastAsia="pl-PL"/>
              </w:rPr>
              <w:t xml:space="preserve"> 2024=100</w:t>
            </w:r>
          </w:p>
        </w:tc>
        <w:tc>
          <w:tcPr>
            <w:tcW w:w="1546" w:type="dxa"/>
            <w:tcBorders>
              <w:top w:val="single" w:sz="4" w:space="0" w:color="522398"/>
              <w:bottom w:val="single" w:sz="12" w:space="0" w:color="522398"/>
            </w:tcBorders>
            <w:shd w:val="clear" w:color="auto" w:fill="auto"/>
            <w:vAlign w:val="center"/>
          </w:tcPr>
          <w:p w:rsidR="005B6279" w:rsidRPr="000D200C" w:rsidRDefault="005B6279" w:rsidP="00012928">
            <w:pPr>
              <w:spacing w:before="0" w:after="0" w:line="220" w:lineRule="exact"/>
              <w:jc w:val="center"/>
              <w:rPr>
                <w:rFonts w:eastAsia="Times New Roman" w:cs="Times New Roman"/>
                <w:spacing w:val="-2"/>
                <w:sz w:val="16"/>
                <w:szCs w:val="18"/>
                <w:lang w:eastAsia="pl-PL"/>
              </w:rPr>
            </w:pPr>
            <w:r w:rsidRPr="000D200C">
              <w:rPr>
                <w:rFonts w:eastAsia="Times New Roman" w:cs="Times New Roman"/>
                <w:sz w:val="16"/>
                <w:szCs w:val="18"/>
                <w:lang w:eastAsia="pl-PL"/>
              </w:rPr>
              <w:t>w tys. t</w:t>
            </w:r>
          </w:p>
        </w:tc>
        <w:tc>
          <w:tcPr>
            <w:tcW w:w="1546" w:type="dxa"/>
            <w:tcBorders>
              <w:top w:val="single" w:sz="4" w:space="0" w:color="522398"/>
              <w:bottom w:val="single" w:sz="12" w:space="0" w:color="522398"/>
            </w:tcBorders>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2024=100</w:t>
            </w:r>
          </w:p>
        </w:tc>
        <w:tc>
          <w:tcPr>
            <w:tcW w:w="1546" w:type="dxa"/>
            <w:tcBorders>
              <w:top w:val="single" w:sz="4" w:space="0" w:color="522398"/>
              <w:bottom w:val="single" w:sz="12" w:space="0" w:color="522398"/>
            </w:tcBorders>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2B3124">
              <w:rPr>
                <w:rFonts w:eastAsia="Times New Roman" w:cs="Times New Roman"/>
                <w:sz w:val="16"/>
                <w:szCs w:val="18"/>
                <w:lang w:eastAsia="pl-PL"/>
              </w:rPr>
              <w:t>6</w:t>
            </w:r>
            <w:r w:rsidRPr="000D200C">
              <w:rPr>
                <w:rFonts w:eastAsia="Times New Roman" w:cs="Times New Roman"/>
                <w:sz w:val="16"/>
                <w:szCs w:val="18"/>
                <w:lang w:eastAsia="pl-PL"/>
              </w:rPr>
              <w:t xml:space="preserve"> 2025=100</w:t>
            </w:r>
          </w:p>
        </w:tc>
      </w:tr>
      <w:tr w:rsidR="00F50F17" w:rsidRPr="000D200C" w:rsidTr="000F36E6">
        <w:trPr>
          <w:trHeight w:val="57"/>
          <w:tblHeader/>
        </w:trPr>
        <w:tc>
          <w:tcPr>
            <w:tcW w:w="2749" w:type="dxa"/>
            <w:tcBorders>
              <w:top w:val="single" w:sz="12" w:space="0" w:color="522398"/>
            </w:tcBorders>
            <w:shd w:val="clear" w:color="auto" w:fill="auto"/>
            <w:vAlign w:val="center"/>
          </w:tcPr>
          <w:p w:rsidR="00F50F17" w:rsidRPr="000D200C" w:rsidRDefault="00F50F17" w:rsidP="00F50F17">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Żywiec rzeźny</w:t>
            </w:r>
            <w:r w:rsidRPr="000D200C">
              <w:rPr>
                <w:rFonts w:eastAsia="Times New Roman" w:cs="Times New Roman"/>
                <w:spacing w:val="-4"/>
                <w:sz w:val="16"/>
                <w:szCs w:val="16"/>
                <w:vertAlign w:val="superscript"/>
                <w:lang w:eastAsia="pl-PL"/>
              </w:rPr>
              <w:t xml:space="preserve"> b</w:t>
            </w:r>
          </w:p>
        </w:tc>
        <w:tc>
          <w:tcPr>
            <w:tcW w:w="1546" w:type="dxa"/>
            <w:tcBorders>
              <w:top w:val="single" w:sz="12" w:space="0" w:color="522398"/>
            </w:tcBorders>
            <w:vAlign w:val="center"/>
          </w:tcPr>
          <w:p w:rsidR="00F50F17" w:rsidRDefault="00F50F17" w:rsidP="00F50F17">
            <w:pPr>
              <w:pStyle w:val="tableteksttab"/>
            </w:pPr>
            <w:r w:rsidRPr="00DC21BC">
              <w:t>418,8</w:t>
            </w:r>
          </w:p>
        </w:tc>
        <w:tc>
          <w:tcPr>
            <w:tcW w:w="1546" w:type="dxa"/>
            <w:tcBorders>
              <w:top w:val="single" w:sz="12" w:space="0" w:color="522398"/>
            </w:tcBorders>
            <w:vAlign w:val="center"/>
          </w:tcPr>
          <w:p w:rsidR="00F50F17" w:rsidRDefault="00F50F17" w:rsidP="00F50F17">
            <w:pPr>
              <w:pStyle w:val="tableteksttab"/>
            </w:pPr>
            <w:r w:rsidRPr="00DC21BC">
              <w:t>84,1</w:t>
            </w:r>
          </w:p>
        </w:tc>
        <w:tc>
          <w:tcPr>
            <w:tcW w:w="1546" w:type="dxa"/>
            <w:tcBorders>
              <w:top w:val="single" w:sz="12" w:space="0" w:color="522398"/>
            </w:tcBorders>
            <w:shd w:val="clear" w:color="auto" w:fill="auto"/>
            <w:vAlign w:val="center"/>
          </w:tcPr>
          <w:p w:rsidR="00F50F17" w:rsidRDefault="00F50F17" w:rsidP="00F50F17">
            <w:pPr>
              <w:pStyle w:val="tableteksttab"/>
              <w:rPr>
                <w:color w:val="auto"/>
              </w:rPr>
            </w:pPr>
            <w:r w:rsidRPr="008D0BEE">
              <w:rPr>
                <w:color w:val="auto"/>
              </w:rPr>
              <w:t>65,8</w:t>
            </w:r>
          </w:p>
        </w:tc>
        <w:tc>
          <w:tcPr>
            <w:tcW w:w="1546" w:type="dxa"/>
            <w:tcBorders>
              <w:top w:val="single" w:sz="12" w:space="0" w:color="522398"/>
            </w:tcBorders>
            <w:vAlign w:val="center"/>
          </w:tcPr>
          <w:p w:rsidR="00F50F17" w:rsidRDefault="00F50F17" w:rsidP="00F50F17">
            <w:pPr>
              <w:pStyle w:val="tableteksttab"/>
            </w:pPr>
            <w:r w:rsidRPr="00DC21BC">
              <w:t>102,4</w:t>
            </w:r>
          </w:p>
        </w:tc>
        <w:tc>
          <w:tcPr>
            <w:tcW w:w="1546" w:type="dxa"/>
            <w:tcBorders>
              <w:top w:val="single" w:sz="12" w:space="0" w:color="522398"/>
            </w:tcBorders>
            <w:vAlign w:val="center"/>
          </w:tcPr>
          <w:p w:rsidR="00F50F17" w:rsidRDefault="00F50F17" w:rsidP="00F50F17">
            <w:pPr>
              <w:pStyle w:val="tableteksttab"/>
            </w:pPr>
            <w:r w:rsidRPr="00DC21BC">
              <w:t>123,0</w:t>
            </w:r>
          </w:p>
        </w:tc>
      </w:tr>
      <w:tr w:rsidR="00F50F17" w:rsidRPr="000D200C" w:rsidTr="000F36E6">
        <w:trPr>
          <w:trHeight w:val="57"/>
          <w:tblHeader/>
        </w:trPr>
        <w:tc>
          <w:tcPr>
            <w:tcW w:w="2749" w:type="dxa"/>
            <w:shd w:val="clear" w:color="auto" w:fill="auto"/>
            <w:vAlign w:val="center"/>
          </w:tcPr>
          <w:p w:rsidR="00F50F17" w:rsidRPr="000D200C" w:rsidRDefault="00F50F17" w:rsidP="00F50F17">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ab/>
              <w:t>w tym:</w:t>
            </w:r>
          </w:p>
        </w:tc>
        <w:tc>
          <w:tcPr>
            <w:tcW w:w="1546" w:type="dxa"/>
            <w:vAlign w:val="center"/>
          </w:tcPr>
          <w:p w:rsidR="00F50F17" w:rsidRDefault="00F50F17" w:rsidP="00F50F17">
            <w:pPr>
              <w:pStyle w:val="tableteksttab"/>
            </w:pPr>
          </w:p>
        </w:tc>
        <w:tc>
          <w:tcPr>
            <w:tcW w:w="1546" w:type="dxa"/>
            <w:vAlign w:val="center"/>
          </w:tcPr>
          <w:p w:rsidR="00F50F17" w:rsidRDefault="00F50F17" w:rsidP="00F50F17">
            <w:pPr>
              <w:pStyle w:val="tableteksttab"/>
            </w:pPr>
          </w:p>
        </w:tc>
        <w:tc>
          <w:tcPr>
            <w:tcW w:w="1546" w:type="dxa"/>
            <w:shd w:val="clear" w:color="auto" w:fill="auto"/>
            <w:vAlign w:val="center"/>
          </w:tcPr>
          <w:p w:rsidR="00F50F17" w:rsidRDefault="00F50F17" w:rsidP="00F50F17">
            <w:pPr>
              <w:pStyle w:val="tableteksttab"/>
            </w:pPr>
          </w:p>
        </w:tc>
        <w:tc>
          <w:tcPr>
            <w:tcW w:w="1546" w:type="dxa"/>
            <w:vAlign w:val="center"/>
          </w:tcPr>
          <w:p w:rsidR="00F50F17" w:rsidRDefault="00F50F17" w:rsidP="00F50F17">
            <w:pPr>
              <w:pStyle w:val="tableteksttab"/>
            </w:pPr>
          </w:p>
        </w:tc>
        <w:tc>
          <w:tcPr>
            <w:tcW w:w="1546" w:type="dxa"/>
            <w:vAlign w:val="center"/>
          </w:tcPr>
          <w:p w:rsidR="00F50F17" w:rsidRDefault="00F50F17" w:rsidP="00F50F17">
            <w:pPr>
              <w:pStyle w:val="tableteksttab"/>
            </w:pPr>
          </w:p>
        </w:tc>
      </w:tr>
      <w:tr w:rsidR="00F50F17" w:rsidRPr="000D200C" w:rsidTr="000F36E6">
        <w:trPr>
          <w:trHeight w:val="57"/>
          <w:tblHeader/>
        </w:trPr>
        <w:tc>
          <w:tcPr>
            <w:tcW w:w="2749" w:type="dxa"/>
            <w:shd w:val="clear" w:color="auto" w:fill="auto"/>
            <w:vAlign w:val="center"/>
          </w:tcPr>
          <w:p w:rsidR="00F50F17" w:rsidRPr="000D200C" w:rsidRDefault="00F50F17" w:rsidP="00F50F17">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wołowy (z cielęcym)</w:t>
            </w:r>
            <w:r w:rsidRPr="000D200C">
              <w:rPr>
                <w:rFonts w:eastAsia="Times New Roman" w:cs="Times New Roman"/>
                <w:spacing w:val="-4"/>
                <w:sz w:val="16"/>
                <w:szCs w:val="16"/>
                <w:lang w:eastAsia="pl-PL"/>
              </w:rPr>
              <w:tab/>
            </w:r>
          </w:p>
        </w:tc>
        <w:tc>
          <w:tcPr>
            <w:tcW w:w="1546" w:type="dxa"/>
            <w:vAlign w:val="center"/>
          </w:tcPr>
          <w:p w:rsidR="00F50F17" w:rsidRDefault="00F50F17" w:rsidP="00F50F17">
            <w:pPr>
              <w:pStyle w:val="tableteksttab"/>
            </w:pPr>
            <w:r w:rsidRPr="00DC21BC">
              <w:t>43,1</w:t>
            </w:r>
          </w:p>
        </w:tc>
        <w:tc>
          <w:tcPr>
            <w:tcW w:w="1546" w:type="dxa"/>
            <w:vAlign w:val="center"/>
          </w:tcPr>
          <w:p w:rsidR="00F50F17" w:rsidRDefault="00F50F17" w:rsidP="00F50F17">
            <w:pPr>
              <w:pStyle w:val="tableteksttab"/>
            </w:pPr>
            <w:r w:rsidRPr="00DC21BC">
              <w:t>70,3</w:t>
            </w:r>
          </w:p>
        </w:tc>
        <w:tc>
          <w:tcPr>
            <w:tcW w:w="1546" w:type="dxa"/>
            <w:shd w:val="clear" w:color="auto" w:fill="auto"/>
            <w:vAlign w:val="center"/>
          </w:tcPr>
          <w:p w:rsidR="00F50F17" w:rsidRDefault="00F50F17" w:rsidP="00F50F17">
            <w:pPr>
              <w:pStyle w:val="tableteksttab"/>
              <w:rPr>
                <w:color w:val="auto"/>
              </w:rPr>
            </w:pPr>
            <w:r w:rsidRPr="00DC21BC">
              <w:rPr>
                <w:color w:val="auto"/>
              </w:rPr>
              <w:t>5,5</w:t>
            </w:r>
          </w:p>
        </w:tc>
        <w:tc>
          <w:tcPr>
            <w:tcW w:w="1546" w:type="dxa"/>
            <w:vAlign w:val="center"/>
          </w:tcPr>
          <w:p w:rsidR="00F50F17" w:rsidRDefault="00F50F17" w:rsidP="00F50F17">
            <w:pPr>
              <w:pStyle w:val="tableteksttab"/>
            </w:pPr>
            <w:r w:rsidRPr="00DC21BC">
              <w:t>66,9</w:t>
            </w:r>
          </w:p>
        </w:tc>
        <w:tc>
          <w:tcPr>
            <w:tcW w:w="1546" w:type="dxa"/>
            <w:vAlign w:val="center"/>
          </w:tcPr>
          <w:p w:rsidR="00F50F17" w:rsidRDefault="00F50F17" w:rsidP="00F50F17">
            <w:pPr>
              <w:pStyle w:val="tableteksttab"/>
            </w:pPr>
            <w:r w:rsidRPr="00DC21BC">
              <w:t>97,0</w:t>
            </w:r>
          </w:p>
        </w:tc>
      </w:tr>
      <w:tr w:rsidR="00F50F17" w:rsidRPr="000D200C" w:rsidTr="000F36E6">
        <w:trPr>
          <w:trHeight w:val="57"/>
          <w:tblHeader/>
        </w:trPr>
        <w:tc>
          <w:tcPr>
            <w:tcW w:w="2749" w:type="dxa"/>
            <w:tcBorders>
              <w:bottom w:val="single" w:sz="4" w:space="0" w:color="522398"/>
            </w:tcBorders>
            <w:shd w:val="clear" w:color="auto" w:fill="auto"/>
            <w:vAlign w:val="center"/>
          </w:tcPr>
          <w:p w:rsidR="00F50F17" w:rsidRPr="000D200C" w:rsidRDefault="00F50F17" w:rsidP="00F50F17">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wieprzowy</w:t>
            </w:r>
            <w:r w:rsidRPr="000D200C">
              <w:rPr>
                <w:rFonts w:eastAsia="Times New Roman" w:cs="Times New Roman"/>
                <w:spacing w:val="-4"/>
                <w:sz w:val="16"/>
                <w:szCs w:val="16"/>
                <w:lang w:eastAsia="pl-PL"/>
              </w:rPr>
              <w:tab/>
            </w:r>
          </w:p>
        </w:tc>
        <w:tc>
          <w:tcPr>
            <w:tcW w:w="1546" w:type="dxa"/>
            <w:tcBorders>
              <w:bottom w:val="single" w:sz="4" w:space="0" w:color="522398"/>
            </w:tcBorders>
            <w:vAlign w:val="center"/>
          </w:tcPr>
          <w:p w:rsidR="00F50F17" w:rsidRDefault="00F50F17" w:rsidP="00F50F17">
            <w:pPr>
              <w:pStyle w:val="tableteksttab"/>
            </w:pPr>
            <w:r w:rsidRPr="00DC21BC">
              <w:t>181,6</w:t>
            </w:r>
          </w:p>
        </w:tc>
        <w:tc>
          <w:tcPr>
            <w:tcW w:w="1546" w:type="dxa"/>
            <w:tcBorders>
              <w:bottom w:val="single" w:sz="4" w:space="0" w:color="522398"/>
            </w:tcBorders>
            <w:vAlign w:val="center"/>
          </w:tcPr>
          <w:p w:rsidR="00F50F17" w:rsidRDefault="00F50F17" w:rsidP="00F50F17">
            <w:pPr>
              <w:pStyle w:val="tableteksttab"/>
            </w:pPr>
            <w:r w:rsidRPr="00DC21BC">
              <w:t>85,2</w:t>
            </w:r>
          </w:p>
        </w:tc>
        <w:tc>
          <w:tcPr>
            <w:tcW w:w="1546" w:type="dxa"/>
            <w:tcBorders>
              <w:bottom w:val="single" w:sz="4" w:space="0" w:color="522398"/>
            </w:tcBorders>
            <w:shd w:val="clear" w:color="auto" w:fill="auto"/>
            <w:vAlign w:val="center"/>
          </w:tcPr>
          <w:p w:rsidR="00F50F17" w:rsidRDefault="00F50F17" w:rsidP="00F50F17">
            <w:pPr>
              <w:pStyle w:val="tableteksttab"/>
              <w:rPr>
                <w:color w:val="auto"/>
              </w:rPr>
            </w:pPr>
            <w:r w:rsidRPr="00DC21BC">
              <w:rPr>
                <w:color w:val="auto"/>
              </w:rPr>
              <w:t>24,6</w:t>
            </w:r>
          </w:p>
        </w:tc>
        <w:tc>
          <w:tcPr>
            <w:tcW w:w="1546" w:type="dxa"/>
            <w:tcBorders>
              <w:bottom w:val="single" w:sz="4" w:space="0" w:color="522398"/>
            </w:tcBorders>
            <w:vAlign w:val="center"/>
          </w:tcPr>
          <w:p w:rsidR="00F50F17" w:rsidRDefault="00F50F17" w:rsidP="00F50F17">
            <w:pPr>
              <w:pStyle w:val="tableteksttab"/>
            </w:pPr>
            <w:r w:rsidRPr="00DC21BC">
              <w:t>96,7</w:t>
            </w:r>
          </w:p>
        </w:tc>
        <w:tc>
          <w:tcPr>
            <w:tcW w:w="1546" w:type="dxa"/>
            <w:tcBorders>
              <w:bottom w:val="single" w:sz="4" w:space="0" w:color="522398"/>
            </w:tcBorders>
            <w:vAlign w:val="center"/>
          </w:tcPr>
          <w:p w:rsidR="00F50F17" w:rsidRDefault="00F50F17" w:rsidP="00F50F17">
            <w:pPr>
              <w:pStyle w:val="tableteksttab"/>
            </w:pPr>
            <w:r w:rsidRPr="00DC21BC">
              <w:t>100,5</w:t>
            </w:r>
          </w:p>
        </w:tc>
      </w:tr>
      <w:tr w:rsidR="00F50F17" w:rsidRPr="000D200C" w:rsidTr="000F36E6">
        <w:trPr>
          <w:trHeight w:val="57"/>
          <w:tblHeader/>
        </w:trPr>
        <w:tc>
          <w:tcPr>
            <w:tcW w:w="2749" w:type="dxa"/>
            <w:tcBorders>
              <w:top w:val="single" w:sz="4" w:space="0" w:color="522398"/>
              <w:bottom w:val="single" w:sz="4" w:space="0" w:color="522398"/>
            </w:tcBorders>
            <w:shd w:val="clear" w:color="auto" w:fill="auto"/>
            <w:vAlign w:val="center"/>
          </w:tcPr>
          <w:p w:rsidR="00F50F17" w:rsidRPr="000D200C" w:rsidRDefault="00F50F17" w:rsidP="00F50F17">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drobiowy</w:t>
            </w:r>
            <w:r w:rsidRPr="000D200C">
              <w:rPr>
                <w:rFonts w:eastAsia="Times New Roman" w:cs="Times New Roman"/>
                <w:spacing w:val="-4"/>
                <w:sz w:val="16"/>
                <w:szCs w:val="16"/>
                <w:lang w:eastAsia="pl-PL"/>
              </w:rPr>
              <w:tab/>
            </w:r>
          </w:p>
        </w:tc>
        <w:tc>
          <w:tcPr>
            <w:tcW w:w="1546" w:type="dxa"/>
            <w:tcBorders>
              <w:top w:val="single" w:sz="4" w:space="0" w:color="522398"/>
              <w:bottom w:val="single" w:sz="4" w:space="0" w:color="522398"/>
            </w:tcBorders>
            <w:vAlign w:val="center"/>
          </w:tcPr>
          <w:p w:rsidR="00F50F17" w:rsidRDefault="00F50F17" w:rsidP="00F50F17">
            <w:pPr>
              <w:pStyle w:val="tableteksttab"/>
            </w:pPr>
            <w:r w:rsidRPr="00DC21BC">
              <w:t>193,9</w:t>
            </w:r>
          </w:p>
        </w:tc>
        <w:tc>
          <w:tcPr>
            <w:tcW w:w="1546" w:type="dxa"/>
            <w:tcBorders>
              <w:top w:val="single" w:sz="4" w:space="0" w:color="522398"/>
              <w:bottom w:val="single" w:sz="4" w:space="0" w:color="522398"/>
            </w:tcBorders>
            <w:vAlign w:val="center"/>
          </w:tcPr>
          <w:p w:rsidR="00F50F17" w:rsidRDefault="00F50F17" w:rsidP="00F50F17">
            <w:pPr>
              <w:pStyle w:val="tableteksttab"/>
            </w:pPr>
            <w:r w:rsidRPr="00DC21BC">
              <w:t>86,7</w:t>
            </w:r>
          </w:p>
        </w:tc>
        <w:tc>
          <w:tcPr>
            <w:tcW w:w="1546" w:type="dxa"/>
            <w:tcBorders>
              <w:top w:val="single" w:sz="4" w:space="0" w:color="522398"/>
              <w:bottom w:val="single" w:sz="4" w:space="0" w:color="522398"/>
            </w:tcBorders>
            <w:shd w:val="clear" w:color="auto" w:fill="auto"/>
            <w:vAlign w:val="center"/>
          </w:tcPr>
          <w:p w:rsidR="00F50F17" w:rsidRDefault="00F50F17" w:rsidP="00F50F17">
            <w:pPr>
              <w:pStyle w:val="tableteksttab"/>
              <w:rPr>
                <w:color w:val="auto"/>
              </w:rPr>
            </w:pPr>
            <w:r w:rsidRPr="00DC21BC">
              <w:rPr>
                <w:color w:val="auto"/>
              </w:rPr>
              <w:t>35,7</w:t>
            </w:r>
          </w:p>
        </w:tc>
        <w:tc>
          <w:tcPr>
            <w:tcW w:w="1546" w:type="dxa"/>
            <w:tcBorders>
              <w:top w:val="single" w:sz="4" w:space="0" w:color="522398"/>
              <w:bottom w:val="single" w:sz="4" w:space="0" w:color="522398"/>
            </w:tcBorders>
            <w:vAlign w:val="center"/>
          </w:tcPr>
          <w:p w:rsidR="00F50F17" w:rsidRDefault="00F50F17" w:rsidP="00F50F17">
            <w:pPr>
              <w:pStyle w:val="tableteksttab"/>
            </w:pPr>
            <w:r w:rsidRPr="00DC21BC">
              <w:t>116,5</w:t>
            </w:r>
          </w:p>
        </w:tc>
        <w:tc>
          <w:tcPr>
            <w:tcW w:w="1546" w:type="dxa"/>
            <w:tcBorders>
              <w:top w:val="single" w:sz="4" w:space="0" w:color="522398"/>
              <w:bottom w:val="single" w:sz="4" w:space="0" w:color="522398"/>
            </w:tcBorders>
            <w:vAlign w:val="center"/>
          </w:tcPr>
          <w:p w:rsidR="00F50F17" w:rsidRDefault="00F50F17" w:rsidP="00F50F17">
            <w:pPr>
              <w:pStyle w:val="tableteksttab"/>
            </w:pPr>
            <w:r w:rsidRPr="00DC21BC">
              <w:t>152,9</w:t>
            </w:r>
          </w:p>
        </w:tc>
      </w:tr>
      <w:tr w:rsidR="00F50F17" w:rsidRPr="000D200C" w:rsidTr="000F36E6">
        <w:trPr>
          <w:trHeight w:val="57"/>
          <w:tblHeader/>
        </w:trPr>
        <w:tc>
          <w:tcPr>
            <w:tcW w:w="2749" w:type="dxa"/>
            <w:tcBorders>
              <w:top w:val="single" w:sz="4" w:space="0" w:color="522398"/>
              <w:bottom w:val="nil"/>
            </w:tcBorders>
            <w:shd w:val="clear" w:color="auto" w:fill="auto"/>
            <w:vAlign w:val="center"/>
          </w:tcPr>
          <w:p w:rsidR="00F50F17" w:rsidRPr="000D200C" w:rsidRDefault="00F50F17" w:rsidP="00F50F17">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Mleko</w:t>
            </w:r>
            <w:r w:rsidRPr="000D200C">
              <w:rPr>
                <w:rFonts w:eastAsia="Times New Roman" w:cs="Times New Roman"/>
                <w:spacing w:val="-4"/>
                <w:sz w:val="16"/>
                <w:szCs w:val="16"/>
                <w:vertAlign w:val="superscript"/>
                <w:lang w:eastAsia="pl-PL"/>
              </w:rPr>
              <w:t xml:space="preserve"> </w:t>
            </w:r>
            <w:r w:rsidRPr="000D200C">
              <w:rPr>
                <w:rFonts w:eastAsia="Times New Roman" w:cs="Times New Roman"/>
                <w:i/>
                <w:spacing w:val="-4"/>
                <w:sz w:val="16"/>
                <w:szCs w:val="16"/>
                <w:vertAlign w:val="superscript"/>
                <w:lang w:eastAsia="pl-PL"/>
              </w:rPr>
              <w:t>c</w:t>
            </w:r>
          </w:p>
        </w:tc>
        <w:tc>
          <w:tcPr>
            <w:tcW w:w="1546" w:type="dxa"/>
            <w:tcBorders>
              <w:top w:val="single" w:sz="4" w:space="0" w:color="522398"/>
              <w:bottom w:val="nil"/>
            </w:tcBorders>
            <w:vAlign w:val="center"/>
          </w:tcPr>
          <w:p w:rsidR="00F50F17" w:rsidRDefault="00F50F17" w:rsidP="00F50F17">
            <w:pPr>
              <w:pStyle w:val="tableteksttab"/>
            </w:pPr>
            <w:r w:rsidRPr="00DC21BC">
              <w:t>1453,2</w:t>
            </w:r>
          </w:p>
        </w:tc>
        <w:tc>
          <w:tcPr>
            <w:tcW w:w="1546" w:type="dxa"/>
            <w:tcBorders>
              <w:top w:val="single" w:sz="4" w:space="0" w:color="522398"/>
              <w:bottom w:val="nil"/>
            </w:tcBorders>
            <w:vAlign w:val="center"/>
          </w:tcPr>
          <w:p w:rsidR="00F50F17" w:rsidRDefault="00F50F17" w:rsidP="00F50F17">
            <w:pPr>
              <w:pStyle w:val="tableteksttab"/>
            </w:pPr>
            <w:r w:rsidRPr="00DC21BC">
              <w:t>100,9</w:t>
            </w:r>
          </w:p>
        </w:tc>
        <w:tc>
          <w:tcPr>
            <w:tcW w:w="1546" w:type="dxa"/>
            <w:tcBorders>
              <w:top w:val="single" w:sz="4" w:space="0" w:color="522398"/>
              <w:bottom w:val="nil"/>
            </w:tcBorders>
            <w:shd w:val="clear" w:color="auto" w:fill="auto"/>
            <w:vAlign w:val="center"/>
          </w:tcPr>
          <w:p w:rsidR="00F50F17" w:rsidRDefault="00F50F17" w:rsidP="00F50F17">
            <w:pPr>
              <w:pStyle w:val="tableteksttab"/>
              <w:rPr>
                <w:color w:val="auto"/>
              </w:rPr>
            </w:pPr>
            <w:r w:rsidRPr="00DC21BC">
              <w:rPr>
                <w:color w:val="auto"/>
              </w:rPr>
              <w:t>201,5</w:t>
            </w:r>
          </w:p>
        </w:tc>
        <w:tc>
          <w:tcPr>
            <w:tcW w:w="1546" w:type="dxa"/>
            <w:tcBorders>
              <w:top w:val="single" w:sz="4" w:space="0" w:color="522398"/>
              <w:bottom w:val="nil"/>
            </w:tcBorders>
            <w:vAlign w:val="center"/>
          </w:tcPr>
          <w:p w:rsidR="00F50F17" w:rsidRDefault="00F50F17" w:rsidP="00F50F17">
            <w:pPr>
              <w:pStyle w:val="tableteksttab"/>
            </w:pPr>
            <w:r w:rsidRPr="00DC21BC">
              <w:t>104,0</w:t>
            </w:r>
          </w:p>
        </w:tc>
        <w:tc>
          <w:tcPr>
            <w:tcW w:w="1546" w:type="dxa"/>
            <w:tcBorders>
              <w:top w:val="single" w:sz="4" w:space="0" w:color="522398"/>
              <w:bottom w:val="nil"/>
            </w:tcBorders>
            <w:vAlign w:val="center"/>
          </w:tcPr>
          <w:p w:rsidR="00F50F17" w:rsidRDefault="00F50F17" w:rsidP="00F50F17">
            <w:pPr>
              <w:pStyle w:val="tableteksttab"/>
            </w:pPr>
            <w:r w:rsidRPr="00DC21BC">
              <w:t>96,5</w:t>
            </w:r>
          </w:p>
        </w:tc>
      </w:tr>
    </w:tbl>
    <w:p w:rsidR="005B6279" w:rsidRPr="000D200C" w:rsidRDefault="005B6279" w:rsidP="00EB4501">
      <w:pPr>
        <w:pStyle w:val="notka"/>
      </w:pPr>
      <w:r w:rsidRPr="000D200C">
        <w:t xml:space="preserve">a Bez skupu realizowanego przez osoby fizyczne. b Obejmuje: bydło, cielęta, trzodę chlewną, owce, konie i drób; w przeliczeniu na mięso (łącznie z tłuszczami), </w:t>
      </w:r>
      <w:r w:rsidRPr="000D200C">
        <w:br/>
        <w:t>w wadze poubojowej ciepłej. c W mln litrów.</w:t>
      </w:r>
    </w:p>
    <w:p w:rsidR="005B6279" w:rsidRPr="00B53B26" w:rsidRDefault="00F50F17" w:rsidP="004C290B">
      <w:pPr>
        <w:pStyle w:val="tekst"/>
        <w:spacing w:before="360"/>
      </w:pPr>
      <w:r w:rsidRPr="00A76F60">
        <w:t xml:space="preserve">W lipcu br. skup żywca rzeźnego wyniósł 65,8 tys. ton, tj. o 23,0% więcej niż przed miesiącem i o 2,4% więcej niż przed rokiem. Podaż żywca drobiowego wzrosła o 52,9% w ujęciu miesięcznym i o 16,5% w stosunku rocznym. Skup żywca wołowego zmniejszył się w relacji do obu okresów, odpowiednio o 3,0% </w:t>
      </w:r>
      <w:r w:rsidR="00BD2B46">
        <w:t xml:space="preserve">i </w:t>
      </w:r>
      <w:r w:rsidRPr="00A76F60">
        <w:t>o 33,1%. W przypadku żywca wieprzowego obserwowano wzrost dostaw w odniesieniu do czerwca br. – o 0,5%, ale jednocześnie spadek podaży w porównaniu z lipcem ub. roku – o 3,3%.</w:t>
      </w:r>
      <w:r w:rsidR="005B6279" w:rsidRPr="00B53B26">
        <w:rPr>
          <w:highlight w:val="yellow"/>
        </w:rPr>
        <w:t xml:space="preserve"> </w:t>
      </w:r>
    </w:p>
    <w:p w:rsidR="0086710D" w:rsidRPr="007A6C69" w:rsidRDefault="00A06FC3" w:rsidP="00B53B26">
      <w:pPr>
        <w:pStyle w:val="tekst"/>
      </w:pPr>
      <w:r w:rsidRPr="002C1E67">
        <w:t xml:space="preserve">Za </w:t>
      </w:r>
      <w:r w:rsidRPr="002C1E67">
        <w:rPr>
          <w:b/>
        </w:rPr>
        <w:t>ziarno zbóż podstawowych</w:t>
      </w:r>
      <w:r w:rsidRPr="002C1E67">
        <w:t xml:space="preserve"> </w:t>
      </w:r>
      <w:r w:rsidRPr="002C1E67">
        <w:rPr>
          <w:b/>
        </w:rPr>
        <w:t>w skupie</w:t>
      </w:r>
      <w:r w:rsidRPr="002C1E67">
        <w:t xml:space="preserve"> w lipcu br. płacono producentom średnio 75,01 zł za 1 dt, tj. o 13,3% mniej niż w poprzednim miesiącu, ale o 2,1% więcej niż przed rokiem. </w:t>
      </w:r>
      <w:r w:rsidRPr="002C1E67">
        <w:rPr>
          <w:b/>
        </w:rPr>
        <w:t>Cena skupu 1 dt pszenicy</w:t>
      </w:r>
      <w:r w:rsidRPr="002C1E67">
        <w:t xml:space="preserve"> wyniosła 82,51 zł i kształtowała się na poziomie o 6,8% niższym aniżeli w czerwcu br., jednak o 1,5% wyższym niż w lipcu ub. roku</w:t>
      </w:r>
      <w:r w:rsidRPr="00250E7F">
        <w:t xml:space="preserve">. Przeciętna </w:t>
      </w:r>
      <w:r w:rsidRPr="00250E7F">
        <w:rPr>
          <w:b/>
        </w:rPr>
        <w:t>cena targowiskowa 1 dt pszenicy</w:t>
      </w:r>
      <w:r w:rsidRPr="00250E7F">
        <w:t xml:space="preserve"> wynosiła 112,50 zł i była niższa zarówno od notowanej przed miesiącem, jak i w lipcu ub. roku, odpowiednio o 2,8% i o 2,0%. Za </w:t>
      </w:r>
      <w:r w:rsidRPr="00250E7F">
        <w:rPr>
          <w:b/>
        </w:rPr>
        <w:t>1 dt żyta w skupie</w:t>
      </w:r>
      <w:r w:rsidRPr="00250E7F">
        <w:t xml:space="preserve"> w lipcu br. płacono 62,84 zł, tj. o 14,7% mniej niż w czerwcu br., a jednocześnie o 14,9% więcej niż w analogicznym miesiącu ub. roku. Na </w:t>
      </w:r>
      <w:r w:rsidRPr="00250E7F">
        <w:rPr>
          <w:b/>
        </w:rPr>
        <w:t>targowiskach cena żyta</w:t>
      </w:r>
      <w:r w:rsidRPr="00250E7F">
        <w:t xml:space="preserve"> kształtowała się na poziomie 89,23 zł za 1 dt, tj. o 4,2% niżej niż przed miesiącem i o 4,2% niżej niż przed rokiem.</w:t>
      </w:r>
    </w:p>
    <w:p w:rsidR="005B6279" w:rsidRPr="00F516DE" w:rsidRDefault="001A3599" w:rsidP="005B6279">
      <w:pPr>
        <w:pStyle w:val="Tytultabeli"/>
        <w:spacing w:before="240"/>
      </w:pPr>
      <w:r w:rsidRPr="00F516DE">
        <w:t xml:space="preserve">Tablica </w:t>
      </w:r>
      <w:r w:rsidR="0086710D">
        <w:t>6</w:t>
      </w:r>
      <w:r w:rsidR="005B6279" w:rsidRPr="00F516DE">
        <w:t>.</w:t>
      </w:r>
      <w:r w:rsidR="005B6279" w:rsidRPr="00F516DE">
        <w:tab/>
        <w:t xml:space="preserve">Przeciętne ceny podstawowych produktów rolnych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lipiec br.) i w okresie narastającym (styczeń-lipiec br.) oraz ich dynamikę w odniesieniu do poprzedniego miesiąca i analogicznych okresów ub. roku. Dane do tablicy dostępne w pliku w formacie XLSX                                                                                                                                                                                                                                                                                                                                                               "/>
      </w:tblPr>
      <w:tblGrid>
        <w:gridCol w:w="1705"/>
        <w:gridCol w:w="876"/>
        <w:gridCol w:w="877"/>
        <w:gridCol w:w="878"/>
        <w:gridCol w:w="876"/>
        <w:gridCol w:w="878"/>
        <w:gridCol w:w="878"/>
        <w:gridCol w:w="878"/>
        <w:gridCol w:w="878"/>
        <w:gridCol w:w="878"/>
        <w:gridCol w:w="877"/>
      </w:tblGrid>
      <w:tr w:rsidR="005B6279" w:rsidRPr="000D200C" w:rsidTr="00A33DE6">
        <w:trPr>
          <w:trHeight w:val="57"/>
          <w:tblHeader/>
          <w:jc w:val="center"/>
        </w:trPr>
        <w:tc>
          <w:tcPr>
            <w:tcW w:w="814" w:type="pct"/>
            <w:vMerge w:val="restart"/>
            <w:tcBorders>
              <w:top w:val="nil"/>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Wyszczególnienie</w:t>
            </w:r>
          </w:p>
        </w:tc>
        <w:tc>
          <w:tcPr>
            <w:tcW w:w="2092" w:type="pct"/>
            <w:gridSpan w:val="5"/>
            <w:tcBorders>
              <w:top w:val="nil"/>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skupie</w:t>
            </w:r>
          </w:p>
        </w:tc>
        <w:tc>
          <w:tcPr>
            <w:tcW w:w="2094" w:type="pct"/>
            <w:gridSpan w:val="5"/>
            <w:tcBorders>
              <w:top w:val="nil"/>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Na targowiskach</w:t>
            </w:r>
          </w:p>
        </w:tc>
      </w:tr>
      <w:tr w:rsidR="005B6279" w:rsidRPr="000D200C" w:rsidTr="00A33DE6">
        <w:trPr>
          <w:trHeight w:val="57"/>
          <w:tblHeader/>
          <w:jc w:val="center"/>
        </w:trPr>
        <w:tc>
          <w:tcPr>
            <w:tcW w:w="814" w:type="pct"/>
            <w:vMerge/>
            <w:tcBorders>
              <w:top w:val="single" w:sz="4" w:space="0" w:color="522398"/>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p>
        </w:tc>
        <w:tc>
          <w:tcPr>
            <w:tcW w:w="1255" w:type="pct"/>
            <w:gridSpan w:val="3"/>
            <w:tcBorders>
              <w:top w:val="single" w:sz="4" w:space="0" w:color="522398"/>
              <w:bottom w:val="single" w:sz="4" w:space="0" w:color="522398"/>
            </w:tcBorders>
            <w:vAlign w:val="center"/>
          </w:tcPr>
          <w:p w:rsidR="005B6279" w:rsidRPr="000D200C" w:rsidRDefault="00497DEE" w:rsidP="002B3124">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w:t>
            </w:r>
            <w:r w:rsidR="002B3124">
              <w:rPr>
                <w:rFonts w:eastAsia="Times New Roman" w:cs="Times New Roman"/>
                <w:sz w:val="16"/>
                <w:szCs w:val="18"/>
                <w:lang w:eastAsia="pl-PL"/>
              </w:rPr>
              <w:t>7</w:t>
            </w:r>
            <w:r w:rsidR="005B6279" w:rsidRPr="000D200C">
              <w:rPr>
                <w:rFonts w:eastAsia="Times New Roman" w:cs="Times New Roman"/>
                <w:sz w:val="16"/>
                <w:szCs w:val="18"/>
                <w:lang w:eastAsia="pl-PL"/>
              </w:rPr>
              <w:t xml:space="preserve"> 2025</w:t>
            </w:r>
          </w:p>
        </w:tc>
        <w:tc>
          <w:tcPr>
            <w:tcW w:w="837" w:type="pct"/>
            <w:gridSpan w:val="2"/>
            <w:tcBorders>
              <w:top w:val="single" w:sz="4" w:space="0" w:color="522398"/>
              <w:bottom w:val="single" w:sz="4" w:space="0" w:color="522398"/>
            </w:tcBorders>
            <w:vAlign w:val="center"/>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2025</w:t>
            </w:r>
          </w:p>
        </w:tc>
        <w:tc>
          <w:tcPr>
            <w:tcW w:w="1257" w:type="pct"/>
            <w:gridSpan w:val="3"/>
            <w:tcBorders>
              <w:top w:val="single" w:sz="4" w:space="0" w:color="522398"/>
              <w:bottom w:val="single" w:sz="4" w:space="0" w:color="522398"/>
            </w:tcBorders>
            <w:vAlign w:val="center"/>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2025</w:t>
            </w:r>
          </w:p>
        </w:tc>
        <w:tc>
          <w:tcPr>
            <w:tcW w:w="837" w:type="pct"/>
            <w:gridSpan w:val="2"/>
            <w:tcBorders>
              <w:top w:val="single" w:sz="4" w:space="0" w:color="522398"/>
              <w:bottom w:val="single" w:sz="4" w:space="0" w:color="522398"/>
            </w:tcBorders>
            <w:vAlign w:val="center"/>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2B3124">
              <w:rPr>
                <w:rFonts w:eastAsia="Times New Roman" w:cs="Times New Roman"/>
                <w:sz w:val="16"/>
                <w:szCs w:val="18"/>
                <w:lang w:eastAsia="pl-PL"/>
              </w:rPr>
              <w:t>7</w:t>
            </w:r>
            <w:r w:rsidR="00497DEE">
              <w:rPr>
                <w:rFonts w:eastAsia="Times New Roman" w:cs="Times New Roman"/>
                <w:sz w:val="16"/>
                <w:szCs w:val="18"/>
                <w:lang w:eastAsia="pl-PL"/>
              </w:rPr>
              <w:t xml:space="preserve"> </w:t>
            </w:r>
            <w:r w:rsidRPr="000D200C">
              <w:rPr>
                <w:rFonts w:eastAsia="Times New Roman" w:cs="Times New Roman"/>
                <w:sz w:val="16"/>
                <w:szCs w:val="18"/>
                <w:lang w:eastAsia="pl-PL"/>
              </w:rPr>
              <w:t>2025</w:t>
            </w:r>
          </w:p>
        </w:tc>
      </w:tr>
      <w:tr w:rsidR="005B6279" w:rsidRPr="000D200C" w:rsidTr="00A33DE6">
        <w:trPr>
          <w:trHeight w:val="57"/>
          <w:tblHeader/>
          <w:jc w:val="center"/>
        </w:trPr>
        <w:tc>
          <w:tcPr>
            <w:tcW w:w="814" w:type="pct"/>
            <w:vMerge/>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p>
        </w:tc>
        <w:tc>
          <w:tcPr>
            <w:tcW w:w="418"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8" w:type="pct"/>
            <w:tcBorders>
              <w:top w:val="single" w:sz="4" w:space="0" w:color="522398"/>
              <w:bottom w:val="single" w:sz="12" w:space="0" w:color="522398"/>
            </w:tcBorders>
            <w:vAlign w:val="center"/>
          </w:tcPr>
          <w:p w:rsidR="005B6279" w:rsidRPr="000D200C" w:rsidRDefault="002238C5" w:rsidP="002B3124">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w:t>
            </w:r>
            <w:r w:rsidR="002B3124">
              <w:rPr>
                <w:rFonts w:eastAsia="Times New Roman" w:cs="Times New Roman"/>
                <w:sz w:val="16"/>
                <w:szCs w:val="18"/>
                <w:lang w:eastAsia="pl-PL"/>
              </w:rPr>
              <w:t>7</w:t>
            </w:r>
            <w:r w:rsidR="005B6279" w:rsidRPr="000D200C">
              <w:rPr>
                <w:rFonts w:eastAsia="Times New Roman" w:cs="Times New Roman"/>
                <w:sz w:val="16"/>
                <w:szCs w:val="18"/>
                <w:lang w:eastAsia="pl-PL"/>
              </w:rPr>
              <w:t xml:space="preserve"> 2024=100</w:t>
            </w:r>
          </w:p>
        </w:tc>
        <w:tc>
          <w:tcPr>
            <w:tcW w:w="419" w:type="pct"/>
            <w:tcBorders>
              <w:top w:val="single" w:sz="4" w:space="0" w:color="522398"/>
              <w:bottom w:val="single" w:sz="12" w:space="0" w:color="522398"/>
            </w:tcBorders>
            <w:vAlign w:val="center"/>
          </w:tcPr>
          <w:p w:rsidR="005B6279" w:rsidRPr="000D200C" w:rsidRDefault="002238C5" w:rsidP="002B3124">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w:t>
            </w:r>
            <w:r w:rsidR="002B3124">
              <w:rPr>
                <w:rFonts w:eastAsia="Times New Roman" w:cs="Times New Roman"/>
                <w:sz w:val="16"/>
                <w:szCs w:val="18"/>
                <w:lang w:eastAsia="pl-PL"/>
              </w:rPr>
              <w:t>6</w:t>
            </w:r>
            <w:r w:rsidR="005B6279" w:rsidRPr="000D200C">
              <w:rPr>
                <w:rFonts w:eastAsia="Times New Roman" w:cs="Times New Roman"/>
                <w:sz w:val="16"/>
                <w:szCs w:val="18"/>
                <w:lang w:eastAsia="pl-PL"/>
              </w:rPr>
              <w:t xml:space="preserve"> 2025=100</w:t>
            </w:r>
          </w:p>
        </w:tc>
        <w:tc>
          <w:tcPr>
            <w:tcW w:w="418"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9" w:type="pct"/>
            <w:tcBorders>
              <w:top w:val="single" w:sz="4" w:space="0" w:color="522398"/>
              <w:bottom w:val="single" w:sz="12"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2024=100</w:t>
            </w:r>
          </w:p>
        </w:tc>
        <w:tc>
          <w:tcPr>
            <w:tcW w:w="419"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9" w:type="pct"/>
            <w:tcBorders>
              <w:top w:val="single" w:sz="4" w:space="0" w:color="522398"/>
              <w:bottom w:val="single" w:sz="12" w:space="0" w:color="522398"/>
            </w:tcBorders>
            <w:vAlign w:val="center"/>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2024=100</w:t>
            </w:r>
          </w:p>
        </w:tc>
        <w:tc>
          <w:tcPr>
            <w:tcW w:w="419" w:type="pct"/>
            <w:tcBorders>
              <w:top w:val="single" w:sz="4" w:space="0" w:color="522398"/>
              <w:bottom w:val="single" w:sz="12" w:space="0" w:color="522398"/>
            </w:tcBorders>
            <w:vAlign w:val="center"/>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2B3124">
              <w:rPr>
                <w:rFonts w:eastAsia="Times New Roman" w:cs="Times New Roman"/>
                <w:sz w:val="16"/>
                <w:szCs w:val="18"/>
                <w:lang w:eastAsia="pl-PL"/>
              </w:rPr>
              <w:t>6</w:t>
            </w:r>
            <w:r w:rsidRPr="000D200C">
              <w:rPr>
                <w:rFonts w:eastAsia="Times New Roman" w:cs="Times New Roman"/>
                <w:sz w:val="16"/>
                <w:szCs w:val="18"/>
                <w:lang w:eastAsia="pl-PL"/>
              </w:rPr>
              <w:t xml:space="preserve"> 2025=100</w:t>
            </w:r>
          </w:p>
        </w:tc>
        <w:tc>
          <w:tcPr>
            <w:tcW w:w="419"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8" w:type="pct"/>
            <w:tcBorders>
              <w:top w:val="single" w:sz="4" w:space="0" w:color="522398"/>
              <w:bottom w:val="single" w:sz="12" w:space="0" w:color="522398"/>
            </w:tcBorders>
            <w:vAlign w:val="center"/>
          </w:tcPr>
          <w:p w:rsidR="005B6279" w:rsidRPr="000D200C" w:rsidRDefault="005B6279" w:rsidP="002B3124">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2B3124">
              <w:rPr>
                <w:rFonts w:eastAsia="Times New Roman" w:cs="Times New Roman"/>
                <w:sz w:val="16"/>
                <w:szCs w:val="18"/>
                <w:lang w:eastAsia="pl-PL"/>
              </w:rPr>
              <w:t>7</w:t>
            </w:r>
            <w:r w:rsidRPr="000D200C">
              <w:rPr>
                <w:rFonts w:eastAsia="Times New Roman" w:cs="Times New Roman"/>
                <w:sz w:val="16"/>
                <w:szCs w:val="18"/>
                <w:lang w:eastAsia="pl-PL"/>
              </w:rPr>
              <w:t xml:space="preserve"> 2024=100</w:t>
            </w:r>
          </w:p>
        </w:tc>
      </w:tr>
      <w:tr w:rsidR="005B6279" w:rsidRPr="000D200C" w:rsidTr="00A33DE6">
        <w:trPr>
          <w:trHeight w:val="57"/>
          <w:tblHeader/>
          <w:jc w:val="center"/>
        </w:trPr>
        <w:tc>
          <w:tcPr>
            <w:tcW w:w="814" w:type="pct"/>
            <w:tcBorders>
              <w:top w:val="single" w:sz="12" w:space="0" w:color="522398"/>
              <w:bottom w:val="single" w:sz="4" w:space="0" w:color="522398"/>
            </w:tcBorders>
            <w:vAlign w:val="center"/>
          </w:tcPr>
          <w:p w:rsidR="005B6279" w:rsidRPr="000D200C" w:rsidRDefault="005B6279" w:rsidP="00012928">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Ziarno zbóż</w:t>
            </w:r>
            <w:r w:rsidRPr="000D200C">
              <w:rPr>
                <w:rFonts w:eastAsia="Times New Roman" w:cs="Times New Roman"/>
                <w:spacing w:val="-4"/>
                <w:sz w:val="16"/>
                <w:szCs w:val="16"/>
                <w:vertAlign w:val="superscript"/>
                <w:lang w:eastAsia="pl-PL"/>
              </w:rPr>
              <w:t xml:space="preserve"> a</w:t>
            </w:r>
            <w:r w:rsidRPr="000D200C">
              <w:rPr>
                <w:rFonts w:eastAsia="Times New Roman" w:cs="Times New Roman"/>
                <w:spacing w:val="-4"/>
                <w:sz w:val="16"/>
                <w:szCs w:val="16"/>
                <w:lang w:eastAsia="pl-PL"/>
              </w:rPr>
              <w:t xml:space="preserve"> za 1 dt:</w:t>
            </w:r>
          </w:p>
        </w:tc>
        <w:tc>
          <w:tcPr>
            <w:tcW w:w="418"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r>
      <w:tr w:rsidR="00DB7F4B" w:rsidRPr="000D200C" w:rsidTr="00691DA7">
        <w:trPr>
          <w:trHeight w:val="57"/>
          <w:tblHeader/>
          <w:jc w:val="center"/>
        </w:trPr>
        <w:tc>
          <w:tcPr>
            <w:tcW w:w="814" w:type="pct"/>
            <w:tcBorders>
              <w:top w:val="single" w:sz="4" w:space="0" w:color="522398"/>
              <w:bottom w:val="single" w:sz="4" w:space="0" w:color="522398"/>
            </w:tcBorders>
            <w:vAlign w:val="center"/>
          </w:tcPr>
          <w:p w:rsidR="00DB7F4B" w:rsidRPr="000D200C" w:rsidRDefault="00DB7F4B" w:rsidP="00DB7F4B">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pszenica</w:t>
            </w:r>
          </w:p>
        </w:tc>
        <w:tc>
          <w:tcPr>
            <w:tcW w:w="418" w:type="pct"/>
            <w:tcBorders>
              <w:top w:val="single" w:sz="4" w:space="0" w:color="522398"/>
              <w:bottom w:val="single" w:sz="4" w:space="0" w:color="522398"/>
            </w:tcBorders>
            <w:vAlign w:val="center"/>
          </w:tcPr>
          <w:p w:rsidR="00DB7F4B" w:rsidRPr="002226A1" w:rsidRDefault="00DB7F4B" w:rsidP="00DB7F4B">
            <w:pPr>
              <w:pStyle w:val="tableteksttab"/>
            </w:pPr>
            <w:r w:rsidRPr="00837F36">
              <w:t>82,51</w:t>
            </w:r>
          </w:p>
        </w:tc>
        <w:tc>
          <w:tcPr>
            <w:tcW w:w="418" w:type="pct"/>
            <w:tcBorders>
              <w:top w:val="single" w:sz="4" w:space="0" w:color="522398"/>
              <w:bottom w:val="single" w:sz="4" w:space="0" w:color="522398"/>
            </w:tcBorders>
            <w:vAlign w:val="center"/>
          </w:tcPr>
          <w:p w:rsidR="00DB7F4B" w:rsidRPr="002226A1" w:rsidRDefault="00DB7F4B" w:rsidP="00DB7F4B">
            <w:pPr>
              <w:pStyle w:val="tableteksttab"/>
            </w:pPr>
            <w:r w:rsidRPr="00837F36">
              <w:t>101,5</w:t>
            </w:r>
          </w:p>
        </w:tc>
        <w:tc>
          <w:tcPr>
            <w:tcW w:w="419" w:type="pct"/>
            <w:tcBorders>
              <w:top w:val="single" w:sz="4" w:space="0" w:color="522398"/>
              <w:bottom w:val="single" w:sz="4" w:space="0" w:color="522398"/>
            </w:tcBorders>
            <w:vAlign w:val="center"/>
          </w:tcPr>
          <w:p w:rsidR="00DB7F4B" w:rsidRPr="002226A1" w:rsidRDefault="00DB7F4B" w:rsidP="00DB7F4B">
            <w:pPr>
              <w:pStyle w:val="tableteksttab"/>
            </w:pPr>
            <w:r w:rsidRPr="00837F36">
              <w:t>93,2</w:t>
            </w:r>
          </w:p>
        </w:tc>
        <w:tc>
          <w:tcPr>
            <w:tcW w:w="418" w:type="pct"/>
            <w:tcBorders>
              <w:top w:val="single" w:sz="4" w:space="0" w:color="522398"/>
              <w:bottom w:val="single" w:sz="4" w:space="0" w:color="522398"/>
            </w:tcBorders>
            <w:vAlign w:val="center"/>
          </w:tcPr>
          <w:p w:rsidR="00DB7F4B" w:rsidRPr="002226A1" w:rsidRDefault="00DB7F4B" w:rsidP="00DB7F4B">
            <w:pPr>
              <w:pStyle w:val="tableteksttab"/>
            </w:pPr>
            <w:r w:rsidRPr="00837F36">
              <w:t>89,85</w:t>
            </w:r>
          </w:p>
        </w:tc>
        <w:tc>
          <w:tcPr>
            <w:tcW w:w="419" w:type="pct"/>
            <w:tcBorders>
              <w:top w:val="single" w:sz="4" w:space="0" w:color="522398"/>
              <w:bottom w:val="single" w:sz="4" w:space="0" w:color="522398"/>
            </w:tcBorders>
            <w:vAlign w:val="center"/>
          </w:tcPr>
          <w:p w:rsidR="00DB7F4B" w:rsidRPr="002226A1" w:rsidRDefault="00DB7F4B" w:rsidP="00DB7F4B">
            <w:pPr>
              <w:pStyle w:val="tableteksttab"/>
            </w:pPr>
            <w:r w:rsidRPr="00837F36">
              <w:t>110,9</w:t>
            </w:r>
          </w:p>
        </w:tc>
        <w:tc>
          <w:tcPr>
            <w:tcW w:w="419" w:type="pct"/>
            <w:tcBorders>
              <w:top w:val="single" w:sz="4" w:space="0" w:color="522398"/>
              <w:bottom w:val="single" w:sz="4" w:space="0" w:color="522398"/>
            </w:tcBorders>
            <w:vAlign w:val="center"/>
          </w:tcPr>
          <w:p w:rsidR="00DB7F4B" w:rsidRPr="0060471D" w:rsidRDefault="00DB7F4B" w:rsidP="00DB7F4B">
            <w:pPr>
              <w:pStyle w:val="tableteksttab"/>
              <w:rPr>
                <w:highlight w:val="cyan"/>
              </w:rPr>
            </w:pPr>
            <w:r w:rsidRPr="00FA6990">
              <w:t>112,50</w:t>
            </w:r>
          </w:p>
        </w:tc>
        <w:tc>
          <w:tcPr>
            <w:tcW w:w="419" w:type="pct"/>
            <w:tcBorders>
              <w:top w:val="single" w:sz="4" w:space="0" w:color="522398"/>
              <w:bottom w:val="single" w:sz="4" w:space="0" w:color="522398"/>
            </w:tcBorders>
            <w:vAlign w:val="center"/>
          </w:tcPr>
          <w:p w:rsidR="00DB7F4B" w:rsidRPr="0060471D" w:rsidRDefault="00DB7F4B" w:rsidP="00DB7F4B">
            <w:pPr>
              <w:pStyle w:val="tableteksttab"/>
              <w:rPr>
                <w:highlight w:val="cyan"/>
              </w:rPr>
            </w:pPr>
            <w:r w:rsidRPr="00FA6990">
              <w:t>98,0</w:t>
            </w:r>
          </w:p>
        </w:tc>
        <w:tc>
          <w:tcPr>
            <w:tcW w:w="419" w:type="pct"/>
            <w:tcBorders>
              <w:top w:val="single" w:sz="4" w:space="0" w:color="522398"/>
              <w:bottom w:val="single" w:sz="4" w:space="0" w:color="522398"/>
            </w:tcBorders>
            <w:vAlign w:val="center"/>
          </w:tcPr>
          <w:p w:rsidR="00DB7F4B" w:rsidRPr="0060471D" w:rsidRDefault="00DB7F4B" w:rsidP="00DB7F4B">
            <w:pPr>
              <w:pStyle w:val="tableteksttab"/>
              <w:rPr>
                <w:highlight w:val="cyan"/>
              </w:rPr>
            </w:pPr>
            <w:r w:rsidRPr="00FA6990">
              <w:t>97,2</w:t>
            </w:r>
          </w:p>
        </w:tc>
        <w:tc>
          <w:tcPr>
            <w:tcW w:w="419" w:type="pct"/>
            <w:tcBorders>
              <w:top w:val="single" w:sz="4" w:space="0" w:color="522398"/>
              <w:bottom w:val="single" w:sz="4" w:space="0" w:color="522398"/>
            </w:tcBorders>
            <w:vAlign w:val="center"/>
          </w:tcPr>
          <w:p w:rsidR="00DB7F4B" w:rsidRPr="0060471D" w:rsidRDefault="00DB7F4B" w:rsidP="00DB7F4B">
            <w:pPr>
              <w:pStyle w:val="tableteksttab"/>
              <w:rPr>
                <w:highlight w:val="cyan"/>
              </w:rPr>
            </w:pPr>
            <w:r w:rsidRPr="00FA6990">
              <w:t>116,91</w:t>
            </w:r>
          </w:p>
        </w:tc>
        <w:tc>
          <w:tcPr>
            <w:tcW w:w="418" w:type="pct"/>
            <w:tcBorders>
              <w:top w:val="single" w:sz="4" w:space="0" w:color="522398"/>
              <w:bottom w:val="single" w:sz="4" w:space="0" w:color="522398"/>
            </w:tcBorders>
            <w:vAlign w:val="center"/>
          </w:tcPr>
          <w:p w:rsidR="00DB7F4B" w:rsidRPr="0060471D" w:rsidRDefault="00DB7F4B" w:rsidP="00DB7F4B">
            <w:pPr>
              <w:pStyle w:val="tableteksttab"/>
              <w:rPr>
                <w:highlight w:val="cyan"/>
              </w:rPr>
            </w:pPr>
            <w:r w:rsidRPr="00FA6990">
              <w:t>99,3</w:t>
            </w:r>
          </w:p>
        </w:tc>
      </w:tr>
      <w:tr w:rsidR="00DB7F4B" w:rsidRPr="000D200C" w:rsidTr="00691DA7">
        <w:trPr>
          <w:trHeight w:val="57"/>
          <w:tblHeader/>
          <w:jc w:val="center"/>
        </w:trPr>
        <w:tc>
          <w:tcPr>
            <w:tcW w:w="814" w:type="pct"/>
            <w:tcBorders>
              <w:top w:val="single" w:sz="4" w:space="0" w:color="522398"/>
            </w:tcBorders>
            <w:vAlign w:val="center"/>
          </w:tcPr>
          <w:p w:rsidR="00DB7F4B" w:rsidRPr="000D200C" w:rsidRDefault="00DB7F4B" w:rsidP="00DB7F4B">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żyto</w:t>
            </w:r>
          </w:p>
        </w:tc>
        <w:tc>
          <w:tcPr>
            <w:tcW w:w="418" w:type="pct"/>
            <w:tcBorders>
              <w:top w:val="single" w:sz="4" w:space="0" w:color="522398"/>
            </w:tcBorders>
            <w:vAlign w:val="center"/>
          </w:tcPr>
          <w:p w:rsidR="00DB7F4B" w:rsidRPr="002226A1" w:rsidRDefault="00DB7F4B" w:rsidP="00DB7F4B">
            <w:pPr>
              <w:pStyle w:val="tableteksttab"/>
            </w:pPr>
            <w:r w:rsidRPr="00837F36">
              <w:t>62,84</w:t>
            </w:r>
          </w:p>
        </w:tc>
        <w:tc>
          <w:tcPr>
            <w:tcW w:w="418" w:type="pct"/>
            <w:tcBorders>
              <w:top w:val="single" w:sz="4" w:space="0" w:color="522398"/>
            </w:tcBorders>
            <w:vAlign w:val="center"/>
          </w:tcPr>
          <w:p w:rsidR="00DB7F4B" w:rsidRPr="002226A1" w:rsidRDefault="00DB7F4B" w:rsidP="00DB7F4B">
            <w:pPr>
              <w:pStyle w:val="tableteksttab"/>
            </w:pPr>
            <w:r w:rsidRPr="00837F36">
              <w:t>114,9</w:t>
            </w:r>
          </w:p>
        </w:tc>
        <w:tc>
          <w:tcPr>
            <w:tcW w:w="419" w:type="pct"/>
            <w:tcBorders>
              <w:top w:val="single" w:sz="4" w:space="0" w:color="522398"/>
            </w:tcBorders>
            <w:vAlign w:val="center"/>
          </w:tcPr>
          <w:p w:rsidR="00DB7F4B" w:rsidRPr="002226A1" w:rsidRDefault="00DB7F4B" w:rsidP="00DB7F4B">
            <w:pPr>
              <w:pStyle w:val="tableteksttab"/>
            </w:pPr>
            <w:r w:rsidRPr="00837F36">
              <w:t>85,3</w:t>
            </w:r>
          </w:p>
        </w:tc>
        <w:tc>
          <w:tcPr>
            <w:tcW w:w="418" w:type="pct"/>
            <w:tcBorders>
              <w:top w:val="single" w:sz="4" w:space="0" w:color="522398"/>
            </w:tcBorders>
            <w:vAlign w:val="bottom"/>
          </w:tcPr>
          <w:p w:rsidR="00DB7F4B" w:rsidRPr="002226A1" w:rsidRDefault="00DB7F4B" w:rsidP="00DB7F4B">
            <w:pPr>
              <w:pStyle w:val="tableteksttab"/>
            </w:pPr>
            <w:r w:rsidRPr="00837F36">
              <w:t>70,78</w:t>
            </w:r>
          </w:p>
        </w:tc>
        <w:tc>
          <w:tcPr>
            <w:tcW w:w="419" w:type="pct"/>
            <w:tcBorders>
              <w:top w:val="single" w:sz="4" w:space="0" w:color="522398"/>
            </w:tcBorders>
            <w:vAlign w:val="bottom"/>
          </w:tcPr>
          <w:p w:rsidR="00DB7F4B" w:rsidRPr="002226A1" w:rsidRDefault="00DB7F4B" w:rsidP="00DB7F4B">
            <w:pPr>
              <w:pStyle w:val="tableteksttab"/>
            </w:pPr>
            <w:r w:rsidRPr="00837F36">
              <w:t>130,2</w:t>
            </w:r>
          </w:p>
        </w:tc>
        <w:tc>
          <w:tcPr>
            <w:tcW w:w="419" w:type="pct"/>
            <w:tcBorders>
              <w:top w:val="single" w:sz="4" w:space="0" w:color="522398"/>
            </w:tcBorders>
            <w:vAlign w:val="center"/>
          </w:tcPr>
          <w:p w:rsidR="00DB7F4B" w:rsidRPr="0060471D" w:rsidRDefault="00DB7F4B" w:rsidP="00DB7F4B">
            <w:pPr>
              <w:pStyle w:val="tableteksttab"/>
              <w:rPr>
                <w:highlight w:val="cyan"/>
              </w:rPr>
            </w:pPr>
            <w:r w:rsidRPr="00FA6990">
              <w:t>89,23</w:t>
            </w:r>
          </w:p>
        </w:tc>
        <w:tc>
          <w:tcPr>
            <w:tcW w:w="419" w:type="pct"/>
            <w:tcBorders>
              <w:top w:val="single" w:sz="4" w:space="0" w:color="522398"/>
            </w:tcBorders>
            <w:vAlign w:val="center"/>
          </w:tcPr>
          <w:p w:rsidR="00DB7F4B" w:rsidRPr="0060471D" w:rsidRDefault="00DB7F4B" w:rsidP="00DB7F4B">
            <w:pPr>
              <w:pStyle w:val="tableteksttab"/>
              <w:rPr>
                <w:highlight w:val="cyan"/>
              </w:rPr>
            </w:pPr>
            <w:r w:rsidRPr="00FA6990">
              <w:t>95,8</w:t>
            </w:r>
          </w:p>
        </w:tc>
        <w:tc>
          <w:tcPr>
            <w:tcW w:w="419" w:type="pct"/>
            <w:tcBorders>
              <w:top w:val="single" w:sz="4" w:space="0" w:color="522398"/>
            </w:tcBorders>
            <w:vAlign w:val="center"/>
          </w:tcPr>
          <w:p w:rsidR="00DB7F4B" w:rsidRPr="0060471D" w:rsidRDefault="00DB7F4B" w:rsidP="00DB7F4B">
            <w:pPr>
              <w:pStyle w:val="tableteksttab"/>
              <w:rPr>
                <w:highlight w:val="cyan"/>
              </w:rPr>
            </w:pPr>
            <w:r w:rsidRPr="00FA6990">
              <w:t>95,8</w:t>
            </w:r>
          </w:p>
        </w:tc>
        <w:tc>
          <w:tcPr>
            <w:tcW w:w="419" w:type="pct"/>
            <w:tcBorders>
              <w:top w:val="single" w:sz="4" w:space="0" w:color="522398"/>
            </w:tcBorders>
            <w:vAlign w:val="center"/>
          </w:tcPr>
          <w:p w:rsidR="00DB7F4B" w:rsidRPr="0060471D" w:rsidRDefault="00DB7F4B" w:rsidP="00DB7F4B">
            <w:pPr>
              <w:pStyle w:val="tableteksttab"/>
              <w:rPr>
                <w:highlight w:val="cyan"/>
              </w:rPr>
            </w:pPr>
            <w:r w:rsidRPr="00FA6990">
              <w:t>93,93</w:t>
            </w:r>
          </w:p>
        </w:tc>
        <w:tc>
          <w:tcPr>
            <w:tcW w:w="418" w:type="pct"/>
            <w:tcBorders>
              <w:top w:val="single" w:sz="4" w:space="0" w:color="522398"/>
            </w:tcBorders>
            <w:vAlign w:val="center"/>
          </w:tcPr>
          <w:p w:rsidR="00DB7F4B" w:rsidRPr="0060471D" w:rsidRDefault="00DB7F4B" w:rsidP="00DB7F4B">
            <w:pPr>
              <w:pStyle w:val="tableteksttab"/>
              <w:rPr>
                <w:highlight w:val="cyan"/>
              </w:rPr>
            </w:pPr>
            <w:r w:rsidRPr="00FA6990">
              <w:t>93,7</w:t>
            </w:r>
          </w:p>
        </w:tc>
      </w:tr>
      <w:tr w:rsidR="00DB7F4B" w:rsidRPr="000D200C" w:rsidTr="009841F9">
        <w:trPr>
          <w:trHeight w:val="57"/>
          <w:tblHeader/>
          <w:jc w:val="center"/>
        </w:trPr>
        <w:tc>
          <w:tcPr>
            <w:tcW w:w="814" w:type="pct"/>
            <w:vAlign w:val="center"/>
          </w:tcPr>
          <w:p w:rsidR="00DB7F4B" w:rsidRPr="000D200C" w:rsidRDefault="00DB7F4B" w:rsidP="00DB7F4B">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Ziemniaki</w:t>
            </w:r>
            <w:r w:rsidRPr="000D200C">
              <w:rPr>
                <w:rFonts w:eastAsia="Times New Roman" w:cs="Times New Roman"/>
                <w:spacing w:val="-4"/>
                <w:sz w:val="16"/>
                <w:szCs w:val="16"/>
                <w:vertAlign w:val="superscript"/>
                <w:lang w:eastAsia="pl-PL"/>
              </w:rPr>
              <w:t xml:space="preserve"> b</w:t>
            </w:r>
            <w:r w:rsidRPr="000D200C">
              <w:rPr>
                <w:rFonts w:eastAsia="Times New Roman" w:cs="Times New Roman"/>
                <w:spacing w:val="-4"/>
                <w:sz w:val="16"/>
                <w:szCs w:val="16"/>
                <w:lang w:eastAsia="pl-PL"/>
              </w:rPr>
              <w:t xml:space="preserve"> za 1 dt</w:t>
            </w:r>
          </w:p>
        </w:tc>
        <w:tc>
          <w:tcPr>
            <w:tcW w:w="418" w:type="pct"/>
            <w:shd w:val="clear" w:color="auto" w:fill="auto"/>
            <w:vAlign w:val="center"/>
          </w:tcPr>
          <w:p w:rsidR="00DB7F4B" w:rsidRPr="002226A1" w:rsidRDefault="00DB7F4B" w:rsidP="00DB7F4B">
            <w:pPr>
              <w:pStyle w:val="tableteksttab"/>
            </w:pPr>
            <w:r w:rsidRPr="00837F36">
              <w:t>89,93</w:t>
            </w:r>
          </w:p>
        </w:tc>
        <w:tc>
          <w:tcPr>
            <w:tcW w:w="418" w:type="pct"/>
            <w:vAlign w:val="center"/>
          </w:tcPr>
          <w:p w:rsidR="00DB7F4B" w:rsidRPr="002226A1" w:rsidRDefault="00DB7F4B" w:rsidP="00DB7F4B">
            <w:pPr>
              <w:pStyle w:val="tableteksttab"/>
            </w:pPr>
            <w:r w:rsidRPr="00837F36">
              <w:t>74,6</w:t>
            </w:r>
          </w:p>
        </w:tc>
        <w:tc>
          <w:tcPr>
            <w:tcW w:w="419" w:type="pct"/>
            <w:vAlign w:val="center"/>
          </w:tcPr>
          <w:p w:rsidR="00DB7F4B" w:rsidRPr="002226A1" w:rsidRDefault="00DB7F4B" w:rsidP="00DB7F4B">
            <w:pPr>
              <w:pStyle w:val="tableteksttab"/>
            </w:pPr>
            <w:r w:rsidRPr="00837F36">
              <w:t>69,9</w:t>
            </w:r>
          </w:p>
        </w:tc>
        <w:tc>
          <w:tcPr>
            <w:tcW w:w="418" w:type="pct"/>
            <w:vAlign w:val="bottom"/>
          </w:tcPr>
          <w:p w:rsidR="00DB7F4B" w:rsidRPr="002226A1" w:rsidRDefault="00DB7F4B" w:rsidP="00DB7F4B">
            <w:pPr>
              <w:pStyle w:val="tableteksttab"/>
            </w:pPr>
            <w:r w:rsidRPr="00837F36">
              <w:t>148,34</w:t>
            </w:r>
          </w:p>
        </w:tc>
        <w:tc>
          <w:tcPr>
            <w:tcW w:w="419" w:type="pct"/>
            <w:vAlign w:val="bottom"/>
          </w:tcPr>
          <w:p w:rsidR="00DB7F4B" w:rsidRPr="002226A1" w:rsidRDefault="00DB7F4B" w:rsidP="00DB7F4B">
            <w:pPr>
              <w:pStyle w:val="tableteksttab"/>
            </w:pPr>
            <w:r w:rsidRPr="00837F36">
              <w:t>91,8</w:t>
            </w:r>
          </w:p>
        </w:tc>
        <w:tc>
          <w:tcPr>
            <w:tcW w:w="419" w:type="pct"/>
            <w:shd w:val="clear" w:color="auto" w:fill="auto"/>
          </w:tcPr>
          <w:p w:rsidR="00DB7F4B" w:rsidRPr="000D200C" w:rsidRDefault="00DB7F4B" w:rsidP="00DB7F4B">
            <w:pPr>
              <w:pStyle w:val="tableteksttab"/>
            </w:pPr>
            <w:r w:rsidRPr="000D200C">
              <w:t>.</w:t>
            </w:r>
          </w:p>
        </w:tc>
        <w:tc>
          <w:tcPr>
            <w:tcW w:w="419" w:type="pct"/>
          </w:tcPr>
          <w:p w:rsidR="00DB7F4B" w:rsidRPr="000D200C" w:rsidRDefault="00DB7F4B" w:rsidP="00DB7F4B">
            <w:pPr>
              <w:pStyle w:val="tableteksttab"/>
            </w:pPr>
            <w:r w:rsidRPr="000D200C">
              <w:t>.</w:t>
            </w:r>
          </w:p>
        </w:tc>
        <w:tc>
          <w:tcPr>
            <w:tcW w:w="419" w:type="pct"/>
          </w:tcPr>
          <w:p w:rsidR="00DB7F4B" w:rsidRPr="000D200C" w:rsidRDefault="00DB7F4B" w:rsidP="00DB7F4B">
            <w:pPr>
              <w:pStyle w:val="tableteksttab"/>
            </w:pPr>
            <w:r w:rsidRPr="000D200C">
              <w:t>.</w:t>
            </w:r>
          </w:p>
        </w:tc>
        <w:tc>
          <w:tcPr>
            <w:tcW w:w="419" w:type="pct"/>
            <w:vAlign w:val="center"/>
          </w:tcPr>
          <w:p w:rsidR="00DB7F4B" w:rsidRPr="0060471D" w:rsidRDefault="00DB7F4B" w:rsidP="00DB7F4B">
            <w:pPr>
              <w:pStyle w:val="tableteksttab"/>
              <w:rPr>
                <w:highlight w:val="cyan"/>
              </w:rPr>
            </w:pPr>
            <w:r w:rsidRPr="00FA6990">
              <w:t>228,02</w:t>
            </w:r>
          </w:p>
        </w:tc>
        <w:tc>
          <w:tcPr>
            <w:tcW w:w="418" w:type="pct"/>
            <w:vAlign w:val="center"/>
          </w:tcPr>
          <w:p w:rsidR="00DB7F4B" w:rsidRPr="0060471D" w:rsidRDefault="00DB7F4B" w:rsidP="00DB7F4B">
            <w:pPr>
              <w:pStyle w:val="tableteksttab"/>
              <w:rPr>
                <w:highlight w:val="cyan"/>
              </w:rPr>
            </w:pPr>
            <w:r w:rsidRPr="00FA6990">
              <w:t>90,7</w:t>
            </w:r>
          </w:p>
        </w:tc>
      </w:tr>
      <w:tr w:rsidR="002226A1" w:rsidRPr="000D200C" w:rsidTr="00F55C88">
        <w:trPr>
          <w:trHeight w:val="57"/>
          <w:tblHeader/>
          <w:jc w:val="center"/>
        </w:trPr>
        <w:tc>
          <w:tcPr>
            <w:tcW w:w="814" w:type="pct"/>
            <w:vAlign w:val="center"/>
          </w:tcPr>
          <w:p w:rsidR="002226A1" w:rsidRPr="000D200C" w:rsidRDefault="002226A1" w:rsidP="002226A1">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Żywiec rzeźny za 1 kg:</w:t>
            </w:r>
          </w:p>
        </w:tc>
        <w:tc>
          <w:tcPr>
            <w:tcW w:w="418" w:type="pct"/>
            <w:shd w:val="clear" w:color="auto" w:fill="auto"/>
            <w:vAlign w:val="center"/>
          </w:tcPr>
          <w:p w:rsidR="002226A1" w:rsidRPr="002226A1" w:rsidRDefault="002226A1" w:rsidP="002226A1">
            <w:pPr>
              <w:pStyle w:val="tableteksttab"/>
            </w:pPr>
          </w:p>
        </w:tc>
        <w:tc>
          <w:tcPr>
            <w:tcW w:w="418" w:type="pct"/>
            <w:vAlign w:val="center"/>
          </w:tcPr>
          <w:p w:rsidR="002226A1" w:rsidRPr="002226A1" w:rsidRDefault="002226A1" w:rsidP="002226A1">
            <w:pPr>
              <w:pStyle w:val="tableteksttab"/>
            </w:pPr>
          </w:p>
        </w:tc>
        <w:tc>
          <w:tcPr>
            <w:tcW w:w="419" w:type="pct"/>
            <w:vAlign w:val="center"/>
          </w:tcPr>
          <w:p w:rsidR="002226A1" w:rsidRPr="002226A1" w:rsidRDefault="002226A1" w:rsidP="002226A1">
            <w:pPr>
              <w:pStyle w:val="tableteksttab"/>
            </w:pPr>
          </w:p>
        </w:tc>
        <w:tc>
          <w:tcPr>
            <w:tcW w:w="418" w:type="pct"/>
            <w:vAlign w:val="bottom"/>
          </w:tcPr>
          <w:p w:rsidR="002226A1" w:rsidRPr="002226A1" w:rsidRDefault="002226A1" w:rsidP="002226A1">
            <w:pPr>
              <w:pStyle w:val="tableteksttab"/>
            </w:pPr>
          </w:p>
        </w:tc>
        <w:tc>
          <w:tcPr>
            <w:tcW w:w="419" w:type="pct"/>
            <w:vAlign w:val="bottom"/>
          </w:tcPr>
          <w:p w:rsidR="002226A1" w:rsidRPr="002226A1" w:rsidRDefault="002226A1" w:rsidP="002226A1">
            <w:pPr>
              <w:pStyle w:val="tableteksttab"/>
            </w:pPr>
          </w:p>
        </w:tc>
        <w:tc>
          <w:tcPr>
            <w:tcW w:w="419" w:type="pct"/>
            <w:shd w:val="clear" w:color="auto" w:fill="auto"/>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r>
      <w:tr w:rsidR="00DB7F4B" w:rsidRPr="000D200C" w:rsidTr="00F55C88">
        <w:trPr>
          <w:trHeight w:val="57"/>
          <w:tblHeader/>
          <w:jc w:val="center"/>
        </w:trPr>
        <w:tc>
          <w:tcPr>
            <w:tcW w:w="814" w:type="pct"/>
            <w:vAlign w:val="center"/>
          </w:tcPr>
          <w:p w:rsidR="00DB7F4B" w:rsidRPr="000D200C" w:rsidRDefault="00DB7F4B" w:rsidP="00DB7F4B">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bydło (bez cieląt)</w:t>
            </w:r>
          </w:p>
        </w:tc>
        <w:tc>
          <w:tcPr>
            <w:tcW w:w="418" w:type="pct"/>
            <w:shd w:val="clear" w:color="auto" w:fill="auto"/>
            <w:vAlign w:val="center"/>
          </w:tcPr>
          <w:p w:rsidR="00DB7F4B" w:rsidRPr="00DB7F4B" w:rsidRDefault="00DB7F4B" w:rsidP="00DB7F4B">
            <w:pPr>
              <w:pStyle w:val="tableteksttab"/>
            </w:pPr>
            <w:r w:rsidRPr="00DB7F4B">
              <w:t>16,17</w:t>
            </w:r>
          </w:p>
        </w:tc>
        <w:tc>
          <w:tcPr>
            <w:tcW w:w="418" w:type="pct"/>
            <w:vAlign w:val="center"/>
          </w:tcPr>
          <w:p w:rsidR="00DB7F4B" w:rsidRPr="00DB7F4B" w:rsidRDefault="00DB7F4B" w:rsidP="00DB7F4B">
            <w:pPr>
              <w:pStyle w:val="tableteksttab"/>
            </w:pPr>
            <w:r w:rsidRPr="00DB7F4B">
              <w:t>154,8</w:t>
            </w:r>
          </w:p>
        </w:tc>
        <w:tc>
          <w:tcPr>
            <w:tcW w:w="419" w:type="pct"/>
            <w:vAlign w:val="center"/>
          </w:tcPr>
          <w:p w:rsidR="00DB7F4B" w:rsidRPr="00DB7F4B" w:rsidRDefault="00DB7F4B" w:rsidP="00DB7F4B">
            <w:pPr>
              <w:pStyle w:val="tableteksttab"/>
            </w:pPr>
            <w:r w:rsidRPr="00DB7F4B">
              <w:t>141,0</w:t>
            </w:r>
          </w:p>
        </w:tc>
        <w:tc>
          <w:tcPr>
            <w:tcW w:w="418" w:type="pct"/>
            <w:vAlign w:val="bottom"/>
          </w:tcPr>
          <w:p w:rsidR="00DB7F4B" w:rsidRPr="00DB7F4B" w:rsidRDefault="00DB7F4B" w:rsidP="00DB7F4B">
            <w:pPr>
              <w:pStyle w:val="tableteksttab"/>
            </w:pPr>
            <w:r w:rsidRPr="00DB7F4B">
              <w:t>13,05</w:t>
            </w:r>
          </w:p>
        </w:tc>
        <w:tc>
          <w:tcPr>
            <w:tcW w:w="419" w:type="pct"/>
            <w:vAlign w:val="bottom"/>
          </w:tcPr>
          <w:p w:rsidR="00DB7F4B" w:rsidRPr="00DB7F4B" w:rsidRDefault="00DB7F4B" w:rsidP="00DB7F4B">
            <w:pPr>
              <w:pStyle w:val="tableteksttab"/>
            </w:pPr>
            <w:r w:rsidRPr="00DB7F4B">
              <w:t>123,9</w:t>
            </w:r>
          </w:p>
        </w:tc>
        <w:tc>
          <w:tcPr>
            <w:tcW w:w="419" w:type="pct"/>
            <w:shd w:val="clear" w:color="auto" w:fill="auto"/>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r w:rsidR="00DB7F4B" w:rsidRPr="000D200C" w:rsidTr="004E5CF3">
        <w:trPr>
          <w:trHeight w:val="57"/>
          <w:tblHeader/>
          <w:jc w:val="center"/>
        </w:trPr>
        <w:tc>
          <w:tcPr>
            <w:tcW w:w="814" w:type="pct"/>
            <w:vAlign w:val="center"/>
          </w:tcPr>
          <w:p w:rsidR="00DB7F4B" w:rsidRPr="000D200C" w:rsidRDefault="00DB7F4B" w:rsidP="00DB7F4B">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trzoda chlewna</w:t>
            </w:r>
          </w:p>
        </w:tc>
        <w:tc>
          <w:tcPr>
            <w:tcW w:w="418" w:type="pct"/>
            <w:shd w:val="clear" w:color="auto" w:fill="auto"/>
            <w:vAlign w:val="center"/>
          </w:tcPr>
          <w:p w:rsidR="00DB7F4B" w:rsidRPr="00DB7F4B" w:rsidRDefault="00DB7F4B" w:rsidP="00DB7F4B">
            <w:pPr>
              <w:pStyle w:val="tableteksttab"/>
            </w:pPr>
            <w:r w:rsidRPr="00DB7F4B">
              <w:t>6,63</w:t>
            </w:r>
          </w:p>
        </w:tc>
        <w:tc>
          <w:tcPr>
            <w:tcW w:w="418" w:type="pct"/>
            <w:vAlign w:val="center"/>
          </w:tcPr>
          <w:p w:rsidR="00DB7F4B" w:rsidRPr="00DB7F4B" w:rsidRDefault="00DB7F4B" w:rsidP="00DB7F4B">
            <w:pPr>
              <w:pStyle w:val="tableteksttab"/>
            </w:pPr>
            <w:r w:rsidRPr="00DB7F4B">
              <w:t>89,1</w:t>
            </w:r>
          </w:p>
        </w:tc>
        <w:tc>
          <w:tcPr>
            <w:tcW w:w="419" w:type="pct"/>
            <w:vAlign w:val="center"/>
          </w:tcPr>
          <w:p w:rsidR="00DB7F4B" w:rsidRPr="00DB7F4B" w:rsidRDefault="00DB7F4B" w:rsidP="00DB7F4B">
            <w:pPr>
              <w:pStyle w:val="tableteksttab"/>
            </w:pPr>
            <w:r w:rsidRPr="00DB7F4B">
              <w:t>94,5</w:t>
            </w:r>
          </w:p>
        </w:tc>
        <w:tc>
          <w:tcPr>
            <w:tcW w:w="418" w:type="pct"/>
            <w:vAlign w:val="bottom"/>
          </w:tcPr>
          <w:p w:rsidR="00DB7F4B" w:rsidRPr="00DB7F4B" w:rsidRDefault="00DB7F4B" w:rsidP="00DB7F4B">
            <w:pPr>
              <w:pStyle w:val="tableteksttab"/>
            </w:pPr>
            <w:r w:rsidRPr="00DB7F4B">
              <w:t>6,51</w:t>
            </w:r>
          </w:p>
        </w:tc>
        <w:tc>
          <w:tcPr>
            <w:tcW w:w="419" w:type="pct"/>
            <w:vAlign w:val="bottom"/>
          </w:tcPr>
          <w:p w:rsidR="00DB7F4B" w:rsidRPr="00DB7F4B" w:rsidRDefault="00DB7F4B" w:rsidP="00DB7F4B">
            <w:pPr>
              <w:pStyle w:val="tableteksttab"/>
            </w:pPr>
            <w:r w:rsidRPr="00DB7F4B">
              <w:t>88,0</w:t>
            </w:r>
          </w:p>
        </w:tc>
        <w:tc>
          <w:tcPr>
            <w:tcW w:w="419" w:type="pct"/>
            <w:shd w:val="clear" w:color="auto" w:fill="auto"/>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r w:rsidR="00DB7F4B" w:rsidRPr="000D200C" w:rsidTr="004E5CF3">
        <w:trPr>
          <w:trHeight w:val="57"/>
          <w:tblHeader/>
          <w:jc w:val="center"/>
        </w:trPr>
        <w:tc>
          <w:tcPr>
            <w:tcW w:w="814" w:type="pct"/>
            <w:tcBorders>
              <w:bottom w:val="single" w:sz="4" w:space="0" w:color="522398"/>
            </w:tcBorders>
            <w:vAlign w:val="center"/>
          </w:tcPr>
          <w:p w:rsidR="00DB7F4B" w:rsidRPr="000D200C" w:rsidRDefault="00DB7F4B" w:rsidP="00DB7F4B">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drób</w:t>
            </w:r>
          </w:p>
        </w:tc>
        <w:tc>
          <w:tcPr>
            <w:tcW w:w="418" w:type="pct"/>
            <w:tcBorders>
              <w:bottom w:val="single" w:sz="4" w:space="0" w:color="522398"/>
            </w:tcBorders>
            <w:shd w:val="clear" w:color="auto" w:fill="auto"/>
            <w:vAlign w:val="center"/>
          </w:tcPr>
          <w:p w:rsidR="00DB7F4B" w:rsidRPr="00DB7F4B" w:rsidRDefault="00DB7F4B" w:rsidP="00DB7F4B">
            <w:pPr>
              <w:pStyle w:val="tableteksttab"/>
            </w:pPr>
            <w:r w:rsidRPr="00DB7F4B">
              <w:t>6,26</w:t>
            </w:r>
          </w:p>
        </w:tc>
        <w:tc>
          <w:tcPr>
            <w:tcW w:w="418" w:type="pct"/>
            <w:tcBorders>
              <w:bottom w:val="single" w:sz="4" w:space="0" w:color="522398"/>
            </w:tcBorders>
            <w:vAlign w:val="center"/>
          </w:tcPr>
          <w:p w:rsidR="00DB7F4B" w:rsidRPr="00DB7F4B" w:rsidRDefault="00DB7F4B" w:rsidP="00DB7F4B">
            <w:pPr>
              <w:pStyle w:val="tableteksttab"/>
            </w:pPr>
            <w:r w:rsidRPr="00DB7F4B">
              <w:t>115,6</w:t>
            </w:r>
          </w:p>
        </w:tc>
        <w:tc>
          <w:tcPr>
            <w:tcW w:w="419" w:type="pct"/>
            <w:tcBorders>
              <w:bottom w:val="single" w:sz="4" w:space="0" w:color="522398"/>
            </w:tcBorders>
            <w:vAlign w:val="center"/>
          </w:tcPr>
          <w:p w:rsidR="00DB7F4B" w:rsidRPr="00DB7F4B" w:rsidRDefault="00DB7F4B" w:rsidP="00DB7F4B">
            <w:pPr>
              <w:pStyle w:val="tableteksttab"/>
            </w:pPr>
            <w:r w:rsidRPr="00DB7F4B">
              <w:t>96,5</w:t>
            </w:r>
          </w:p>
        </w:tc>
        <w:tc>
          <w:tcPr>
            <w:tcW w:w="418" w:type="pct"/>
            <w:tcBorders>
              <w:bottom w:val="single" w:sz="4" w:space="0" w:color="522398"/>
            </w:tcBorders>
            <w:vAlign w:val="bottom"/>
          </w:tcPr>
          <w:p w:rsidR="00DB7F4B" w:rsidRPr="00DB7F4B" w:rsidRDefault="00DB7F4B" w:rsidP="00DB7F4B">
            <w:pPr>
              <w:pStyle w:val="tableteksttab"/>
            </w:pPr>
            <w:r w:rsidRPr="00DB7F4B">
              <w:t>6,01</w:t>
            </w:r>
          </w:p>
        </w:tc>
        <w:tc>
          <w:tcPr>
            <w:tcW w:w="419" w:type="pct"/>
            <w:tcBorders>
              <w:bottom w:val="single" w:sz="4" w:space="0" w:color="522398"/>
            </w:tcBorders>
            <w:vAlign w:val="bottom"/>
          </w:tcPr>
          <w:p w:rsidR="00DB7F4B" w:rsidRPr="00DB7F4B" w:rsidRDefault="00DB7F4B" w:rsidP="00DB7F4B">
            <w:pPr>
              <w:pStyle w:val="tableteksttab"/>
            </w:pPr>
            <w:r w:rsidRPr="00DB7F4B">
              <w:t>117,4</w:t>
            </w:r>
          </w:p>
        </w:tc>
        <w:tc>
          <w:tcPr>
            <w:tcW w:w="419" w:type="pct"/>
            <w:tcBorders>
              <w:bottom w:val="single" w:sz="4" w:space="0" w:color="522398"/>
            </w:tcBorders>
            <w:shd w:val="clear" w:color="auto" w:fill="auto"/>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bottom w:val="single" w:sz="4" w:space="0" w:color="522398"/>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bottom w:val="single" w:sz="4" w:space="0" w:color="522398"/>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bottom w:val="single" w:sz="4" w:space="0" w:color="522398"/>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Borders>
              <w:bottom w:val="single" w:sz="4" w:space="0" w:color="522398"/>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r w:rsidR="00DB7F4B" w:rsidRPr="000D200C" w:rsidTr="00F55C88">
        <w:trPr>
          <w:trHeight w:val="57"/>
          <w:jc w:val="center"/>
        </w:trPr>
        <w:tc>
          <w:tcPr>
            <w:tcW w:w="814" w:type="pct"/>
            <w:tcBorders>
              <w:top w:val="single" w:sz="4" w:space="0" w:color="522398"/>
              <w:bottom w:val="nil"/>
            </w:tcBorders>
            <w:vAlign w:val="center"/>
          </w:tcPr>
          <w:p w:rsidR="00DB7F4B" w:rsidRPr="000D200C" w:rsidRDefault="00DB7F4B" w:rsidP="00DB7F4B">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Mleko za 1 hl</w:t>
            </w:r>
          </w:p>
        </w:tc>
        <w:tc>
          <w:tcPr>
            <w:tcW w:w="418" w:type="pct"/>
            <w:tcBorders>
              <w:top w:val="single" w:sz="4" w:space="0" w:color="522398"/>
              <w:bottom w:val="nil"/>
            </w:tcBorders>
            <w:shd w:val="clear" w:color="auto" w:fill="auto"/>
            <w:vAlign w:val="center"/>
          </w:tcPr>
          <w:p w:rsidR="00DB7F4B" w:rsidRPr="00DB7F4B" w:rsidRDefault="00DB7F4B" w:rsidP="00DB7F4B">
            <w:pPr>
              <w:pStyle w:val="tableteksttab"/>
            </w:pPr>
            <w:r w:rsidRPr="00DB7F4B">
              <w:t>218,91</w:t>
            </w:r>
          </w:p>
        </w:tc>
        <w:tc>
          <w:tcPr>
            <w:tcW w:w="418" w:type="pct"/>
            <w:tcBorders>
              <w:top w:val="single" w:sz="4" w:space="0" w:color="522398"/>
              <w:bottom w:val="nil"/>
            </w:tcBorders>
            <w:vAlign w:val="center"/>
          </w:tcPr>
          <w:p w:rsidR="00DB7F4B" w:rsidRPr="00DB7F4B" w:rsidRDefault="00DB7F4B" w:rsidP="00DB7F4B">
            <w:pPr>
              <w:pStyle w:val="tableteksttab"/>
            </w:pPr>
            <w:r w:rsidRPr="00DB7F4B">
              <w:t>113,6</w:t>
            </w:r>
          </w:p>
        </w:tc>
        <w:tc>
          <w:tcPr>
            <w:tcW w:w="419" w:type="pct"/>
            <w:tcBorders>
              <w:top w:val="single" w:sz="4" w:space="0" w:color="522398"/>
              <w:bottom w:val="nil"/>
            </w:tcBorders>
            <w:vAlign w:val="center"/>
          </w:tcPr>
          <w:p w:rsidR="00DB7F4B" w:rsidRPr="00DB7F4B" w:rsidRDefault="00DB7F4B" w:rsidP="00DB7F4B">
            <w:pPr>
              <w:pStyle w:val="tableteksttab"/>
            </w:pPr>
            <w:r w:rsidRPr="00DB7F4B">
              <w:t>99,6</w:t>
            </w:r>
          </w:p>
        </w:tc>
        <w:tc>
          <w:tcPr>
            <w:tcW w:w="418" w:type="pct"/>
            <w:tcBorders>
              <w:top w:val="single" w:sz="4" w:space="0" w:color="522398"/>
              <w:bottom w:val="nil"/>
            </w:tcBorders>
            <w:vAlign w:val="bottom"/>
          </w:tcPr>
          <w:p w:rsidR="00DB7F4B" w:rsidRPr="00DB7F4B" w:rsidRDefault="00DB7F4B" w:rsidP="00DB7F4B">
            <w:pPr>
              <w:pStyle w:val="tableteksttab"/>
            </w:pPr>
            <w:r w:rsidRPr="00DB7F4B">
              <w:t>222,90</w:t>
            </w:r>
          </w:p>
        </w:tc>
        <w:tc>
          <w:tcPr>
            <w:tcW w:w="419" w:type="pct"/>
            <w:tcBorders>
              <w:top w:val="single" w:sz="4" w:space="0" w:color="522398"/>
              <w:bottom w:val="nil"/>
            </w:tcBorders>
            <w:vAlign w:val="bottom"/>
          </w:tcPr>
          <w:p w:rsidR="00DB7F4B" w:rsidRPr="00DB7F4B" w:rsidRDefault="00DB7F4B" w:rsidP="00DB7F4B">
            <w:pPr>
              <w:pStyle w:val="tableteksttab"/>
            </w:pPr>
            <w:r w:rsidRPr="00DB7F4B">
              <w:t>112,3</w:t>
            </w:r>
          </w:p>
        </w:tc>
        <w:tc>
          <w:tcPr>
            <w:tcW w:w="419" w:type="pct"/>
            <w:tcBorders>
              <w:top w:val="single" w:sz="4" w:space="0" w:color="522398"/>
              <w:bottom w:val="nil"/>
            </w:tcBorders>
            <w:shd w:val="clear" w:color="auto" w:fill="auto"/>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top w:val="single" w:sz="4" w:space="0" w:color="522398"/>
              <w:bottom w:val="nil"/>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top w:val="single" w:sz="4" w:space="0" w:color="522398"/>
              <w:bottom w:val="nil"/>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top w:val="single" w:sz="4" w:space="0" w:color="522398"/>
              <w:bottom w:val="nil"/>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Borders>
              <w:top w:val="single" w:sz="4" w:space="0" w:color="522398"/>
              <w:bottom w:val="nil"/>
            </w:tcBorders>
          </w:tcPr>
          <w:p w:rsidR="00DB7F4B" w:rsidRPr="000D200C" w:rsidRDefault="00DB7F4B" w:rsidP="00DB7F4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bl>
    <w:p w:rsidR="005B6279" w:rsidRPr="000D200C" w:rsidRDefault="005B6279" w:rsidP="00EB4501">
      <w:pPr>
        <w:pStyle w:val="notka"/>
      </w:pPr>
      <w:r w:rsidRPr="000D200C">
        <w:t>a W skupie bez ziarna siewnego. b Na targowiskach – jadalne późne.</w:t>
      </w:r>
    </w:p>
    <w:p w:rsidR="005B6279" w:rsidRPr="007A6C69" w:rsidRDefault="001C3212" w:rsidP="004C290B">
      <w:pPr>
        <w:pStyle w:val="tekst"/>
        <w:spacing w:before="360"/>
      </w:pPr>
      <w:r w:rsidRPr="00250E7F">
        <w:t xml:space="preserve">Za </w:t>
      </w:r>
      <w:r w:rsidRPr="00250E7F">
        <w:rPr>
          <w:b/>
        </w:rPr>
        <w:t>1 dt</w:t>
      </w:r>
      <w:r w:rsidRPr="00250E7F">
        <w:t xml:space="preserve"> </w:t>
      </w:r>
      <w:r w:rsidRPr="00250E7F">
        <w:rPr>
          <w:b/>
        </w:rPr>
        <w:t>jęczmienia w obrocie targowiskowym</w:t>
      </w:r>
      <w:r w:rsidRPr="00250E7F">
        <w:t xml:space="preserve"> w lipcu br. płacono 103,86 zł, tj. o 3,7% mniej niż w czerwcu br., natomiast w stosunku do analogicznego miesiąca ub. roku cena osiągnęła podobny poziom. Cena </w:t>
      </w:r>
      <w:r w:rsidRPr="00250E7F">
        <w:rPr>
          <w:b/>
        </w:rPr>
        <w:t>owsa</w:t>
      </w:r>
      <w:r w:rsidRPr="00250E7F">
        <w:t xml:space="preserve"> na wolnym rynku wyniosła 106,88 zł za 1 dt i była o 1,8% wyższa od notowanej przed miesiącem, jednak o 1,4% niższa niż w lipcu ub. roku.</w:t>
      </w:r>
    </w:p>
    <w:p w:rsidR="005B6279" w:rsidRDefault="001C3212" w:rsidP="005B6279">
      <w:pPr>
        <w:pStyle w:val="tekst"/>
      </w:pPr>
      <w:r w:rsidRPr="00250E7F">
        <w:t xml:space="preserve">Średnia </w:t>
      </w:r>
      <w:r w:rsidRPr="00250E7F">
        <w:rPr>
          <w:b/>
        </w:rPr>
        <w:t>cena ziemniaków w skupie</w:t>
      </w:r>
      <w:r w:rsidRPr="00250E7F">
        <w:t xml:space="preserve"> w lipcu br. wyniosła 89,93 zł za 1 dt i była niższa zarówno od zanotowanej miesiąc wcześniej</w:t>
      </w:r>
      <w:r w:rsidR="00BD2B46">
        <w:t>,</w:t>
      </w:r>
      <w:r w:rsidRPr="00250E7F">
        <w:t xml:space="preserve"> jak i od ceny sprzed roku, odpowiednio o 30,1% i o 25,4%.</w:t>
      </w:r>
      <w:r w:rsidR="005D78B9" w:rsidRPr="007A6C69">
        <w:t xml:space="preserve"> </w:t>
      </w:r>
    </w:p>
    <w:p w:rsidR="001C3212" w:rsidRDefault="001C3212" w:rsidP="005B6279">
      <w:pPr>
        <w:pStyle w:val="tekst"/>
      </w:pPr>
      <w:r>
        <w:br w:type="page"/>
      </w:r>
    </w:p>
    <w:p w:rsidR="005928D2" w:rsidRDefault="00BA264B" w:rsidP="005928D2">
      <w:pPr>
        <w:pStyle w:val="tytuwykresu"/>
        <w:spacing w:before="360" w:after="120"/>
        <w:rPr>
          <w:bCs/>
          <w:szCs w:val="19"/>
        </w:rPr>
      </w:pPr>
      <w:r w:rsidRPr="00BA264B">
        <w:rPr>
          <w:noProof/>
          <w:lang w:eastAsia="pl-PL"/>
        </w:rPr>
        <w:lastRenderedPageBreak/>
        <w:drawing>
          <wp:anchor distT="71755" distB="180340" distL="114300" distR="114300" simplePos="0" relativeHeight="253054464" behindDoc="0" locked="0" layoutInCell="1" allowOverlap="1">
            <wp:simplePos x="0" y="0"/>
            <wp:positionH relativeFrom="margin">
              <wp:align>center</wp:align>
            </wp:positionH>
            <wp:positionV relativeFrom="paragraph">
              <wp:posOffset>381000</wp:posOffset>
            </wp:positionV>
            <wp:extent cx="5464800" cy="2401200"/>
            <wp:effectExtent l="0" t="0" r="3175" b="0"/>
            <wp:wrapTopAndBottom/>
            <wp:docPr id="17" name="Obraz 17" descr="Podwójny wykres liniowy (pszenica i żyto) prezentujący kształtowanie się cen zbóż w skupie w poszczególnych miesiącach w latach 2022–2025 (oś pozioma). Oś pionowa wartości w zakresie od 0 do 175 zł za 1 dt.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48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3F192B">
        <w:t>Wykres</w:t>
      </w:r>
      <w:r w:rsidR="005928D2">
        <w:t xml:space="preserve"> 6.</w:t>
      </w:r>
      <w:r w:rsidR="005928D2">
        <w:tab/>
      </w:r>
      <w:r w:rsidR="005928D2" w:rsidRPr="005E3502">
        <w:t xml:space="preserve">Przeciętne ceny skupu </w:t>
      </w:r>
      <w:r w:rsidR="005928D2" w:rsidRPr="00F9103D">
        <w:t xml:space="preserve">zbóż </w:t>
      </w:r>
    </w:p>
    <w:p w:rsidR="008A6162" w:rsidRPr="000D200C" w:rsidRDefault="001C3212" w:rsidP="004C290B">
      <w:pPr>
        <w:pStyle w:val="tekst"/>
        <w:spacing w:before="240"/>
      </w:pPr>
      <w:r w:rsidRPr="00707875">
        <w:t xml:space="preserve">Cena </w:t>
      </w:r>
      <w:r w:rsidRPr="00707875">
        <w:rPr>
          <w:b/>
        </w:rPr>
        <w:t>1</w:t>
      </w:r>
      <w:r w:rsidRPr="00707875">
        <w:rPr>
          <w:b/>
          <w:kern w:val="18"/>
        </w:rPr>
        <w:t xml:space="preserve"> kg </w:t>
      </w:r>
      <w:r w:rsidRPr="00707875">
        <w:rPr>
          <w:b/>
        </w:rPr>
        <w:t>żywca wołowego</w:t>
      </w:r>
      <w:r w:rsidRPr="00707875">
        <w:t xml:space="preserve"> </w:t>
      </w:r>
      <w:r w:rsidRPr="00707875">
        <w:rPr>
          <w:b/>
        </w:rPr>
        <w:t>w skupie</w:t>
      </w:r>
      <w:r w:rsidRPr="00707875">
        <w:t xml:space="preserve"> w lipcu br. ukształtowała się na poziomie 16,17 zł, tj. o 41,0% wyżej niż przed miesiącem i o 54,8% wyżej niż przed rokiem. Za </w:t>
      </w:r>
      <w:r w:rsidRPr="00707875">
        <w:rPr>
          <w:b/>
        </w:rPr>
        <w:t xml:space="preserve">1 kg żywca wieprzowego </w:t>
      </w:r>
      <w:r w:rsidRPr="00707875">
        <w:t xml:space="preserve">płacono w tym czasie 6,63 zł, tj. o 5,5% mniej niż </w:t>
      </w:r>
      <w:r>
        <w:t>w </w:t>
      </w:r>
      <w:r w:rsidRPr="00707875">
        <w:t xml:space="preserve">czerwcu br. i o 10,9% mniej niż w lipcu ub. roku. Cena </w:t>
      </w:r>
      <w:r w:rsidRPr="00707875">
        <w:rPr>
          <w:b/>
        </w:rPr>
        <w:t>żywca drobiowego</w:t>
      </w:r>
      <w:r w:rsidRPr="00707875">
        <w:t xml:space="preserve"> w badanym miesiącu wyniosła 6,26 zł za 1</w:t>
      </w:r>
      <w:r>
        <w:t xml:space="preserve"> </w:t>
      </w:r>
      <w:r w:rsidRPr="00707875">
        <w:t>kg, co w skali miesiąca oznacza spadek o 3,5%, a w ujęciu rocznym – wzrost o 15,6%</w:t>
      </w:r>
      <w:r>
        <w:t>.</w:t>
      </w:r>
    </w:p>
    <w:p w:rsidR="0086710D" w:rsidRDefault="001C3212" w:rsidP="008A6162">
      <w:pPr>
        <w:pStyle w:val="tekst"/>
      </w:pPr>
      <w:r w:rsidRPr="000D200C">
        <w:t xml:space="preserve">Cena 1 kg żywca </w:t>
      </w:r>
      <w:r w:rsidRPr="005D78B9">
        <w:t xml:space="preserve">wieprzowego w skupie </w:t>
      </w:r>
      <w:r>
        <w:t>w lipcu</w:t>
      </w:r>
      <w:r w:rsidRPr="005D78B9">
        <w:t xml:space="preserve"> br. równoważyła wartość </w:t>
      </w:r>
      <w:r w:rsidRPr="00BF431B">
        <w:t>10,5</w:t>
      </w:r>
      <w:r w:rsidRPr="005D78B9">
        <w:t xml:space="preserve"> kg żyta w skupie (wobec 9,</w:t>
      </w:r>
      <w:r>
        <w:t>5</w:t>
      </w:r>
      <w:r w:rsidRPr="005D78B9">
        <w:t xml:space="preserve"> przed miesiącem i </w:t>
      </w:r>
      <w:r w:rsidRPr="00444B93">
        <w:t>13,6</w:t>
      </w:r>
      <w:r w:rsidRPr="005D78B9">
        <w:t xml:space="preserve"> przed rokiem</w:t>
      </w:r>
      <w:r w:rsidRPr="00250E7F">
        <w:t xml:space="preserve">), natomiast </w:t>
      </w:r>
      <w:r w:rsidRPr="00250E7F">
        <w:rPr>
          <w:b/>
        </w:rPr>
        <w:t>r</w:t>
      </w:r>
      <w:r w:rsidRPr="00250E7F">
        <w:rPr>
          <w:b/>
          <w:bCs/>
        </w:rPr>
        <w:t>elacja cen skupu żywca wieprzowego do cen żyta na targowiskach</w:t>
      </w:r>
      <w:r w:rsidRPr="00250E7F">
        <w:t xml:space="preserve"> wyniosła w</w:t>
      </w:r>
      <w:r>
        <w:t xml:space="preserve"> </w:t>
      </w:r>
      <w:r w:rsidRPr="00250E7F">
        <w:t xml:space="preserve">tym czasie 7,4 (wobec 7,5 w czerwcu br. i 8,0 w lipcu ub. roku), a do </w:t>
      </w:r>
      <w:r w:rsidRPr="00250E7F">
        <w:rPr>
          <w:b/>
        </w:rPr>
        <w:t>cen targowiskowych jęczmienia</w:t>
      </w:r>
      <w:r w:rsidRPr="00250E7F">
        <w:t xml:space="preserve"> – 6,4 (wobec odpowiednio 6,5 i 7,2).</w:t>
      </w:r>
    </w:p>
    <w:p w:rsidR="0086710D" w:rsidRPr="0071379D" w:rsidRDefault="001C3212" w:rsidP="0086710D">
      <w:pPr>
        <w:pStyle w:val="tekst"/>
      </w:pPr>
      <w:r w:rsidRPr="00707875">
        <w:rPr>
          <w:b/>
        </w:rPr>
        <w:t>Skup mleka</w:t>
      </w:r>
      <w:r w:rsidRPr="00707875">
        <w:t xml:space="preserve"> w lipcu br. wyniósł 201,5 mln litrów, co oznacza, że był o </w:t>
      </w:r>
      <w:r>
        <w:t>3</w:t>
      </w:r>
      <w:r w:rsidRPr="00707875">
        <w:t xml:space="preserve">,5% mniejszy </w:t>
      </w:r>
      <w:r>
        <w:t xml:space="preserve">niż </w:t>
      </w:r>
      <w:r w:rsidRPr="00707875">
        <w:t>w czerwcu br., ale</w:t>
      </w:r>
      <w:r>
        <w:t xml:space="preserve"> i o </w:t>
      </w:r>
      <w:r w:rsidRPr="00707875">
        <w:t>4,0% większy niż w lipcu ub. roku. Za 1 hl tego produktu w skupie rolnicy uzyskali cenę 218,91 zł, tj. o 0,4% niższą od zanotowanej w poprzednim miesiącu, jednak o 13,6% wyższą niż w lipcu ub. roku.</w:t>
      </w:r>
    </w:p>
    <w:p w:rsidR="005928D2" w:rsidRPr="00667CB6" w:rsidRDefault="00451A48" w:rsidP="005928D2">
      <w:pPr>
        <w:pStyle w:val="tytuwykresu"/>
        <w:spacing w:before="360" w:after="120"/>
      </w:pPr>
      <w:r w:rsidRPr="00451A48">
        <w:rPr>
          <w:noProof/>
          <w:lang w:eastAsia="pl-PL"/>
        </w:rPr>
        <w:drawing>
          <wp:anchor distT="71755" distB="144145" distL="114300" distR="114300" simplePos="0" relativeHeight="253052416" behindDoc="0" locked="0" layoutInCell="1" allowOverlap="1">
            <wp:simplePos x="0" y="0"/>
            <wp:positionH relativeFrom="margin">
              <wp:align>center</wp:align>
            </wp:positionH>
            <wp:positionV relativeFrom="paragraph">
              <wp:posOffset>440690</wp:posOffset>
            </wp:positionV>
            <wp:extent cx="5814000" cy="2401200"/>
            <wp:effectExtent l="0" t="0" r="0" b="0"/>
            <wp:wrapTopAndBottom/>
            <wp:docPr id="14" name="Obraz 14" descr="Poczwórny wykres liniowy (bydło, trzoda chlewna, drób, mleko) ilustrujący kształtowanie się cen skupu wybranych produktów zwierzęcych w poszczególnych miesiącach w latach 2022–2025 (oś pozioma). Oś pionowa lewa (dla żywca rzeźnego) wartości z przedziału od 4,00 do 17,00 zł za 1 kg, oś pionowa prawa (dla mleka) – od 0,75 do 4,00 zł za 1 l.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4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w:t>
      </w:r>
      <w:r w:rsidR="005928D2" w:rsidRPr="003F192B">
        <w:t>ykres</w:t>
      </w:r>
      <w:r w:rsidR="005928D2">
        <w:t xml:space="preserve"> 7.</w:t>
      </w:r>
      <w:r w:rsidR="005928D2">
        <w:tab/>
      </w:r>
      <w:r w:rsidR="005928D2" w:rsidRPr="005E3502">
        <w:t>Przeciętne ceny skupu żywca rzeźnego i mleka</w:t>
      </w:r>
    </w:p>
    <w:p w:rsidR="005928D2" w:rsidRPr="00667CB6" w:rsidRDefault="005928D2" w:rsidP="005928D2">
      <w:pPr>
        <w:pStyle w:val="Nagwek1"/>
      </w:pPr>
      <w:bookmarkStart w:id="24" w:name="_Toc64884830"/>
      <w:bookmarkStart w:id="25" w:name="_Toc64884999"/>
      <w:bookmarkStart w:id="26" w:name="_Toc64891652"/>
      <w:bookmarkStart w:id="27" w:name="_Toc164413797"/>
      <w:bookmarkStart w:id="28" w:name="_Toc205383515"/>
      <w:r w:rsidRPr="005F5E57">
        <w:t>Przemysł i budownictwo</w:t>
      </w:r>
      <w:bookmarkEnd w:id="24"/>
      <w:bookmarkEnd w:id="25"/>
      <w:bookmarkEnd w:id="26"/>
      <w:bookmarkEnd w:id="27"/>
      <w:bookmarkEnd w:id="28"/>
    </w:p>
    <w:p w:rsidR="005928D2" w:rsidRPr="00D5416C" w:rsidRDefault="00C05A76" w:rsidP="005928D2">
      <w:pPr>
        <w:pStyle w:val="tekst"/>
        <w:rPr>
          <w:szCs w:val="19"/>
        </w:rPr>
      </w:pPr>
      <w:r w:rsidRPr="00570257">
        <w:t xml:space="preserve">W </w:t>
      </w:r>
      <w:r>
        <w:t>lipcu</w:t>
      </w:r>
      <w:r w:rsidRPr="00570257">
        <w:t xml:space="preserve"> br.</w:t>
      </w:r>
      <w:r w:rsidRPr="00570257">
        <w:rPr>
          <w:szCs w:val="19"/>
        </w:rPr>
        <w:t xml:space="preserve"> wartość </w:t>
      </w:r>
      <w:r w:rsidRPr="00570257">
        <w:rPr>
          <w:b/>
          <w:szCs w:val="19"/>
        </w:rPr>
        <w:t>produkcji sprzedanej przemysłu</w:t>
      </w:r>
      <w:r w:rsidRPr="00570257">
        <w:rPr>
          <w:szCs w:val="19"/>
        </w:rPr>
        <w:t xml:space="preserve"> wyniosła </w:t>
      </w:r>
      <w:r w:rsidRPr="00723645">
        <w:rPr>
          <w:szCs w:val="19"/>
        </w:rPr>
        <w:t>20601</w:t>
      </w:r>
      <w:r>
        <w:rPr>
          <w:szCs w:val="19"/>
        </w:rPr>
        <w:t>,8</w:t>
      </w:r>
      <w:r w:rsidRPr="00570257">
        <w:rPr>
          <w:szCs w:val="19"/>
        </w:rPr>
        <w:t xml:space="preserve"> mln zł (w cenach bieżących). Licząc w cenach stałych, oznacza to spadek sprzedaży w stosunku do poprzedniego miesiąca – o </w:t>
      </w:r>
      <w:r>
        <w:rPr>
          <w:szCs w:val="19"/>
        </w:rPr>
        <w:t>4,5</w:t>
      </w:r>
      <w:r w:rsidRPr="00570257">
        <w:rPr>
          <w:szCs w:val="19"/>
        </w:rPr>
        <w:t xml:space="preserve">%, a jednocześnie jej wzrost w relacji do </w:t>
      </w:r>
      <w:r>
        <w:rPr>
          <w:szCs w:val="19"/>
        </w:rPr>
        <w:t>lipca</w:t>
      </w:r>
      <w:r w:rsidRPr="00570257">
        <w:rPr>
          <w:szCs w:val="19"/>
        </w:rPr>
        <w:t xml:space="preserve"> ub. roku – o </w:t>
      </w:r>
      <w:r>
        <w:rPr>
          <w:szCs w:val="19"/>
        </w:rPr>
        <w:t xml:space="preserve">7,2%; </w:t>
      </w:r>
      <w:r w:rsidRPr="00570257">
        <w:rPr>
          <w:szCs w:val="19"/>
        </w:rPr>
        <w:t xml:space="preserve">przed rokiem </w:t>
      </w:r>
      <w:r w:rsidRPr="0052334C">
        <w:rPr>
          <w:szCs w:val="19"/>
        </w:rPr>
        <w:t xml:space="preserve">spadek </w:t>
      </w:r>
      <w:r w:rsidRPr="00570257">
        <w:rPr>
          <w:szCs w:val="19"/>
        </w:rPr>
        <w:t xml:space="preserve">sprzedaży obserwowano w ujęciu miesięcznym </w:t>
      </w:r>
      <w:r>
        <w:rPr>
          <w:szCs w:val="19"/>
        </w:rPr>
        <w:t>(</w:t>
      </w:r>
      <w:r w:rsidRPr="00570257">
        <w:rPr>
          <w:szCs w:val="19"/>
        </w:rPr>
        <w:t xml:space="preserve">o </w:t>
      </w:r>
      <w:r>
        <w:rPr>
          <w:szCs w:val="19"/>
        </w:rPr>
        <w:t>8,0%)</w:t>
      </w:r>
      <w:r w:rsidRPr="00570257">
        <w:rPr>
          <w:szCs w:val="19"/>
        </w:rPr>
        <w:t xml:space="preserve"> </w:t>
      </w:r>
      <w:r>
        <w:rPr>
          <w:szCs w:val="19"/>
        </w:rPr>
        <w:t>oraz rocznym</w:t>
      </w:r>
      <w:r w:rsidRPr="00570257">
        <w:rPr>
          <w:szCs w:val="19"/>
        </w:rPr>
        <w:t xml:space="preserve"> </w:t>
      </w:r>
      <w:r>
        <w:rPr>
          <w:szCs w:val="19"/>
        </w:rPr>
        <w:t>(o </w:t>
      </w:r>
      <w:r w:rsidRPr="00570257">
        <w:rPr>
          <w:szCs w:val="19"/>
        </w:rPr>
        <w:t>0,</w:t>
      </w:r>
      <w:r>
        <w:rPr>
          <w:szCs w:val="19"/>
        </w:rPr>
        <w:t>4</w:t>
      </w:r>
      <w:r w:rsidRPr="00570257">
        <w:rPr>
          <w:szCs w:val="19"/>
        </w:rPr>
        <w:t>%).</w:t>
      </w:r>
    </w:p>
    <w:p w:rsidR="005928D2" w:rsidRDefault="00EB6042" w:rsidP="005928D2">
      <w:pPr>
        <w:pStyle w:val="tytuwykresu"/>
        <w:spacing w:before="320" w:after="120"/>
      </w:pPr>
      <w:r w:rsidRPr="00EB6042">
        <w:rPr>
          <w:noProof/>
          <w:lang w:eastAsia="pl-PL"/>
        </w:rPr>
        <w:lastRenderedPageBreak/>
        <w:drawing>
          <wp:anchor distT="0" distB="144145" distL="114300" distR="114300" simplePos="0" relativeHeight="253036032" behindDoc="0" locked="0" layoutInCell="1" allowOverlap="1">
            <wp:simplePos x="0" y="0"/>
            <wp:positionH relativeFrom="margin">
              <wp:align>center</wp:align>
            </wp:positionH>
            <wp:positionV relativeFrom="paragraph">
              <wp:posOffset>552450</wp:posOffset>
            </wp:positionV>
            <wp:extent cx="5558155" cy="2278380"/>
            <wp:effectExtent l="0" t="0" r="4445" b="7620"/>
            <wp:wrapTopAndBottom/>
            <wp:docPr id="47" name="Obraz 47" descr="Podwójny wykres liniowy (Polska i województwo wielkopolskie) ilustrujący dynamikę produkcji sprzedanej przemysłu (w cenach stałych 2021) w odniesieniu do przeciętnej wartości miesięcznej z 2021 r., w poszczególnych miesiącach w latach 2022–2025 (oś pozioma). Oś pionowa wartości w zakresie od 90 do 13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8400" cy="227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3F192B">
        <w:t>Wykres</w:t>
      </w:r>
      <w:r w:rsidR="005928D2">
        <w:t xml:space="preserve"> 8.</w:t>
      </w:r>
      <w:r w:rsidR="005928D2">
        <w:tab/>
      </w:r>
      <w:r w:rsidR="005928D2" w:rsidRPr="0041272B">
        <w:t xml:space="preserve">Produkcja sprzedana przemysłu </w:t>
      </w:r>
      <w:r w:rsidR="005928D2" w:rsidRPr="0041272B">
        <w:br/>
      </w:r>
      <w:r w:rsidR="005928D2" w:rsidRPr="0041272B">
        <w:tab/>
      </w:r>
      <w:r w:rsidR="005928D2" w:rsidRPr="003C2B8D">
        <w:t xml:space="preserve">(ceny stałe; przeciętna miesięczna </w:t>
      </w:r>
      <w:r w:rsidR="005928D2">
        <w:t>2021=</w:t>
      </w:r>
      <w:r w:rsidR="005928D2" w:rsidRPr="003C2B8D">
        <w:t>100)</w:t>
      </w:r>
      <w:r w:rsidR="005928D2" w:rsidRPr="007F73D2">
        <w:rPr>
          <w:b w:val="0"/>
        </w:rPr>
        <w:t xml:space="preserve"> </w:t>
      </w:r>
    </w:p>
    <w:p w:rsidR="00485453" w:rsidRPr="004E5CF3" w:rsidRDefault="00C05A76" w:rsidP="00485453">
      <w:pPr>
        <w:pStyle w:val="tekst"/>
        <w:spacing w:before="240"/>
      </w:pPr>
      <w:r w:rsidRPr="00570257">
        <w:t xml:space="preserve">W porównaniu z </w:t>
      </w:r>
      <w:r>
        <w:t>lipcem</w:t>
      </w:r>
      <w:r w:rsidRPr="00570257">
        <w:t xml:space="preserve"> ub. roku wzrost wartości sprzedaży produkcji zanotowano w przetwórstwie przemysłowym </w:t>
      </w:r>
      <w:r>
        <w:t>(o 8,4</w:t>
      </w:r>
      <w:r w:rsidRPr="00570257">
        <w:t xml:space="preserve">%) i dostawie wody; gospodarowaniu ściekami i odpadami; rekultywacji (o </w:t>
      </w:r>
      <w:r>
        <w:t>5,3</w:t>
      </w:r>
      <w:r w:rsidRPr="00570257">
        <w:t xml:space="preserve">%), natomiast </w:t>
      </w:r>
      <w:r>
        <w:t>spadek wystąpił w </w:t>
      </w:r>
      <w:r w:rsidRPr="00570257">
        <w:t xml:space="preserve">przedsiębiorstwach związanych z górnictwem i wydobywaniem (o </w:t>
      </w:r>
      <w:r>
        <w:t>42,4</w:t>
      </w:r>
      <w:r w:rsidRPr="00570257">
        <w:t xml:space="preserve">%) oraz wytwarzaniem i zaopatrywaniem w energię elektryczną, gaz, parę wodną i gorącą wodę (o </w:t>
      </w:r>
      <w:r>
        <w:t>12,9</w:t>
      </w:r>
      <w:r w:rsidRPr="00570257">
        <w:t>%). Na niższym poziomie klasyfikacji PKD wzro</w:t>
      </w:r>
      <w:r w:rsidR="00515218">
        <w:t>st wartości sprzedaży odnotowało</w:t>
      </w:r>
      <w:r w:rsidRPr="00570257">
        <w:t xml:space="preserve"> </w:t>
      </w:r>
      <w:r>
        <w:t>19</w:t>
      </w:r>
      <w:r w:rsidRPr="00570257">
        <w:t xml:space="preserve"> działów przemysłu. Dotyczyło to m.in. przedsiębiorstw zajmujących się produkcją</w:t>
      </w:r>
      <w:r w:rsidRPr="00DE6612">
        <w:t>: pojazdów samochodowych, przyczep i naczep (o 30,3%), maszyn i</w:t>
      </w:r>
      <w:r w:rsidR="001C3212">
        <w:t xml:space="preserve"> </w:t>
      </w:r>
      <w:r w:rsidRPr="00DE6612">
        <w:t>urządzeń (o 14,8%), chemikaliów i wyrobów chemicznych (o</w:t>
      </w:r>
      <w:r w:rsidR="001C3212">
        <w:t xml:space="preserve"> </w:t>
      </w:r>
      <w:r w:rsidRPr="00DE6612">
        <w:t xml:space="preserve">14,5%), wyrobów z metali (o 12,1%), artykułów spożywczych (o 6,8%), wyrobów z pozostałych mineralnych surowców </w:t>
      </w:r>
      <w:r>
        <w:t>niemetalicznych (o 6,3</w:t>
      </w:r>
      <w:r w:rsidRPr="00570257">
        <w:t>%)</w:t>
      </w:r>
      <w:r>
        <w:t xml:space="preserve">, </w:t>
      </w:r>
      <w:r w:rsidRPr="00570257">
        <w:t>urządzeń elektrycznych (o</w:t>
      </w:r>
      <w:r w:rsidR="001C3212">
        <w:t xml:space="preserve"> </w:t>
      </w:r>
      <w:r>
        <w:t>5,8</w:t>
      </w:r>
      <w:r w:rsidRPr="00570257">
        <w:t>%)</w:t>
      </w:r>
      <w:r>
        <w:t xml:space="preserve">, napojów (o 1,8%), mebli (o 1,4%) oraz </w:t>
      </w:r>
      <w:r w:rsidRPr="004230B3">
        <w:t>wyrobów z gumy i tworzyw sztucznych</w:t>
      </w:r>
      <w:r>
        <w:t xml:space="preserve"> (o 0,5%). </w:t>
      </w:r>
      <w:r w:rsidRPr="00570257">
        <w:t>Spadek sprzedaży zanotowało 1</w:t>
      </w:r>
      <w:r>
        <w:t>3</w:t>
      </w:r>
      <w:r w:rsidRPr="00570257">
        <w:t xml:space="preserve"> działów, w tym związanych z produkcją</w:t>
      </w:r>
      <w:r>
        <w:t xml:space="preserve"> </w:t>
      </w:r>
      <w:r w:rsidRPr="00D435D2">
        <w:t xml:space="preserve">wyrobów z drewna, korka, słomy i wikliny (o 3,8%) oraz papieru i wyrobów z papieru </w:t>
      </w:r>
      <w:r w:rsidRPr="00570257">
        <w:t xml:space="preserve">(o </w:t>
      </w:r>
      <w:r>
        <w:t>2,6</w:t>
      </w:r>
      <w:r w:rsidRPr="00570257">
        <w:t>%)</w:t>
      </w:r>
      <w:r>
        <w:t>.</w:t>
      </w:r>
    </w:p>
    <w:p w:rsidR="00C05A76" w:rsidRPr="00570257" w:rsidRDefault="00C05A76" w:rsidP="00C05A76">
      <w:pPr>
        <w:pStyle w:val="tekst"/>
      </w:pPr>
      <w:r w:rsidRPr="00570257">
        <w:t xml:space="preserve">W działalności przemysłowej przedsiębiorstw w </w:t>
      </w:r>
      <w:r>
        <w:t>lipcu</w:t>
      </w:r>
      <w:r w:rsidRPr="00570257">
        <w:t xml:space="preserve"> br. wciąż dominowało </w:t>
      </w:r>
      <w:r w:rsidRPr="00502781">
        <w:t>6 działów zajmujących się produkcją: artykułów spożywczych (</w:t>
      </w:r>
      <w:r>
        <w:t>26,4</w:t>
      </w:r>
      <w:r w:rsidRPr="00502781">
        <w:t xml:space="preserve">% wartości produkcji sprzedanej przemysłu całego województwa </w:t>
      </w:r>
      <w:r w:rsidRPr="00773F4E">
        <w:t xml:space="preserve">wobec 23,0% przed miesiącem i 25,6% przed rokiem), pojazdów samochodowych, przyczep i naczep (11,3% wobec 15,8% w czerwcu br. i 8,9% w lipcu ub. roku), </w:t>
      </w:r>
      <w:r w:rsidRPr="00BC1F5E">
        <w:t>mebli (6,9% wobec 7,2% przed miesiącem i 7,4% przed rokiem), wyrobów z metali (6,</w:t>
      </w:r>
      <w:r>
        <w:t>5</w:t>
      </w:r>
      <w:r w:rsidRPr="00BC1F5E">
        <w:t>% wobec 6,3% w czerwcu</w:t>
      </w:r>
      <w:r>
        <w:t xml:space="preserve"> br. i </w:t>
      </w:r>
      <w:r w:rsidRPr="00BC1F5E">
        <w:t xml:space="preserve">w </w:t>
      </w:r>
      <w:r>
        <w:t>lipcu</w:t>
      </w:r>
      <w:r w:rsidRPr="00BC1F5E">
        <w:t xml:space="preserve"> ub. roku), wyrobów z gumy i tworzyw sztucznych (6,</w:t>
      </w:r>
      <w:r>
        <w:t>4</w:t>
      </w:r>
      <w:r w:rsidRPr="00BC1F5E">
        <w:t>% wobec 6,1% przed miesiącem i 7,2% przed rokiem) oraz urządzeń elektrycznych (4,</w:t>
      </w:r>
      <w:r>
        <w:t>9</w:t>
      </w:r>
      <w:r w:rsidRPr="00BC1F5E">
        <w:t>% wobec 4,</w:t>
      </w:r>
      <w:r>
        <w:t>7</w:t>
      </w:r>
      <w:r w:rsidRPr="00BC1F5E">
        <w:t xml:space="preserve">% w </w:t>
      </w:r>
      <w:r>
        <w:t>czerwcu</w:t>
      </w:r>
      <w:r w:rsidRPr="00BC1F5E">
        <w:t xml:space="preserve"> br. i 5,</w:t>
      </w:r>
      <w:r>
        <w:t>0</w:t>
      </w:r>
      <w:r w:rsidRPr="00BC1F5E">
        <w:t xml:space="preserve">% w </w:t>
      </w:r>
      <w:r>
        <w:t>lipcu</w:t>
      </w:r>
      <w:r w:rsidRPr="00BC1F5E">
        <w:t xml:space="preserve"> ub. roku).</w:t>
      </w:r>
    </w:p>
    <w:p w:rsidR="00661D45" w:rsidRPr="00661D45" w:rsidRDefault="00C05A76" w:rsidP="00C05A76">
      <w:pPr>
        <w:pStyle w:val="tekst"/>
      </w:pPr>
      <w:r w:rsidRPr="00570257">
        <w:t xml:space="preserve">Wydajność pracy w przemyśle, mierzona wartością produkcji sprzedanej przeliczonej na 1 zatrudnionego, w </w:t>
      </w:r>
      <w:r>
        <w:t>lipcu br. wyniosła 61,9</w:t>
      </w:r>
      <w:r w:rsidRPr="00570257">
        <w:t xml:space="preserve"> tys. zł (w cenach bieżących), tj. o </w:t>
      </w:r>
      <w:r>
        <w:t>7,8</w:t>
      </w:r>
      <w:r w:rsidRPr="00570257">
        <w:t>% więcej (w cenach stałych) niż przed rokiem</w:t>
      </w:r>
      <w:r w:rsidRPr="00E32AE7">
        <w:t>, przy spadku przeciętnego zatrudnienia o 0,5% i wzroście przeciętnego miesięcznego wynagrodzenia brutto o 7,7%.</w:t>
      </w:r>
    </w:p>
    <w:p w:rsidR="00661D45" w:rsidRDefault="00661D45" w:rsidP="00661D45">
      <w:pPr>
        <w:pStyle w:val="tekst"/>
      </w:pPr>
      <w:r>
        <w:br w:type="page"/>
      </w:r>
    </w:p>
    <w:p w:rsidR="005928D2" w:rsidRPr="00667CB6" w:rsidRDefault="005928D2" w:rsidP="005928D2">
      <w:pPr>
        <w:pStyle w:val="Tytultabeli"/>
        <w:spacing w:before="320"/>
      </w:pPr>
      <w:r>
        <w:lastRenderedPageBreak/>
        <w:t xml:space="preserve">Tablica </w:t>
      </w:r>
      <w:r w:rsidR="0086710D">
        <w:t>7</w:t>
      </w:r>
      <w:r>
        <w:t>.</w:t>
      </w:r>
      <w:r>
        <w:tab/>
      </w:r>
      <w:r w:rsidRPr="00667CB6">
        <w:t xml:space="preserve">Dynamika produkcji sprzedanej przemysłu (w cenach stałych) i jej struktura (w cenach bieżących)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lipiec br.) i w okresie narastającym (styczeń-lipiec br.) w odniesieniu do analogicznych okresów ub. roku. Dane do tablicy dostępne w pliku w formacie XLSX"/>
      </w:tblPr>
      <w:tblGrid>
        <w:gridCol w:w="4535"/>
        <w:gridCol w:w="1981"/>
        <w:gridCol w:w="1981"/>
        <w:gridCol w:w="1982"/>
      </w:tblGrid>
      <w:tr w:rsidR="005928D2" w:rsidRPr="00E87892" w:rsidTr="000918AC">
        <w:trPr>
          <w:trHeight w:val="57"/>
          <w:tblHeader/>
          <w:jc w:val="center"/>
        </w:trPr>
        <w:tc>
          <w:tcPr>
            <w:tcW w:w="4535" w:type="dxa"/>
            <w:vMerge w:val="restart"/>
            <w:tcBorders>
              <w:top w:val="nil"/>
            </w:tcBorders>
            <w:vAlign w:val="center"/>
          </w:tcPr>
          <w:p w:rsidR="005928D2" w:rsidRPr="00C20CD4" w:rsidRDefault="005928D2" w:rsidP="000918AC">
            <w:pPr>
              <w:pStyle w:val="glowka1"/>
            </w:pPr>
            <w:r w:rsidRPr="00C20CD4">
              <w:t>Wyszczególnienie</w:t>
            </w:r>
          </w:p>
        </w:tc>
        <w:tc>
          <w:tcPr>
            <w:tcW w:w="1981" w:type="dxa"/>
            <w:tcBorders>
              <w:top w:val="nil"/>
              <w:bottom w:val="single" w:sz="4" w:space="0" w:color="522398"/>
            </w:tcBorders>
            <w:vAlign w:val="center"/>
          </w:tcPr>
          <w:p w:rsidR="005928D2" w:rsidRPr="00FA1C2A" w:rsidRDefault="00413EF6" w:rsidP="002B3124">
            <w:pPr>
              <w:pStyle w:val="glowka1"/>
            </w:pPr>
            <w:r>
              <w:t>0</w:t>
            </w:r>
            <w:r w:rsidR="002B3124">
              <w:t>7</w:t>
            </w:r>
            <w:r w:rsidR="005928D2" w:rsidRPr="00C20CD4">
              <w:t xml:space="preserve"> </w:t>
            </w:r>
            <w:r w:rsidR="005928D2">
              <w:t>2025</w:t>
            </w:r>
          </w:p>
        </w:tc>
        <w:tc>
          <w:tcPr>
            <w:tcW w:w="3963" w:type="dxa"/>
            <w:gridSpan w:val="2"/>
            <w:tcBorders>
              <w:top w:val="nil"/>
              <w:bottom w:val="single" w:sz="4" w:space="0" w:color="522398"/>
            </w:tcBorders>
            <w:vAlign w:val="center"/>
          </w:tcPr>
          <w:p w:rsidR="005928D2" w:rsidRPr="00FA1C2A" w:rsidRDefault="005928D2" w:rsidP="00650E91">
            <w:pPr>
              <w:pStyle w:val="glowka1"/>
            </w:pPr>
            <w:r>
              <w:t>01–0</w:t>
            </w:r>
            <w:r w:rsidR="002B3124">
              <w:t>7</w:t>
            </w:r>
            <w:r>
              <w:t xml:space="preserve"> 2025</w:t>
            </w:r>
          </w:p>
        </w:tc>
      </w:tr>
      <w:tr w:rsidR="005928D2" w:rsidRPr="00E87892" w:rsidTr="000918AC">
        <w:trPr>
          <w:trHeight w:val="57"/>
          <w:tblHeader/>
          <w:jc w:val="center"/>
        </w:trPr>
        <w:tc>
          <w:tcPr>
            <w:tcW w:w="4535" w:type="dxa"/>
            <w:vMerge/>
            <w:tcBorders>
              <w:bottom w:val="single" w:sz="12" w:space="0" w:color="522398"/>
            </w:tcBorders>
            <w:vAlign w:val="center"/>
          </w:tcPr>
          <w:p w:rsidR="005928D2" w:rsidRPr="00C20CD4" w:rsidRDefault="005928D2" w:rsidP="000918AC">
            <w:pPr>
              <w:pStyle w:val="glowka1"/>
            </w:pPr>
          </w:p>
        </w:tc>
        <w:tc>
          <w:tcPr>
            <w:tcW w:w="3962" w:type="dxa"/>
            <w:gridSpan w:val="2"/>
            <w:tcBorders>
              <w:top w:val="single" w:sz="4" w:space="0" w:color="522398"/>
              <w:bottom w:val="single" w:sz="12" w:space="0" w:color="522398"/>
            </w:tcBorders>
            <w:vAlign w:val="center"/>
          </w:tcPr>
          <w:p w:rsidR="005928D2" w:rsidRPr="00FA1C2A" w:rsidRDefault="005928D2" w:rsidP="000918AC">
            <w:pPr>
              <w:pStyle w:val="glowka1"/>
            </w:pPr>
            <w:r w:rsidRPr="00FA1C2A">
              <w:t xml:space="preserve">analogiczny okres </w:t>
            </w:r>
            <w:r>
              <w:br/>
            </w:r>
            <w:r w:rsidRPr="00FA1C2A">
              <w:t>roku poprzedniego = 100</w:t>
            </w:r>
          </w:p>
        </w:tc>
        <w:tc>
          <w:tcPr>
            <w:tcW w:w="1982" w:type="dxa"/>
            <w:tcBorders>
              <w:top w:val="single" w:sz="4" w:space="0" w:color="522398"/>
              <w:bottom w:val="single" w:sz="12" w:space="0" w:color="522398"/>
            </w:tcBorders>
            <w:vAlign w:val="center"/>
          </w:tcPr>
          <w:p w:rsidR="005928D2" w:rsidRPr="00C20CD4" w:rsidRDefault="005928D2" w:rsidP="000918AC">
            <w:pPr>
              <w:pStyle w:val="glowka1"/>
            </w:pPr>
            <w:r w:rsidRPr="00FA1C2A">
              <w:t>w odsetkach</w:t>
            </w:r>
          </w:p>
        </w:tc>
      </w:tr>
      <w:tr w:rsidR="00E87D64" w:rsidRPr="00E87892" w:rsidTr="007E4602">
        <w:trPr>
          <w:trHeight w:val="57"/>
          <w:jc w:val="center"/>
        </w:trPr>
        <w:tc>
          <w:tcPr>
            <w:tcW w:w="4535" w:type="dxa"/>
            <w:tcBorders>
              <w:top w:val="single" w:sz="4" w:space="0" w:color="522398"/>
            </w:tcBorders>
            <w:vAlign w:val="center"/>
          </w:tcPr>
          <w:p w:rsidR="00E87D64" w:rsidRPr="00C20CD4" w:rsidRDefault="00E87D64" w:rsidP="00E87D64">
            <w:pPr>
              <w:pStyle w:val="boczekbez"/>
            </w:pPr>
            <w:r>
              <w:t>OGÓŁEM</w:t>
            </w:r>
          </w:p>
        </w:tc>
        <w:tc>
          <w:tcPr>
            <w:tcW w:w="1981" w:type="dxa"/>
            <w:tcBorders>
              <w:top w:val="single" w:sz="4" w:space="0" w:color="522398"/>
            </w:tcBorders>
            <w:vAlign w:val="center"/>
          </w:tcPr>
          <w:p w:rsidR="00E87D64" w:rsidRPr="00570257" w:rsidRDefault="00E87D64" w:rsidP="00E87D64">
            <w:pPr>
              <w:pStyle w:val="tablet"/>
              <w:rPr>
                <w:color w:val="auto"/>
              </w:rPr>
            </w:pPr>
            <w:r w:rsidRPr="003B6A29">
              <w:rPr>
                <w:color w:val="auto"/>
              </w:rPr>
              <w:t>107,2</w:t>
            </w:r>
          </w:p>
        </w:tc>
        <w:tc>
          <w:tcPr>
            <w:tcW w:w="1981" w:type="dxa"/>
            <w:tcBorders>
              <w:top w:val="single" w:sz="4" w:space="0" w:color="522398"/>
            </w:tcBorders>
            <w:vAlign w:val="bottom"/>
          </w:tcPr>
          <w:p w:rsidR="00E87D64" w:rsidRPr="00570257" w:rsidRDefault="00E87D64" w:rsidP="00E87D64">
            <w:pPr>
              <w:pStyle w:val="tablet"/>
              <w:rPr>
                <w:color w:val="auto"/>
              </w:rPr>
            </w:pPr>
            <w:r w:rsidRPr="007B70B8">
              <w:rPr>
                <w:color w:val="auto"/>
              </w:rPr>
              <w:t>103,8</w:t>
            </w:r>
          </w:p>
        </w:tc>
        <w:tc>
          <w:tcPr>
            <w:tcW w:w="1982" w:type="dxa"/>
            <w:tcBorders>
              <w:top w:val="single" w:sz="4" w:space="0" w:color="522398"/>
            </w:tcBorders>
            <w:vAlign w:val="bottom"/>
          </w:tcPr>
          <w:p w:rsidR="00E87D64" w:rsidRPr="00570257" w:rsidRDefault="00E87D64" w:rsidP="00E87D64">
            <w:pPr>
              <w:pStyle w:val="tablet"/>
              <w:rPr>
                <w:color w:val="auto"/>
              </w:rPr>
            </w:pPr>
            <w:r w:rsidRPr="00570257">
              <w:rPr>
                <w:color w:val="auto"/>
              </w:rPr>
              <w:t>100,0</w:t>
            </w:r>
          </w:p>
        </w:tc>
      </w:tr>
      <w:tr w:rsidR="00E87D64" w:rsidRPr="00E87892" w:rsidTr="007E4602">
        <w:trPr>
          <w:trHeight w:val="57"/>
          <w:jc w:val="center"/>
        </w:trPr>
        <w:tc>
          <w:tcPr>
            <w:tcW w:w="4535" w:type="dxa"/>
            <w:tcBorders>
              <w:top w:val="single" w:sz="4" w:space="0" w:color="522398"/>
            </w:tcBorders>
            <w:vAlign w:val="center"/>
          </w:tcPr>
          <w:p w:rsidR="00E87D64" w:rsidRDefault="00E87D64" w:rsidP="00E87D64">
            <w:pPr>
              <w:pStyle w:val="boczek2"/>
            </w:pPr>
            <w:r>
              <w:t>w tym:</w:t>
            </w:r>
          </w:p>
        </w:tc>
        <w:tc>
          <w:tcPr>
            <w:tcW w:w="1981" w:type="dxa"/>
            <w:tcBorders>
              <w:top w:val="single" w:sz="4" w:space="0" w:color="522398"/>
            </w:tcBorders>
            <w:vAlign w:val="center"/>
          </w:tcPr>
          <w:p w:rsidR="00E87D64" w:rsidRPr="00570257" w:rsidRDefault="00E87D64" w:rsidP="00E87D64">
            <w:pPr>
              <w:pStyle w:val="tableteksttab"/>
              <w:rPr>
                <w:color w:val="auto"/>
              </w:rPr>
            </w:pPr>
          </w:p>
        </w:tc>
        <w:tc>
          <w:tcPr>
            <w:tcW w:w="1981" w:type="dxa"/>
            <w:tcBorders>
              <w:top w:val="single" w:sz="4" w:space="0" w:color="522398"/>
            </w:tcBorders>
            <w:vAlign w:val="bottom"/>
          </w:tcPr>
          <w:p w:rsidR="00E87D64" w:rsidRPr="00570257" w:rsidRDefault="00E87D64" w:rsidP="00E87D64">
            <w:pPr>
              <w:pStyle w:val="tableteksttab"/>
              <w:rPr>
                <w:color w:val="auto"/>
              </w:rPr>
            </w:pPr>
          </w:p>
        </w:tc>
        <w:tc>
          <w:tcPr>
            <w:tcW w:w="1982" w:type="dxa"/>
            <w:tcBorders>
              <w:top w:val="single" w:sz="4" w:space="0" w:color="522398"/>
            </w:tcBorders>
            <w:vAlign w:val="bottom"/>
          </w:tcPr>
          <w:p w:rsidR="00E87D64" w:rsidRPr="00570257" w:rsidRDefault="00E87D64" w:rsidP="00E87D64">
            <w:pPr>
              <w:pStyle w:val="tableteksttab"/>
              <w:rPr>
                <w:color w:val="auto"/>
              </w:rPr>
            </w:pPr>
          </w:p>
        </w:tc>
      </w:tr>
      <w:tr w:rsidR="00E87D64" w:rsidRPr="00E87892" w:rsidTr="007E4602">
        <w:trPr>
          <w:trHeight w:val="57"/>
          <w:jc w:val="center"/>
        </w:trPr>
        <w:tc>
          <w:tcPr>
            <w:tcW w:w="4535" w:type="dxa"/>
            <w:vAlign w:val="center"/>
          </w:tcPr>
          <w:p w:rsidR="00E87D64" w:rsidRPr="00C20CD4" w:rsidRDefault="00E87D64" w:rsidP="00E87D64">
            <w:pPr>
              <w:pStyle w:val="boczek1"/>
            </w:pPr>
            <w:r w:rsidRPr="00C20CD4">
              <w:t>Przetwórstwo przemysłowe</w:t>
            </w:r>
          </w:p>
        </w:tc>
        <w:tc>
          <w:tcPr>
            <w:tcW w:w="1981" w:type="dxa"/>
            <w:vAlign w:val="center"/>
          </w:tcPr>
          <w:p w:rsidR="00E87D64" w:rsidRPr="00570257" w:rsidRDefault="00E87D64" w:rsidP="00E87D64">
            <w:pPr>
              <w:pStyle w:val="tableteksttab"/>
              <w:rPr>
                <w:color w:val="auto"/>
              </w:rPr>
            </w:pPr>
            <w:r w:rsidRPr="003B6A29">
              <w:rPr>
                <w:color w:val="auto"/>
              </w:rPr>
              <w:t>108,4</w:t>
            </w:r>
          </w:p>
        </w:tc>
        <w:tc>
          <w:tcPr>
            <w:tcW w:w="1981" w:type="dxa"/>
            <w:vAlign w:val="bottom"/>
          </w:tcPr>
          <w:p w:rsidR="00E87D64" w:rsidRPr="00570257" w:rsidRDefault="00E87D64" w:rsidP="00E87D64">
            <w:pPr>
              <w:pStyle w:val="tableteksttab"/>
              <w:rPr>
                <w:color w:val="auto"/>
              </w:rPr>
            </w:pPr>
            <w:r w:rsidRPr="007B70B8">
              <w:rPr>
                <w:color w:val="auto"/>
              </w:rPr>
              <w:t>104,1</w:t>
            </w:r>
          </w:p>
        </w:tc>
        <w:tc>
          <w:tcPr>
            <w:tcW w:w="1982" w:type="dxa"/>
            <w:vAlign w:val="bottom"/>
          </w:tcPr>
          <w:p w:rsidR="00E87D64" w:rsidRPr="00570257" w:rsidRDefault="00E87D64" w:rsidP="00E87D64">
            <w:pPr>
              <w:pStyle w:val="tableteksttab"/>
              <w:rPr>
                <w:color w:val="auto"/>
              </w:rPr>
            </w:pPr>
            <w:r w:rsidRPr="00570257">
              <w:rPr>
                <w:color w:val="auto"/>
              </w:rPr>
              <w:t>93,1</w:t>
            </w:r>
          </w:p>
        </w:tc>
      </w:tr>
      <w:tr w:rsidR="00E87D64" w:rsidRPr="00E87892" w:rsidTr="007A6EB6">
        <w:trPr>
          <w:trHeight w:val="57"/>
          <w:jc w:val="center"/>
        </w:trPr>
        <w:tc>
          <w:tcPr>
            <w:tcW w:w="4535" w:type="dxa"/>
            <w:vAlign w:val="center"/>
          </w:tcPr>
          <w:p w:rsidR="00E87D64" w:rsidRPr="00C20CD4" w:rsidRDefault="00E87D64" w:rsidP="00D50110">
            <w:pPr>
              <w:pStyle w:val="g6"/>
            </w:pPr>
            <w:r w:rsidRPr="00C20CD4">
              <w:t>w tym produkcja:</w:t>
            </w:r>
          </w:p>
        </w:tc>
        <w:tc>
          <w:tcPr>
            <w:tcW w:w="1981" w:type="dxa"/>
            <w:vAlign w:val="bottom"/>
          </w:tcPr>
          <w:p w:rsidR="00E87D64" w:rsidRPr="00570257" w:rsidRDefault="00E87D64" w:rsidP="00E87D64">
            <w:pPr>
              <w:pStyle w:val="tableteksttab"/>
              <w:rPr>
                <w:color w:val="auto"/>
              </w:rPr>
            </w:pPr>
          </w:p>
        </w:tc>
        <w:tc>
          <w:tcPr>
            <w:tcW w:w="1981" w:type="dxa"/>
            <w:vAlign w:val="bottom"/>
          </w:tcPr>
          <w:p w:rsidR="00E87D64" w:rsidRPr="00570257" w:rsidRDefault="00E87D64" w:rsidP="00E87D64">
            <w:pPr>
              <w:pStyle w:val="tableteksttab"/>
              <w:rPr>
                <w:color w:val="auto"/>
              </w:rPr>
            </w:pPr>
          </w:p>
        </w:tc>
        <w:tc>
          <w:tcPr>
            <w:tcW w:w="1982" w:type="dxa"/>
            <w:vAlign w:val="bottom"/>
          </w:tcPr>
          <w:p w:rsidR="00E87D64" w:rsidRPr="00570257" w:rsidRDefault="00E87D64" w:rsidP="00E87D64">
            <w:pPr>
              <w:pStyle w:val="tableteksttab"/>
              <w:rPr>
                <w:color w:val="auto"/>
              </w:rPr>
            </w:pPr>
          </w:p>
        </w:tc>
      </w:tr>
      <w:tr w:rsidR="00E87D64" w:rsidRPr="00E87892" w:rsidTr="007E4602">
        <w:trPr>
          <w:trHeight w:val="57"/>
          <w:jc w:val="center"/>
        </w:trPr>
        <w:tc>
          <w:tcPr>
            <w:tcW w:w="4535" w:type="dxa"/>
            <w:vAlign w:val="center"/>
          </w:tcPr>
          <w:p w:rsidR="00E87D64" w:rsidRPr="00C20CD4" w:rsidRDefault="00E87D64" w:rsidP="00E87D64">
            <w:pPr>
              <w:pStyle w:val="boczek2"/>
            </w:pPr>
            <w:r>
              <w:t>artykułów spożywczych</w:t>
            </w:r>
          </w:p>
        </w:tc>
        <w:tc>
          <w:tcPr>
            <w:tcW w:w="1981" w:type="dxa"/>
            <w:vAlign w:val="center"/>
          </w:tcPr>
          <w:p w:rsidR="00E87D64" w:rsidRPr="00570257" w:rsidRDefault="00E87D64" w:rsidP="00E87D64">
            <w:pPr>
              <w:pStyle w:val="tableteksttab"/>
              <w:rPr>
                <w:color w:val="auto"/>
              </w:rPr>
            </w:pPr>
            <w:r w:rsidRPr="003B6A29">
              <w:rPr>
                <w:color w:val="auto"/>
              </w:rPr>
              <w:t>106,8</w:t>
            </w:r>
          </w:p>
        </w:tc>
        <w:tc>
          <w:tcPr>
            <w:tcW w:w="1981" w:type="dxa"/>
            <w:vAlign w:val="bottom"/>
          </w:tcPr>
          <w:p w:rsidR="00E87D64" w:rsidRPr="00570257" w:rsidRDefault="00E87D64" w:rsidP="00E87D64">
            <w:pPr>
              <w:pStyle w:val="tableteksttab"/>
              <w:rPr>
                <w:color w:val="auto"/>
              </w:rPr>
            </w:pPr>
            <w:r w:rsidRPr="007B70B8">
              <w:rPr>
                <w:color w:val="auto"/>
              </w:rPr>
              <w:t>106,7</w:t>
            </w:r>
          </w:p>
        </w:tc>
        <w:tc>
          <w:tcPr>
            <w:tcW w:w="1982" w:type="dxa"/>
            <w:vAlign w:val="bottom"/>
          </w:tcPr>
          <w:p w:rsidR="00E87D64" w:rsidRPr="00570257" w:rsidRDefault="00E87D64" w:rsidP="00E87D64">
            <w:pPr>
              <w:pStyle w:val="tableteksttab"/>
              <w:rPr>
                <w:color w:val="auto"/>
              </w:rPr>
            </w:pPr>
            <w:r w:rsidRPr="00570257">
              <w:rPr>
                <w:color w:val="auto"/>
              </w:rPr>
              <w:t>23,</w:t>
            </w:r>
            <w:r>
              <w:rPr>
                <w:color w:val="auto"/>
              </w:rPr>
              <w:t>8</w:t>
            </w:r>
          </w:p>
        </w:tc>
      </w:tr>
      <w:tr w:rsidR="00E87D64" w:rsidRPr="00E87892" w:rsidTr="007E4602">
        <w:trPr>
          <w:trHeight w:val="57"/>
          <w:jc w:val="center"/>
        </w:trPr>
        <w:tc>
          <w:tcPr>
            <w:tcW w:w="4535" w:type="dxa"/>
            <w:vAlign w:val="center"/>
          </w:tcPr>
          <w:p w:rsidR="00E87D64" w:rsidRPr="00C20CD4" w:rsidRDefault="00E87D64" w:rsidP="00E87D64">
            <w:pPr>
              <w:pStyle w:val="boczek2"/>
            </w:pPr>
            <w:r>
              <w:t>napojów</w:t>
            </w:r>
          </w:p>
        </w:tc>
        <w:tc>
          <w:tcPr>
            <w:tcW w:w="1981" w:type="dxa"/>
            <w:vAlign w:val="center"/>
          </w:tcPr>
          <w:p w:rsidR="00E87D64" w:rsidRPr="00570257" w:rsidRDefault="00E87D64" w:rsidP="00E87D64">
            <w:pPr>
              <w:pStyle w:val="tableteksttab"/>
              <w:rPr>
                <w:color w:val="auto"/>
              </w:rPr>
            </w:pPr>
            <w:r w:rsidRPr="003B6A29">
              <w:rPr>
                <w:color w:val="auto"/>
              </w:rPr>
              <w:t>101,8</w:t>
            </w:r>
          </w:p>
        </w:tc>
        <w:tc>
          <w:tcPr>
            <w:tcW w:w="1981" w:type="dxa"/>
            <w:vAlign w:val="bottom"/>
          </w:tcPr>
          <w:p w:rsidR="00E87D64" w:rsidRPr="00570257" w:rsidRDefault="00E87D64" w:rsidP="00E87D64">
            <w:pPr>
              <w:pStyle w:val="tableteksttab"/>
              <w:rPr>
                <w:color w:val="auto"/>
              </w:rPr>
            </w:pPr>
            <w:r w:rsidRPr="007B70B8">
              <w:rPr>
                <w:color w:val="auto"/>
              </w:rPr>
              <w:t>99,9</w:t>
            </w:r>
          </w:p>
        </w:tc>
        <w:tc>
          <w:tcPr>
            <w:tcW w:w="1982" w:type="dxa"/>
            <w:vAlign w:val="bottom"/>
          </w:tcPr>
          <w:p w:rsidR="00E87D64" w:rsidRPr="00570257" w:rsidRDefault="00E87D64" w:rsidP="00E87D64">
            <w:pPr>
              <w:pStyle w:val="tableteksttab"/>
              <w:rPr>
                <w:color w:val="auto"/>
              </w:rPr>
            </w:pPr>
            <w:r w:rsidRPr="00570257">
              <w:rPr>
                <w:color w:val="auto"/>
              </w:rPr>
              <w:t>3,</w:t>
            </w:r>
            <w:r>
              <w:rPr>
                <w:color w:val="auto"/>
              </w:rPr>
              <w:t>1</w:t>
            </w:r>
          </w:p>
        </w:tc>
      </w:tr>
      <w:tr w:rsidR="00E87D64" w:rsidRPr="00E87892" w:rsidTr="007E4602">
        <w:trPr>
          <w:trHeight w:val="57"/>
          <w:jc w:val="center"/>
        </w:trPr>
        <w:tc>
          <w:tcPr>
            <w:tcW w:w="4535" w:type="dxa"/>
            <w:vAlign w:val="center"/>
          </w:tcPr>
          <w:p w:rsidR="00E87D64" w:rsidRPr="00C20CD4" w:rsidRDefault="00E87D64" w:rsidP="00E87D64">
            <w:pPr>
              <w:pStyle w:val="boczek2"/>
            </w:pPr>
            <w:r w:rsidRPr="00C20CD4">
              <w:t>wyrobów z drewna, korka, słomy i wikliny</w:t>
            </w:r>
            <w:r w:rsidRPr="00C20CD4">
              <w:rPr>
                <w:rFonts w:ascii="Symbol" w:hAnsi="Symbol"/>
                <w:vertAlign w:val="superscript"/>
              </w:rPr>
              <w:t></w:t>
            </w:r>
          </w:p>
        </w:tc>
        <w:tc>
          <w:tcPr>
            <w:tcW w:w="1981" w:type="dxa"/>
            <w:vAlign w:val="center"/>
          </w:tcPr>
          <w:p w:rsidR="00E87D64" w:rsidRPr="00570257" w:rsidRDefault="00E87D64" w:rsidP="00E87D64">
            <w:pPr>
              <w:pStyle w:val="tableteksttab"/>
              <w:rPr>
                <w:color w:val="auto"/>
              </w:rPr>
            </w:pPr>
            <w:r w:rsidRPr="003B6A29">
              <w:rPr>
                <w:color w:val="auto"/>
              </w:rPr>
              <w:t>96,2</w:t>
            </w:r>
          </w:p>
        </w:tc>
        <w:tc>
          <w:tcPr>
            <w:tcW w:w="1981" w:type="dxa"/>
            <w:vAlign w:val="bottom"/>
          </w:tcPr>
          <w:p w:rsidR="00E87D64" w:rsidRPr="00570257" w:rsidRDefault="00E87D64" w:rsidP="00E87D64">
            <w:pPr>
              <w:pStyle w:val="tableteksttab"/>
              <w:rPr>
                <w:color w:val="auto"/>
              </w:rPr>
            </w:pPr>
            <w:r w:rsidRPr="007B70B8">
              <w:rPr>
                <w:color w:val="auto"/>
              </w:rPr>
              <w:t>107,0</w:t>
            </w:r>
          </w:p>
        </w:tc>
        <w:tc>
          <w:tcPr>
            <w:tcW w:w="1982" w:type="dxa"/>
            <w:vAlign w:val="bottom"/>
          </w:tcPr>
          <w:p w:rsidR="00E87D64" w:rsidRPr="00570257" w:rsidRDefault="00E87D64" w:rsidP="00E87D64">
            <w:pPr>
              <w:pStyle w:val="tableteksttab"/>
              <w:rPr>
                <w:color w:val="auto"/>
              </w:rPr>
            </w:pPr>
            <w:r w:rsidRPr="00570257">
              <w:rPr>
                <w:color w:val="auto"/>
              </w:rPr>
              <w:t>3,</w:t>
            </w:r>
            <w:r>
              <w:rPr>
                <w:color w:val="auto"/>
              </w:rPr>
              <w:t>1</w:t>
            </w:r>
          </w:p>
        </w:tc>
      </w:tr>
      <w:tr w:rsidR="00E87D64" w:rsidRPr="00E87892" w:rsidTr="007E4602">
        <w:trPr>
          <w:trHeight w:val="57"/>
          <w:jc w:val="center"/>
        </w:trPr>
        <w:tc>
          <w:tcPr>
            <w:tcW w:w="4535" w:type="dxa"/>
            <w:vAlign w:val="center"/>
          </w:tcPr>
          <w:p w:rsidR="00E87D64" w:rsidRPr="00C20CD4" w:rsidRDefault="00E87D64" w:rsidP="00E87D64">
            <w:pPr>
              <w:pStyle w:val="boczek2"/>
            </w:pPr>
            <w:r>
              <w:t>papieru i wyrobów z papieru</w:t>
            </w:r>
          </w:p>
        </w:tc>
        <w:tc>
          <w:tcPr>
            <w:tcW w:w="1981" w:type="dxa"/>
            <w:vAlign w:val="center"/>
          </w:tcPr>
          <w:p w:rsidR="00E87D64" w:rsidRPr="00570257" w:rsidRDefault="00E87D64" w:rsidP="00E87D64">
            <w:pPr>
              <w:pStyle w:val="tableteksttab"/>
              <w:rPr>
                <w:color w:val="auto"/>
              </w:rPr>
            </w:pPr>
            <w:r w:rsidRPr="00E00A6D">
              <w:rPr>
                <w:color w:val="auto"/>
              </w:rPr>
              <w:t>97,4</w:t>
            </w:r>
          </w:p>
        </w:tc>
        <w:tc>
          <w:tcPr>
            <w:tcW w:w="1981" w:type="dxa"/>
            <w:vAlign w:val="bottom"/>
          </w:tcPr>
          <w:p w:rsidR="00E87D64" w:rsidRPr="00570257" w:rsidRDefault="00E87D64" w:rsidP="00E87D64">
            <w:pPr>
              <w:pStyle w:val="tableteksttab"/>
              <w:rPr>
                <w:color w:val="auto"/>
              </w:rPr>
            </w:pPr>
            <w:r w:rsidRPr="007B70B8">
              <w:rPr>
                <w:color w:val="auto"/>
              </w:rPr>
              <w:t>99,5</w:t>
            </w:r>
          </w:p>
        </w:tc>
        <w:tc>
          <w:tcPr>
            <w:tcW w:w="1982" w:type="dxa"/>
            <w:vAlign w:val="bottom"/>
          </w:tcPr>
          <w:p w:rsidR="00E87D64" w:rsidRPr="00570257" w:rsidRDefault="00E87D64" w:rsidP="00E87D64">
            <w:pPr>
              <w:pStyle w:val="tableteksttab"/>
              <w:rPr>
                <w:color w:val="auto"/>
              </w:rPr>
            </w:pPr>
            <w:r w:rsidRPr="00570257">
              <w:rPr>
                <w:color w:val="auto"/>
              </w:rPr>
              <w:t>4,0</w:t>
            </w:r>
          </w:p>
        </w:tc>
      </w:tr>
      <w:tr w:rsidR="00E87D64" w:rsidRPr="00E87892" w:rsidTr="007E4602">
        <w:trPr>
          <w:trHeight w:val="57"/>
          <w:jc w:val="center"/>
        </w:trPr>
        <w:tc>
          <w:tcPr>
            <w:tcW w:w="4535" w:type="dxa"/>
            <w:vAlign w:val="center"/>
          </w:tcPr>
          <w:p w:rsidR="00E87D64" w:rsidRPr="00C20CD4" w:rsidRDefault="00E87D64" w:rsidP="00E87D64">
            <w:pPr>
              <w:pStyle w:val="boczek2"/>
            </w:pPr>
            <w:r w:rsidRPr="00C20CD4">
              <w:t>ch</w:t>
            </w:r>
            <w:r>
              <w:t>emikaliów i wyrobów chemicznych</w:t>
            </w:r>
          </w:p>
        </w:tc>
        <w:tc>
          <w:tcPr>
            <w:tcW w:w="1981" w:type="dxa"/>
            <w:vAlign w:val="center"/>
          </w:tcPr>
          <w:p w:rsidR="00E87D64" w:rsidRPr="00570257" w:rsidRDefault="00E87D64" w:rsidP="00E87D64">
            <w:pPr>
              <w:pStyle w:val="tableteksttab"/>
              <w:rPr>
                <w:color w:val="auto"/>
              </w:rPr>
            </w:pPr>
            <w:r w:rsidRPr="00E00A6D">
              <w:rPr>
                <w:color w:val="auto"/>
              </w:rPr>
              <w:t>114,5</w:t>
            </w:r>
          </w:p>
        </w:tc>
        <w:tc>
          <w:tcPr>
            <w:tcW w:w="1981" w:type="dxa"/>
            <w:vAlign w:val="bottom"/>
          </w:tcPr>
          <w:p w:rsidR="00E87D64" w:rsidRPr="00570257" w:rsidRDefault="00E87D64" w:rsidP="00E87D64">
            <w:pPr>
              <w:pStyle w:val="tableteksttab"/>
              <w:rPr>
                <w:color w:val="auto"/>
              </w:rPr>
            </w:pPr>
            <w:r w:rsidRPr="007B70B8">
              <w:rPr>
                <w:color w:val="auto"/>
              </w:rPr>
              <w:t>117,1</w:t>
            </w:r>
          </w:p>
        </w:tc>
        <w:tc>
          <w:tcPr>
            <w:tcW w:w="1982" w:type="dxa"/>
            <w:vAlign w:val="bottom"/>
          </w:tcPr>
          <w:p w:rsidR="00E87D64" w:rsidRPr="00570257" w:rsidRDefault="00E87D64" w:rsidP="00E87D64">
            <w:pPr>
              <w:pStyle w:val="tableteksttab"/>
              <w:rPr>
                <w:color w:val="auto"/>
              </w:rPr>
            </w:pPr>
            <w:r w:rsidRPr="00570257">
              <w:rPr>
                <w:color w:val="auto"/>
              </w:rPr>
              <w:t>3,8</w:t>
            </w:r>
          </w:p>
        </w:tc>
      </w:tr>
      <w:tr w:rsidR="00E87D64" w:rsidRPr="00E87892" w:rsidTr="007E4602">
        <w:trPr>
          <w:trHeight w:val="57"/>
          <w:jc w:val="center"/>
        </w:trPr>
        <w:tc>
          <w:tcPr>
            <w:tcW w:w="4535" w:type="dxa"/>
            <w:vAlign w:val="center"/>
          </w:tcPr>
          <w:p w:rsidR="00E87D64" w:rsidRPr="00C20CD4" w:rsidRDefault="00E87D64" w:rsidP="00E87D64">
            <w:pPr>
              <w:pStyle w:val="boczek2"/>
            </w:pPr>
            <w:r w:rsidRPr="00C20CD4">
              <w:t>wyro</w:t>
            </w:r>
            <w:r>
              <w:t>bów z gumy i tworzyw sztucznych</w:t>
            </w:r>
          </w:p>
        </w:tc>
        <w:tc>
          <w:tcPr>
            <w:tcW w:w="1981" w:type="dxa"/>
            <w:vAlign w:val="center"/>
          </w:tcPr>
          <w:p w:rsidR="00E87D64" w:rsidRPr="00570257" w:rsidRDefault="00E87D64" w:rsidP="00E87D64">
            <w:pPr>
              <w:pStyle w:val="tableteksttab"/>
              <w:rPr>
                <w:color w:val="auto"/>
              </w:rPr>
            </w:pPr>
            <w:r w:rsidRPr="00E00A6D">
              <w:rPr>
                <w:color w:val="auto"/>
              </w:rPr>
              <w:t>100,5</w:t>
            </w:r>
          </w:p>
        </w:tc>
        <w:tc>
          <w:tcPr>
            <w:tcW w:w="1981" w:type="dxa"/>
            <w:vAlign w:val="bottom"/>
          </w:tcPr>
          <w:p w:rsidR="00E87D64" w:rsidRPr="00570257" w:rsidRDefault="00E87D64" w:rsidP="00E87D64">
            <w:pPr>
              <w:pStyle w:val="tableteksttab"/>
              <w:rPr>
                <w:color w:val="auto"/>
              </w:rPr>
            </w:pPr>
            <w:r w:rsidRPr="007B70B8">
              <w:rPr>
                <w:color w:val="auto"/>
              </w:rPr>
              <w:t>101,1</w:t>
            </w:r>
          </w:p>
        </w:tc>
        <w:tc>
          <w:tcPr>
            <w:tcW w:w="1982" w:type="dxa"/>
            <w:vAlign w:val="bottom"/>
          </w:tcPr>
          <w:p w:rsidR="00E87D64" w:rsidRPr="00570257" w:rsidRDefault="00E87D64" w:rsidP="00E87D64">
            <w:pPr>
              <w:pStyle w:val="tableteksttab"/>
              <w:rPr>
                <w:color w:val="auto"/>
              </w:rPr>
            </w:pPr>
            <w:r w:rsidRPr="00570257">
              <w:rPr>
                <w:color w:val="auto"/>
              </w:rPr>
              <w:t>6,</w:t>
            </w:r>
            <w:r>
              <w:rPr>
                <w:color w:val="auto"/>
              </w:rPr>
              <w:t>2</w:t>
            </w:r>
          </w:p>
        </w:tc>
      </w:tr>
      <w:tr w:rsidR="00E87D64" w:rsidRPr="00E87892" w:rsidTr="00661D45">
        <w:trPr>
          <w:trHeight w:val="57"/>
          <w:jc w:val="center"/>
        </w:trPr>
        <w:tc>
          <w:tcPr>
            <w:tcW w:w="4535" w:type="dxa"/>
            <w:vAlign w:val="bottom"/>
          </w:tcPr>
          <w:p w:rsidR="00E87D64" w:rsidRPr="00C20CD4" w:rsidRDefault="00E87D64" w:rsidP="00E87D64">
            <w:pPr>
              <w:pStyle w:val="boczek2"/>
            </w:pPr>
            <w:r w:rsidRPr="00C20CD4">
              <w:t>produkcja wyro</w:t>
            </w:r>
            <w:r>
              <w:t xml:space="preserve">bów z pozostałych mineralnych </w:t>
            </w:r>
            <w:r w:rsidRPr="00C20CD4">
              <w:t>surowców niemetalicznych</w:t>
            </w:r>
          </w:p>
        </w:tc>
        <w:tc>
          <w:tcPr>
            <w:tcW w:w="1981" w:type="dxa"/>
            <w:vAlign w:val="bottom"/>
          </w:tcPr>
          <w:p w:rsidR="00E87D64" w:rsidRPr="00570257" w:rsidRDefault="00E87D64" w:rsidP="00E87D64">
            <w:pPr>
              <w:pStyle w:val="tableteksttab"/>
              <w:rPr>
                <w:color w:val="auto"/>
              </w:rPr>
            </w:pPr>
            <w:r w:rsidRPr="00E00A6D">
              <w:rPr>
                <w:color w:val="auto"/>
              </w:rPr>
              <w:t>106,3</w:t>
            </w:r>
          </w:p>
        </w:tc>
        <w:tc>
          <w:tcPr>
            <w:tcW w:w="1981" w:type="dxa"/>
            <w:vAlign w:val="bottom"/>
          </w:tcPr>
          <w:p w:rsidR="00E87D64" w:rsidRPr="00570257" w:rsidRDefault="00E87D64" w:rsidP="00E87D64">
            <w:pPr>
              <w:pStyle w:val="tableteksttab"/>
              <w:rPr>
                <w:color w:val="auto"/>
              </w:rPr>
            </w:pPr>
            <w:r w:rsidRPr="007B70B8">
              <w:rPr>
                <w:color w:val="auto"/>
              </w:rPr>
              <w:t>105,5</w:t>
            </w:r>
          </w:p>
        </w:tc>
        <w:tc>
          <w:tcPr>
            <w:tcW w:w="1982" w:type="dxa"/>
            <w:vAlign w:val="bottom"/>
          </w:tcPr>
          <w:p w:rsidR="00E87D64" w:rsidRPr="00570257" w:rsidRDefault="00E87D64" w:rsidP="00E87D64">
            <w:pPr>
              <w:pStyle w:val="tableteksttab"/>
              <w:rPr>
                <w:color w:val="auto"/>
              </w:rPr>
            </w:pPr>
            <w:r w:rsidRPr="00570257">
              <w:rPr>
                <w:color w:val="auto"/>
              </w:rPr>
              <w:t>2,</w:t>
            </w:r>
            <w:r>
              <w:rPr>
                <w:color w:val="auto"/>
              </w:rPr>
              <w:t>7</w:t>
            </w:r>
          </w:p>
        </w:tc>
      </w:tr>
      <w:tr w:rsidR="00E87D64" w:rsidRPr="00E87892" w:rsidTr="007E4602">
        <w:trPr>
          <w:trHeight w:val="57"/>
          <w:jc w:val="center"/>
        </w:trPr>
        <w:tc>
          <w:tcPr>
            <w:tcW w:w="4535" w:type="dxa"/>
            <w:vAlign w:val="center"/>
          </w:tcPr>
          <w:p w:rsidR="00E87D64" w:rsidRPr="00C20CD4" w:rsidRDefault="00E87D64" w:rsidP="00E87D64">
            <w:pPr>
              <w:pStyle w:val="boczek2"/>
            </w:pPr>
            <w:r w:rsidRPr="00C20CD4">
              <w:t>wyrobów z metali</w:t>
            </w:r>
            <w:r w:rsidRPr="00C20CD4">
              <w:rPr>
                <w:rFonts w:ascii="Symbol" w:hAnsi="Symbol"/>
                <w:vertAlign w:val="superscript"/>
              </w:rPr>
              <w:t></w:t>
            </w:r>
          </w:p>
        </w:tc>
        <w:tc>
          <w:tcPr>
            <w:tcW w:w="1981" w:type="dxa"/>
            <w:vAlign w:val="center"/>
          </w:tcPr>
          <w:p w:rsidR="00E87D64" w:rsidRPr="00570257" w:rsidRDefault="00E87D64" w:rsidP="00E87D64">
            <w:pPr>
              <w:pStyle w:val="tableteksttab"/>
              <w:rPr>
                <w:color w:val="auto"/>
              </w:rPr>
            </w:pPr>
            <w:r w:rsidRPr="00E00A6D">
              <w:rPr>
                <w:color w:val="auto"/>
              </w:rPr>
              <w:t>112,1</w:t>
            </w:r>
          </w:p>
        </w:tc>
        <w:tc>
          <w:tcPr>
            <w:tcW w:w="1981" w:type="dxa"/>
            <w:vAlign w:val="bottom"/>
          </w:tcPr>
          <w:p w:rsidR="00E87D64" w:rsidRPr="00570257" w:rsidRDefault="00E87D64" w:rsidP="00E87D64">
            <w:pPr>
              <w:pStyle w:val="tableteksttab"/>
              <w:rPr>
                <w:color w:val="auto"/>
              </w:rPr>
            </w:pPr>
            <w:r w:rsidRPr="007B70B8">
              <w:rPr>
                <w:color w:val="auto"/>
              </w:rPr>
              <w:t>107,3</w:t>
            </w:r>
          </w:p>
        </w:tc>
        <w:tc>
          <w:tcPr>
            <w:tcW w:w="1982" w:type="dxa"/>
            <w:vAlign w:val="bottom"/>
          </w:tcPr>
          <w:p w:rsidR="00E87D64" w:rsidRPr="00570257" w:rsidRDefault="00E87D64" w:rsidP="00E87D64">
            <w:pPr>
              <w:pStyle w:val="tableteksttab"/>
              <w:rPr>
                <w:color w:val="auto"/>
              </w:rPr>
            </w:pPr>
            <w:r w:rsidRPr="00570257">
              <w:rPr>
                <w:color w:val="auto"/>
              </w:rPr>
              <w:t>6,</w:t>
            </w:r>
            <w:r>
              <w:rPr>
                <w:color w:val="auto"/>
              </w:rPr>
              <w:t>8</w:t>
            </w:r>
          </w:p>
        </w:tc>
      </w:tr>
      <w:tr w:rsidR="00E87D64" w:rsidRPr="00E87892" w:rsidTr="007E4602">
        <w:trPr>
          <w:trHeight w:val="57"/>
          <w:jc w:val="center"/>
        </w:trPr>
        <w:tc>
          <w:tcPr>
            <w:tcW w:w="4535" w:type="dxa"/>
            <w:vAlign w:val="center"/>
          </w:tcPr>
          <w:p w:rsidR="00E87D64" w:rsidRPr="00C20CD4" w:rsidRDefault="00E87D64" w:rsidP="00E87D64">
            <w:pPr>
              <w:pStyle w:val="boczek2"/>
            </w:pPr>
            <w:r>
              <w:t>urządzeń elektrycznych</w:t>
            </w:r>
          </w:p>
        </w:tc>
        <w:tc>
          <w:tcPr>
            <w:tcW w:w="1981" w:type="dxa"/>
            <w:vAlign w:val="center"/>
          </w:tcPr>
          <w:p w:rsidR="00E87D64" w:rsidRPr="00570257" w:rsidRDefault="00E87D64" w:rsidP="00E87D64">
            <w:pPr>
              <w:pStyle w:val="tableteksttab"/>
              <w:rPr>
                <w:color w:val="auto"/>
              </w:rPr>
            </w:pPr>
            <w:r w:rsidRPr="00E00A6D">
              <w:rPr>
                <w:color w:val="auto"/>
              </w:rPr>
              <w:t>105,8</w:t>
            </w:r>
          </w:p>
        </w:tc>
        <w:tc>
          <w:tcPr>
            <w:tcW w:w="1981" w:type="dxa"/>
            <w:vAlign w:val="bottom"/>
          </w:tcPr>
          <w:p w:rsidR="00E87D64" w:rsidRPr="00570257" w:rsidRDefault="00E87D64" w:rsidP="00E87D64">
            <w:pPr>
              <w:pStyle w:val="tableteksttab"/>
              <w:rPr>
                <w:color w:val="auto"/>
              </w:rPr>
            </w:pPr>
            <w:r w:rsidRPr="007B70B8">
              <w:rPr>
                <w:color w:val="auto"/>
              </w:rPr>
              <w:t>96,0</w:t>
            </w:r>
          </w:p>
        </w:tc>
        <w:tc>
          <w:tcPr>
            <w:tcW w:w="1982" w:type="dxa"/>
            <w:vAlign w:val="bottom"/>
          </w:tcPr>
          <w:p w:rsidR="00E87D64" w:rsidRPr="00570257" w:rsidRDefault="00E87D64" w:rsidP="00E87D64">
            <w:pPr>
              <w:pStyle w:val="tableteksttab"/>
              <w:rPr>
                <w:color w:val="auto"/>
              </w:rPr>
            </w:pPr>
            <w:r w:rsidRPr="00570257">
              <w:rPr>
                <w:color w:val="auto"/>
              </w:rPr>
              <w:t>4,9</w:t>
            </w:r>
          </w:p>
        </w:tc>
      </w:tr>
      <w:tr w:rsidR="00E87D64" w:rsidRPr="00E87892" w:rsidTr="007E4602">
        <w:trPr>
          <w:trHeight w:val="57"/>
          <w:jc w:val="center"/>
        </w:trPr>
        <w:tc>
          <w:tcPr>
            <w:tcW w:w="4535" w:type="dxa"/>
            <w:tcBorders>
              <w:bottom w:val="single" w:sz="4" w:space="0" w:color="522398"/>
            </w:tcBorders>
            <w:vAlign w:val="center"/>
          </w:tcPr>
          <w:p w:rsidR="00E87D64" w:rsidRPr="00C20CD4" w:rsidRDefault="00E87D64" w:rsidP="00E87D64">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981" w:type="dxa"/>
            <w:tcBorders>
              <w:bottom w:val="single" w:sz="4" w:space="0" w:color="522398"/>
            </w:tcBorders>
            <w:vAlign w:val="center"/>
          </w:tcPr>
          <w:p w:rsidR="00E87D64" w:rsidRPr="00570257" w:rsidRDefault="00E87D64" w:rsidP="00E87D64">
            <w:pPr>
              <w:pStyle w:val="tableteksttab"/>
              <w:rPr>
                <w:color w:val="auto"/>
              </w:rPr>
            </w:pPr>
            <w:r w:rsidRPr="00E00A6D">
              <w:rPr>
                <w:color w:val="auto"/>
              </w:rPr>
              <w:t>114,8</w:t>
            </w:r>
          </w:p>
        </w:tc>
        <w:tc>
          <w:tcPr>
            <w:tcW w:w="1981" w:type="dxa"/>
            <w:tcBorders>
              <w:bottom w:val="single" w:sz="4" w:space="0" w:color="522398"/>
            </w:tcBorders>
            <w:vAlign w:val="bottom"/>
          </w:tcPr>
          <w:p w:rsidR="00E87D64" w:rsidRPr="00570257" w:rsidRDefault="00E87D64" w:rsidP="00E87D64">
            <w:pPr>
              <w:pStyle w:val="tableteksttab"/>
              <w:rPr>
                <w:color w:val="auto"/>
              </w:rPr>
            </w:pPr>
            <w:r w:rsidRPr="007B70B8">
              <w:rPr>
                <w:color w:val="auto"/>
              </w:rPr>
              <w:t>111,4</w:t>
            </w:r>
          </w:p>
        </w:tc>
        <w:tc>
          <w:tcPr>
            <w:tcW w:w="1982" w:type="dxa"/>
            <w:tcBorders>
              <w:bottom w:val="single" w:sz="4" w:space="0" w:color="522398"/>
            </w:tcBorders>
            <w:vAlign w:val="bottom"/>
          </w:tcPr>
          <w:p w:rsidR="00E87D64" w:rsidRPr="00570257" w:rsidRDefault="00E87D64" w:rsidP="00E87D64">
            <w:pPr>
              <w:pStyle w:val="tableteksttab"/>
              <w:rPr>
                <w:color w:val="auto"/>
              </w:rPr>
            </w:pPr>
            <w:r w:rsidRPr="00570257">
              <w:rPr>
                <w:color w:val="auto"/>
              </w:rPr>
              <w:t>3,5</w:t>
            </w:r>
          </w:p>
        </w:tc>
      </w:tr>
      <w:tr w:rsidR="00E87D64" w:rsidRPr="00E87892" w:rsidTr="007E4602">
        <w:trPr>
          <w:trHeight w:val="57"/>
          <w:jc w:val="center"/>
        </w:trPr>
        <w:tc>
          <w:tcPr>
            <w:tcW w:w="4535" w:type="dxa"/>
            <w:tcBorders>
              <w:top w:val="single" w:sz="4" w:space="0" w:color="522398"/>
              <w:bottom w:val="single" w:sz="4" w:space="0" w:color="522398"/>
            </w:tcBorders>
            <w:vAlign w:val="center"/>
          </w:tcPr>
          <w:p w:rsidR="00E87D64" w:rsidRPr="00C20CD4" w:rsidRDefault="00E87D64" w:rsidP="00E87D64">
            <w:pPr>
              <w:pStyle w:val="boczek2"/>
            </w:pPr>
            <w:r w:rsidRPr="00C20CD4">
              <w:t>pojazdów samochodowych, przyczep i naczep</w:t>
            </w:r>
            <w:r w:rsidRPr="00C20CD4">
              <w:rPr>
                <w:rFonts w:ascii="Symbol" w:hAnsi="Symbol"/>
                <w:vertAlign w:val="superscript"/>
              </w:rPr>
              <w:t></w:t>
            </w:r>
            <w:r w:rsidRPr="00C20CD4">
              <w:tab/>
            </w:r>
          </w:p>
        </w:tc>
        <w:tc>
          <w:tcPr>
            <w:tcW w:w="1981" w:type="dxa"/>
            <w:tcBorders>
              <w:top w:val="single" w:sz="4" w:space="0" w:color="522398"/>
              <w:bottom w:val="single" w:sz="4" w:space="0" w:color="522398"/>
            </w:tcBorders>
            <w:vAlign w:val="center"/>
          </w:tcPr>
          <w:p w:rsidR="00E87D64" w:rsidRPr="00570257" w:rsidRDefault="00E87D64" w:rsidP="00E87D64">
            <w:pPr>
              <w:pStyle w:val="tableteksttab"/>
              <w:rPr>
                <w:color w:val="auto"/>
              </w:rPr>
            </w:pPr>
            <w:r w:rsidRPr="00E00A6D">
              <w:rPr>
                <w:color w:val="auto"/>
              </w:rPr>
              <w:t>130,3</w:t>
            </w:r>
          </w:p>
        </w:tc>
        <w:tc>
          <w:tcPr>
            <w:tcW w:w="1981" w:type="dxa"/>
            <w:tcBorders>
              <w:top w:val="single" w:sz="4" w:space="0" w:color="522398"/>
              <w:bottom w:val="single" w:sz="4" w:space="0" w:color="522398"/>
            </w:tcBorders>
            <w:vAlign w:val="bottom"/>
          </w:tcPr>
          <w:p w:rsidR="00E87D64" w:rsidRPr="00570257" w:rsidRDefault="00E87D64" w:rsidP="00E87D64">
            <w:pPr>
              <w:pStyle w:val="tableteksttab"/>
              <w:rPr>
                <w:color w:val="auto"/>
              </w:rPr>
            </w:pPr>
            <w:r w:rsidRPr="007B70B8">
              <w:rPr>
                <w:color w:val="auto"/>
              </w:rPr>
              <w:t>98,0</w:t>
            </w:r>
          </w:p>
        </w:tc>
        <w:tc>
          <w:tcPr>
            <w:tcW w:w="1982" w:type="dxa"/>
            <w:tcBorders>
              <w:top w:val="single" w:sz="4" w:space="0" w:color="522398"/>
              <w:bottom w:val="single" w:sz="4" w:space="0" w:color="522398"/>
            </w:tcBorders>
            <w:vAlign w:val="bottom"/>
          </w:tcPr>
          <w:p w:rsidR="00E87D64" w:rsidRPr="00570257" w:rsidRDefault="00E87D64" w:rsidP="00E87D64">
            <w:pPr>
              <w:pStyle w:val="tableteksttab"/>
              <w:rPr>
                <w:color w:val="auto"/>
              </w:rPr>
            </w:pPr>
            <w:r>
              <w:rPr>
                <w:color w:val="auto"/>
              </w:rPr>
              <w:t>14,4</w:t>
            </w:r>
          </w:p>
        </w:tc>
      </w:tr>
      <w:tr w:rsidR="00E87D64" w:rsidRPr="00E87892" w:rsidTr="007E4602">
        <w:trPr>
          <w:trHeight w:val="57"/>
          <w:jc w:val="center"/>
        </w:trPr>
        <w:tc>
          <w:tcPr>
            <w:tcW w:w="4535" w:type="dxa"/>
            <w:tcBorders>
              <w:top w:val="single" w:sz="4" w:space="0" w:color="522398"/>
              <w:bottom w:val="single" w:sz="4" w:space="0" w:color="522398"/>
            </w:tcBorders>
            <w:vAlign w:val="center"/>
          </w:tcPr>
          <w:p w:rsidR="00E87D64" w:rsidRPr="00C20CD4" w:rsidRDefault="00E87D64" w:rsidP="00E87D64">
            <w:pPr>
              <w:pStyle w:val="boczek2"/>
            </w:pPr>
            <w:r>
              <w:t>mebli</w:t>
            </w:r>
          </w:p>
        </w:tc>
        <w:tc>
          <w:tcPr>
            <w:tcW w:w="1981" w:type="dxa"/>
            <w:tcBorders>
              <w:top w:val="single" w:sz="4" w:space="0" w:color="522398"/>
              <w:bottom w:val="single" w:sz="4" w:space="0" w:color="522398"/>
            </w:tcBorders>
            <w:vAlign w:val="center"/>
          </w:tcPr>
          <w:p w:rsidR="00E87D64" w:rsidRPr="00570257" w:rsidRDefault="00E87D64" w:rsidP="00E87D64">
            <w:pPr>
              <w:pStyle w:val="tableteksttab"/>
              <w:rPr>
                <w:color w:val="auto"/>
              </w:rPr>
            </w:pPr>
            <w:r w:rsidRPr="00E00A6D">
              <w:rPr>
                <w:color w:val="auto"/>
              </w:rPr>
              <w:t>101,4</w:t>
            </w:r>
          </w:p>
        </w:tc>
        <w:tc>
          <w:tcPr>
            <w:tcW w:w="1981" w:type="dxa"/>
            <w:tcBorders>
              <w:top w:val="single" w:sz="4" w:space="0" w:color="522398"/>
              <w:bottom w:val="single" w:sz="4" w:space="0" w:color="522398"/>
            </w:tcBorders>
            <w:vAlign w:val="bottom"/>
          </w:tcPr>
          <w:p w:rsidR="00E87D64" w:rsidRPr="00570257" w:rsidRDefault="00E87D64" w:rsidP="00E87D64">
            <w:pPr>
              <w:pStyle w:val="tableteksttab"/>
              <w:rPr>
                <w:color w:val="auto"/>
              </w:rPr>
            </w:pPr>
            <w:r w:rsidRPr="007B70B8">
              <w:rPr>
                <w:color w:val="auto"/>
              </w:rPr>
              <w:t>106,1</w:t>
            </w:r>
          </w:p>
        </w:tc>
        <w:tc>
          <w:tcPr>
            <w:tcW w:w="1982" w:type="dxa"/>
            <w:tcBorders>
              <w:top w:val="single" w:sz="4" w:space="0" w:color="522398"/>
              <w:bottom w:val="single" w:sz="4" w:space="0" w:color="522398"/>
            </w:tcBorders>
            <w:vAlign w:val="bottom"/>
          </w:tcPr>
          <w:p w:rsidR="00E87D64" w:rsidRPr="00570257" w:rsidRDefault="00E87D64" w:rsidP="00E87D64">
            <w:pPr>
              <w:pStyle w:val="tableteksttab"/>
              <w:rPr>
                <w:color w:val="auto"/>
              </w:rPr>
            </w:pPr>
            <w:r w:rsidRPr="00570257">
              <w:rPr>
                <w:color w:val="auto"/>
              </w:rPr>
              <w:t>7,</w:t>
            </w:r>
            <w:r>
              <w:rPr>
                <w:color w:val="auto"/>
              </w:rPr>
              <w:t>5</w:t>
            </w:r>
          </w:p>
        </w:tc>
      </w:tr>
      <w:tr w:rsidR="00E87D64" w:rsidRPr="00E87892" w:rsidTr="00661D45">
        <w:trPr>
          <w:trHeight w:val="396"/>
          <w:jc w:val="center"/>
        </w:trPr>
        <w:tc>
          <w:tcPr>
            <w:tcW w:w="4535" w:type="dxa"/>
            <w:tcBorders>
              <w:top w:val="single" w:sz="4" w:space="0" w:color="522398"/>
              <w:bottom w:val="nil"/>
            </w:tcBorders>
            <w:vAlign w:val="bottom"/>
          </w:tcPr>
          <w:p w:rsidR="00E87D64" w:rsidRPr="00C20CD4" w:rsidRDefault="00E87D64" w:rsidP="00E87D64">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981" w:type="dxa"/>
            <w:tcBorders>
              <w:top w:val="single" w:sz="4" w:space="0" w:color="522398"/>
              <w:bottom w:val="nil"/>
            </w:tcBorders>
            <w:vAlign w:val="bottom"/>
          </w:tcPr>
          <w:p w:rsidR="00E87D64" w:rsidRPr="00570257" w:rsidRDefault="00E87D64" w:rsidP="00E87D64">
            <w:pPr>
              <w:pStyle w:val="tableteksttab"/>
              <w:rPr>
                <w:color w:val="auto"/>
              </w:rPr>
            </w:pPr>
            <w:r w:rsidRPr="007B70B8">
              <w:rPr>
                <w:color w:val="auto"/>
              </w:rPr>
              <w:t>87,1</w:t>
            </w:r>
          </w:p>
        </w:tc>
        <w:tc>
          <w:tcPr>
            <w:tcW w:w="1981" w:type="dxa"/>
            <w:tcBorders>
              <w:top w:val="single" w:sz="4" w:space="0" w:color="522398"/>
              <w:bottom w:val="nil"/>
            </w:tcBorders>
            <w:vAlign w:val="bottom"/>
          </w:tcPr>
          <w:p w:rsidR="00E87D64" w:rsidRPr="00570257" w:rsidRDefault="00E87D64" w:rsidP="00E87D64">
            <w:pPr>
              <w:pStyle w:val="tableteksttab"/>
              <w:rPr>
                <w:color w:val="auto"/>
              </w:rPr>
            </w:pPr>
            <w:r w:rsidRPr="007B70B8">
              <w:rPr>
                <w:color w:val="auto"/>
              </w:rPr>
              <w:t>99,3</w:t>
            </w:r>
          </w:p>
        </w:tc>
        <w:tc>
          <w:tcPr>
            <w:tcW w:w="1982" w:type="dxa"/>
            <w:tcBorders>
              <w:top w:val="single" w:sz="4" w:space="0" w:color="522398"/>
              <w:bottom w:val="nil"/>
            </w:tcBorders>
            <w:vAlign w:val="bottom"/>
          </w:tcPr>
          <w:p w:rsidR="00E87D64" w:rsidRPr="00570257" w:rsidRDefault="00E87D64" w:rsidP="00E87D64">
            <w:pPr>
              <w:pStyle w:val="tableteksttab"/>
              <w:rPr>
                <w:color w:val="auto"/>
              </w:rPr>
            </w:pPr>
            <w:r w:rsidRPr="00570257">
              <w:rPr>
                <w:color w:val="auto"/>
              </w:rPr>
              <w:t>3,</w:t>
            </w:r>
            <w:r>
              <w:rPr>
                <w:color w:val="auto"/>
              </w:rPr>
              <w:t>8</w:t>
            </w:r>
          </w:p>
        </w:tc>
      </w:tr>
    </w:tbl>
    <w:p w:rsidR="00E87D64" w:rsidRPr="007652AE" w:rsidRDefault="00E87D64" w:rsidP="00E87D64">
      <w:pPr>
        <w:pStyle w:val="tekst"/>
        <w:spacing w:before="360"/>
      </w:pPr>
      <w:r w:rsidRPr="00570257">
        <w:t>W okresie styczeń-</w:t>
      </w:r>
      <w:r>
        <w:t>lipiec</w:t>
      </w:r>
      <w:r w:rsidRPr="00570257">
        <w:t xml:space="preserve"> br. wartość produkcji sprzedanej przemysłu wyniosła </w:t>
      </w:r>
      <w:r w:rsidRPr="00E6132B">
        <w:t>150952,7</w:t>
      </w:r>
      <w:r w:rsidRPr="00570257">
        <w:t xml:space="preserve"> mln zł (w cenach bieżących), co oznacza, że była o </w:t>
      </w:r>
      <w:r>
        <w:t>3</w:t>
      </w:r>
      <w:r w:rsidRPr="00E6132B">
        <w:t>,8</w:t>
      </w:r>
      <w:r w:rsidRPr="00570257">
        <w:t>% (licząc w cenach stałych) większa niż rok wcześniej (w okresie styczeń-</w:t>
      </w:r>
      <w:r>
        <w:t>lipiec</w:t>
      </w:r>
      <w:r w:rsidRPr="00570257">
        <w:t xml:space="preserve"> ub. roku wartość sprzedaży w cenach stałych wzrosła w skali roku o </w:t>
      </w:r>
      <w:r>
        <w:t>0,6</w:t>
      </w:r>
      <w:r w:rsidRPr="00570257">
        <w:t xml:space="preserve">%). </w:t>
      </w:r>
      <w:r w:rsidRPr="00E6132B">
        <w:t xml:space="preserve">Wzrost sprzedaży odnotowały przedsiębiorstwa przemysłowe związane z dostawą wody; gospodarowaniem ściekami i odpadami; rekultywacją (o </w:t>
      </w:r>
      <w:r>
        <w:t>5,5</w:t>
      </w:r>
      <w:r w:rsidRPr="00AA2F9B">
        <w:t>%) oraz przetwórstwem przemysłowym (o 4,1</w:t>
      </w:r>
      <w:r w:rsidRPr="007652AE">
        <w:t>%). Spadek wartości produkcji sprzedanej obserwowano natomiast w górnictwie i wydobywaniu (o 26,6</w:t>
      </w:r>
      <w:r>
        <w:t xml:space="preserve">%) oraz </w:t>
      </w:r>
      <w:r w:rsidRPr="007652AE">
        <w:t>wytwarzani</w:t>
      </w:r>
      <w:r>
        <w:t>u</w:t>
      </w:r>
      <w:r w:rsidRPr="007652AE">
        <w:t xml:space="preserve"> i zaopatrywani</w:t>
      </w:r>
      <w:r>
        <w:t>u</w:t>
      </w:r>
      <w:r w:rsidRPr="007652AE">
        <w:t xml:space="preserve"> w energię elektryczną, gaz, parę wodną i gorącą wodę</w:t>
      </w:r>
      <w:r>
        <w:t xml:space="preserve"> (o 0,7%).</w:t>
      </w:r>
    </w:p>
    <w:p w:rsidR="00E87D64" w:rsidRDefault="00E87D64" w:rsidP="00E87D64">
      <w:pPr>
        <w:pStyle w:val="tekst"/>
      </w:pPr>
      <w:r w:rsidRPr="00570257">
        <w:t>Produkcja sprzedana przemysłu przeliczona na 1 zatrudnionego w okresie styczeń-</w:t>
      </w:r>
      <w:r>
        <w:t>lipiec</w:t>
      </w:r>
      <w:r w:rsidRPr="00570257">
        <w:t xml:space="preserve"> br. wyniosła </w:t>
      </w:r>
      <w:r>
        <w:t>452,0</w:t>
      </w:r>
      <w:r w:rsidRPr="00570257">
        <w:t xml:space="preserve"> </w:t>
      </w:r>
      <w:r>
        <w:t xml:space="preserve">tys. zł (w </w:t>
      </w:r>
      <w:r w:rsidRPr="00570257">
        <w:t xml:space="preserve">cenach bieżących) i w ciągu roku zwiększyła się o </w:t>
      </w:r>
      <w:r>
        <w:t>4,5</w:t>
      </w:r>
      <w:r w:rsidRPr="00570257">
        <w:t xml:space="preserve">% (w cenach stałych), </w:t>
      </w:r>
      <w:r w:rsidRPr="00E32AE7">
        <w:t>przy spadku przeciętnego zatrudnienia o</w:t>
      </w:r>
      <w:r>
        <w:t xml:space="preserve"> </w:t>
      </w:r>
      <w:r w:rsidRPr="00E32AE7">
        <w:t>0,</w:t>
      </w:r>
      <w:r>
        <w:t>7% i </w:t>
      </w:r>
      <w:r w:rsidRPr="00E32AE7">
        <w:t>wzroście przeciętnego miesięcznego wynagrodzenia brutto o 8,</w:t>
      </w:r>
      <w:r>
        <w:t>5</w:t>
      </w:r>
      <w:r w:rsidRPr="00E32AE7">
        <w:t>%</w:t>
      </w:r>
      <w:r>
        <w:t>.</w:t>
      </w:r>
    </w:p>
    <w:p w:rsidR="00BC6F34" w:rsidRDefault="00BC6F34" w:rsidP="005928D2">
      <w:pPr>
        <w:pStyle w:val="tekst"/>
        <w:rPr>
          <w:spacing w:val="-2"/>
          <w:szCs w:val="19"/>
        </w:rPr>
      </w:pPr>
      <w:r w:rsidRPr="00C24494">
        <w:rPr>
          <w:spacing w:val="-2"/>
          <w:szCs w:val="19"/>
        </w:rPr>
        <w:t xml:space="preserve">Wartość </w:t>
      </w:r>
      <w:r w:rsidRPr="00C24494">
        <w:rPr>
          <w:b/>
          <w:spacing w:val="-2"/>
          <w:szCs w:val="19"/>
        </w:rPr>
        <w:t>produkcji sprzedanej budownictwa</w:t>
      </w:r>
      <w:r w:rsidRPr="00C24494">
        <w:rPr>
          <w:spacing w:val="-2"/>
          <w:szCs w:val="19"/>
        </w:rPr>
        <w:t xml:space="preserve"> w </w:t>
      </w:r>
      <w:r>
        <w:rPr>
          <w:spacing w:val="-2"/>
          <w:szCs w:val="19"/>
        </w:rPr>
        <w:t>lipcu</w:t>
      </w:r>
      <w:r w:rsidRPr="00C24494">
        <w:rPr>
          <w:spacing w:val="-2"/>
          <w:szCs w:val="19"/>
        </w:rPr>
        <w:t xml:space="preserve"> br. wyniosła 3924,9 mln zł (w cenach bieżących), tj. o </w:t>
      </w:r>
      <w:r>
        <w:rPr>
          <w:spacing w:val="-2"/>
          <w:szCs w:val="19"/>
        </w:rPr>
        <w:t>4,6</w:t>
      </w:r>
      <w:r w:rsidRPr="00C24494">
        <w:rPr>
          <w:spacing w:val="-2"/>
          <w:szCs w:val="19"/>
        </w:rPr>
        <w:t xml:space="preserve">% więcej niż w poprzednim miesiącu i o </w:t>
      </w:r>
      <w:r>
        <w:rPr>
          <w:spacing w:val="-2"/>
          <w:szCs w:val="19"/>
        </w:rPr>
        <w:t>18,3</w:t>
      </w:r>
      <w:r w:rsidRPr="00C24494">
        <w:rPr>
          <w:spacing w:val="-2"/>
          <w:szCs w:val="19"/>
        </w:rPr>
        <w:t xml:space="preserve">% więcej niż przed rokiem (w </w:t>
      </w:r>
      <w:r>
        <w:rPr>
          <w:spacing w:val="-2"/>
          <w:szCs w:val="19"/>
        </w:rPr>
        <w:t>lipcu</w:t>
      </w:r>
      <w:r w:rsidRPr="00C24494">
        <w:rPr>
          <w:spacing w:val="-2"/>
          <w:szCs w:val="19"/>
        </w:rPr>
        <w:t xml:space="preserve"> ub. roku wartość sprzedaży w skali miesiąca wzrosła o </w:t>
      </w:r>
      <w:r>
        <w:rPr>
          <w:spacing w:val="-2"/>
          <w:szCs w:val="19"/>
        </w:rPr>
        <w:t>1,2</w:t>
      </w:r>
      <w:r w:rsidRPr="00C24494">
        <w:rPr>
          <w:spacing w:val="-2"/>
          <w:szCs w:val="19"/>
        </w:rPr>
        <w:t>%, ale w stosunku rocznym obniżyła się o 6,</w:t>
      </w:r>
      <w:r>
        <w:rPr>
          <w:spacing w:val="-2"/>
          <w:szCs w:val="19"/>
        </w:rPr>
        <w:t>4</w:t>
      </w:r>
      <w:r w:rsidRPr="00C24494">
        <w:rPr>
          <w:spacing w:val="-2"/>
          <w:szCs w:val="19"/>
        </w:rPr>
        <w:t>%).</w:t>
      </w:r>
    </w:p>
    <w:p w:rsidR="005928D2" w:rsidRDefault="00BC6F34" w:rsidP="005928D2">
      <w:pPr>
        <w:pStyle w:val="tekst"/>
        <w:rPr>
          <w:spacing w:val="-2"/>
          <w:szCs w:val="19"/>
        </w:rPr>
      </w:pPr>
      <w:r w:rsidRPr="00D73BEA">
        <w:rPr>
          <w:b/>
          <w:spacing w:val="-2"/>
          <w:szCs w:val="19"/>
        </w:rPr>
        <w:t>Wydajność pracy w budownictwie</w:t>
      </w:r>
      <w:r w:rsidRPr="00D73BEA">
        <w:rPr>
          <w:spacing w:val="-2"/>
          <w:szCs w:val="19"/>
        </w:rPr>
        <w:t xml:space="preserve">, mierzona wartością produkcji sprzedanej na 1 zatrudnionego w tej sekcji, w </w:t>
      </w:r>
      <w:r>
        <w:rPr>
          <w:spacing w:val="-2"/>
          <w:szCs w:val="19"/>
        </w:rPr>
        <w:t>lipcu</w:t>
      </w:r>
      <w:r w:rsidRPr="00D73BEA">
        <w:rPr>
          <w:spacing w:val="-2"/>
          <w:szCs w:val="19"/>
        </w:rPr>
        <w:t xml:space="preserve"> br. wyniosła 9</w:t>
      </w:r>
      <w:r>
        <w:rPr>
          <w:spacing w:val="-2"/>
          <w:szCs w:val="19"/>
        </w:rPr>
        <w:t>7,2</w:t>
      </w:r>
      <w:r w:rsidRPr="00D73BEA">
        <w:rPr>
          <w:spacing w:val="-2"/>
          <w:szCs w:val="19"/>
        </w:rPr>
        <w:t xml:space="preserve"> tys. zł, tj. o </w:t>
      </w:r>
      <w:r>
        <w:rPr>
          <w:spacing w:val="-2"/>
          <w:szCs w:val="19"/>
        </w:rPr>
        <w:t>4,6</w:t>
      </w:r>
      <w:r w:rsidRPr="00D73BEA">
        <w:rPr>
          <w:spacing w:val="-2"/>
          <w:szCs w:val="19"/>
        </w:rPr>
        <w:t xml:space="preserve">% więcej niż w poprzednim miesiącu i o </w:t>
      </w:r>
      <w:r>
        <w:rPr>
          <w:spacing w:val="-2"/>
          <w:szCs w:val="19"/>
        </w:rPr>
        <w:t>17,3</w:t>
      </w:r>
      <w:r w:rsidRPr="00D73BEA">
        <w:rPr>
          <w:spacing w:val="-2"/>
          <w:szCs w:val="19"/>
        </w:rPr>
        <w:t xml:space="preserve">% więcej niż w </w:t>
      </w:r>
      <w:r>
        <w:rPr>
          <w:spacing w:val="-2"/>
          <w:szCs w:val="19"/>
        </w:rPr>
        <w:t>lipcu</w:t>
      </w:r>
      <w:r w:rsidRPr="00D73BEA">
        <w:rPr>
          <w:spacing w:val="-2"/>
          <w:szCs w:val="19"/>
        </w:rPr>
        <w:t xml:space="preserve"> ub. </w:t>
      </w:r>
      <w:r>
        <w:rPr>
          <w:spacing w:val="-2"/>
          <w:szCs w:val="19"/>
        </w:rPr>
        <w:t>roku. Przeciętne zatrudnienie w </w:t>
      </w:r>
      <w:r w:rsidRPr="00D73BEA">
        <w:rPr>
          <w:spacing w:val="-2"/>
          <w:szCs w:val="19"/>
        </w:rPr>
        <w:t xml:space="preserve">przedsiębiorstwach budowlanych kształtowało się w tym czasie na </w:t>
      </w:r>
      <w:r w:rsidRPr="00CD7D9F">
        <w:rPr>
          <w:spacing w:val="-2"/>
          <w:szCs w:val="19"/>
        </w:rPr>
        <w:t>poziomie zbliżonym od osiągniętego w czerwcu br. oraz</w:t>
      </w:r>
      <w:r>
        <w:rPr>
          <w:spacing w:val="-2"/>
          <w:szCs w:val="19"/>
        </w:rPr>
        <w:t xml:space="preserve"> o </w:t>
      </w:r>
      <w:r w:rsidRPr="00CD7D9F">
        <w:rPr>
          <w:spacing w:val="-2"/>
          <w:szCs w:val="19"/>
        </w:rPr>
        <w:t xml:space="preserve">0,8% wyżej niż przed rokiem. </w:t>
      </w:r>
      <w:r w:rsidRPr="00D73BEA">
        <w:rPr>
          <w:spacing w:val="-2"/>
          <w:szCs w:val="19"/>
        </w:rPr>
        <w:t xml:space="preserve">Przeciętne miesięczne wynagrodzenie brutto w sekcji budownictwo w skali miesiąca zwiększyło się o </w:t>
      </w:r>
      <w:r>
        <w:rPr>
          <w:spacing w:val="-2"/>
          <w:szCs w:val="19"/>
        </w:rPr>
        <w:t>4,5</w:t>
      </w:r>
      <w:r w:rsidRPr="00D73BEA">
        <w:rPr>
          <w:spacing w:val="-2"/>
          <w:szCs w:val="19"/>
        </w:rPr>
        <w:t>%, a w ujęciu rocznym wzrosło o 12,9%.</w:t>
      </w:r>
      <w:r w:rsidR="005928D2" w:rsidRPr="002B34F0">
        <w:rPr>
          <w:spacing w:val="-2"/>
          <w:szCs w:val="19"/>
        </w:rPr>
        <w:t xml:space="preserve"> </w:t>
      </w:r>
    </w:p>
    <w:p w:rsidR="005928D2" w:rsidRDefault="00BC6F34" w:rsidP="005928D2">
      <w:pPr>
        <w:autoSpaceDE w:val="0"/>
        <w:autoSpaceDN w:val="0"/>
        <w:adjustRightInd w:val="0"/>
        <w:spacing w:before="0" w:after="0" w:line="240" w:lineRule="auto"/>
        <w:rPr>
          <w:spacing w:val="-2"/>
          <w:szCs w:val="19"/>
        </w:rPr>
      </w:pPr>
      <w:r w:rsidRPr="00E35183">
        <w:rPr>
          <w:spacing w:val="-2"/>
          <w:szCs w:val="19"/>
        </w:rPr>
        <w:t xml:space="preserve">Wartość </w:t>
      </w:r>
      <w:r w:rsidRPr="00E35183">
        <w:rPr>
          <w:b/>
          <w:spacing w:val="-2"/>
          <w:szCs w:val="19"/>
        </w:rPr>
        <w:t>produkcji budowlano-montażowej</w:t>
      </w:r>
      <w:r w:rsidRPr="00E35183">
        <w:rPr>
          <w:spacing w:val="-2"/>
          <w:szCs w:val="19"/>
        </w:rPr>
        <w:t xml:space="preserve"> w </w:t>
      </w:r>
      <w:r>
        <w:rPr>
          <w:spacing w:val="-2"/>
          <w:szCs w:val="19"/>
        </w:rPr>
        <w:t>lipcu</w:t>
      </w:r>
      <w:r w:rsidRPr="00E35183">
        <w:rPr>
          <w:spacing w:val="-2"/>
          <w:szCs w:val="19"/>
        </w:rPr>
        <w:t xml:space="preserve"> br. wyniosła </w:t>
      </w:r>
      <w:r w:rsidRPr="005961A9">
        <w:rPr>
          <w:spacing w:val="-2"/>
          <w:szCs w:val="19"/>
        </w:rPr>
        <w:t>1375,5</w:t>
      </w:r>
      <w:r w:rsidRPr="00E35183">
        <w:rPr>
          <w:spacing w:val="-2"/>
          <w:szCs w:val="19"/>
        </w:rPr>
        <w:t xml:space="preserve"> mln zł, tj. o </w:t>
      </w:r>
      <w:r>
        <w:rPr>
          <w:spacing w:val="-2"/>
          <w:szCs w:val="19"/>
        </w:rPr>
        <w:t>1,0</w:t>
      </w:r>
      <w:r w:rsidRPr="00E35183">
        <w:rPr>
          <w:spacing w:val="-2"/>
          <w:szCs w:val="19"/>
        </w:rPr>
        <w:t>% więcej niż przed miesiącem i</w:t>
      </w:r>
      <w:r>
        <w:rPr>
          <w:spacing w:val="-2"/>
          <w:szCs w:val="19"/>
        </w:rPr>
        <w:t xml:space="preserve"> </w:t>
      </w:r>
      <w:r w:rsidRPr="00E35183">
        <w:t>o</w:t>
      </w:r>
      <w:r>
        <w:t xml:space="preserve"> 7,9</w:t>
      </w:r>
      <w:r w:rsidRPr="00E35183">
        <w:rPr>
          <w:spacing w:val="-2"/>
          <w:szCs w:val="19"/>
        </w:rPr>
        <w:t xml:space="preserve">% więcej niż przed rokiem (w </w:t>
      </w:r>
      <w:r>
        <w:rPr>
          <w:spacing w:val="-2"/>
          <w:szCs w:val="19"/>
        </w:rPr>
        <w:t>lipcu</w:t>
      </w:r>
      <w:r w:rsidRPr="00E35183">
        <w:rPr>
          <w:spacing w:val="-2"/>
          <w:szCs w:val="19"/>
        </w:rPr>
        <w:t xml:space="preserve"> ub. roku zanotowano odpowiednio </w:t>
      </w:r>
      <w:r>
        <w:rPr>
          <w:spacing w:val="-2"/>
          <w:szCs w:val="19"/>
        </w:rPr>
        <w:t>spadek</w:t>
      </w:r>
      <w:r w:rsidRPr="00E35183">
        <w:rPr>
          <w:spacing w:val="-2"/>
          <w:szCs w:val="19"/>
        </w:rPr>
        <w:t xml:space="preserve"> o </w:t>
      </w:r>
      <w:r>
        <w:rPr>
          <w:spacing w:val="-2"/>
          <w:szCs w:val="19"/>
        </w:rPr>
        <w:t>1,2</w:t>
      </w:r>
      <w:r w:rsidRPr="00E35183">
        <w:rPr>
          <w:spacing w:val="-2"/>
          <w:szCs w:val="19"/>
        </w:rPr>
        <w:t xml:space="preserve">% i </w:t>
      </w:r>
      <w:r>
        <w:rPr>
          <w:spacing w:val="-2"/>
          <w:szCs w:val="19"/>
        </w:rPr>
        <w:t>wzrost</w:t>
      </w:r>
      <w:r w:rsidRPr="00E35183">
        <w:rPr>
          <w:spacing w:val="-2"/>
          <w:szCs w:val="19"/>
        </w:rPr>
        <w:t xml:space="preserve"> o </w:t>
      </w:r>
      <w:r>
        <w:rPr>
          <w:spacing w:val="-2"/>
          <w:szCs w:val="19"/>
        </w:rPr>
        <w:t>5,9</w:t>
      </w:r>
      <w:r w:rsidRPr="008B1311">
        <w:rPr>
          <w:spacing w:val="-2"/>
          <w:szCs w:val="19"/>
        </w:rPr>
        <w:t>%). W ogólnej wartości produkcji sprzedanej budownictwa w lipcu br. produkcja budowlano-montażowa stanowiła 35,0%, tj. o 1,</w:t>
      </w:r>
      <w:r>
        <w:rPr>
          <w:spacing w:val="-2"/>
          <w:szCs w:val="19"/>
        </w:rPr>
        <w:t>3</w:t>
      </w:r>
      <w:r w:rsidRPr="008B1311">
        <w:rPr>
          <w:spacing w:val="-2"/>
          <w:szCs w:val="19"/>
        </w:rPr>
        <w:t xml:space="preserve"> p.proc. </w:t>
      </w:r>
      <w:r>
        <w:rPr>
          <w:spacing w:val="-2"/>
          <w:szCs w:val="19"/>
        </w:rPr>
        <w:t>mniej</w:t>
      </w:r>
      <w:r w:rsidRPr="008B1311">
        <w:rPr>
          <w:spacing w:val="-2"/>
          <w:szCs w:val="19"/>
        </w:rPr>
        <w:t xml:space="preserve"> niż przed miesiącem</w:t>
      </w:r>
      <w:r>
        <w:rPr>
          <w:spacing w:val="-2"/>
          <w:szCs w:val="19"/>
        </w:rPr>
        <w:t xml:space="preserve"> i </w:t>
      </w:r>
      <w:r w:rsidRPr="008B1311">
        <w:rPr>
          <w:spacing w:val="-2"/>
          <w:szCs w:val="19"/>
        </w:rPr>
        <w:t>o 3,</w:t>
      </w:r>
      <w:r>
        <w:rPr>
          <w:spacing w:val="-2"/>
          <w:szCs w:val="19"/>
        </w:rPr>
        <w:t>4</w:t>
      </w:r>
      <w:r w:rsidRPr="008B1311">
        <w:rPr>
          <w:spacing w:val="-2"/>
          <w:szCs w:val="19"/>
        </w:rPr>
        <w:t xml:space="preserve"> p.proc</w:t>
      </w:r>
      <w:r w:rsidR="00515218">
        <w:rPr>
          <w:spacing w:val="-2"/>
          <w:szCs w:val="19"/>
        </w:rPr>
        <w:t>.</w:t>
      </w:r>
      <w:r w:rsidRPr="008B1311">
        <w:rPr>
          <w:spacing w:val="-2"/>
          <w:szCs w:val="19"/>
        </w:rPr>
        <w:t xml:space="preserve"> mniej niż przed rokiem. Ponad połowę wartości produkcji budowlano-montażowej (</w:t>
      </w:r>
      <w:r>
        <w:rPr>
          <w:spacing w:val="-2"/>
          <w:szCs w:val="19"/>
        </w:rPr>
        <w:t>55,7</w:t>
      </w:r>
      <w:r w:rsidRPr="008B1311">
        <w:rPr>
          <w:spacing w:val="-2"/>
          <w:szCs w:val="19"/>
        </w:rPr>
        <w:t>%) wypracowały przedsiębiorstwa zajmujące się budową obiektów inżynierii lądowej i wodnej.</w:t>
      </w:r>
      <w:r w:rsidR="005928D2" w:rsidRPr="00675E25">
        <w:rPr>
          <w:spacing w:val="-2"/>
          <w:szCs w:val="19"/>
        </w:rPr>
        <w:t xml:space="preserve"> </w:t>
      </w:r>
    </w:p>
    <w:p w:rsidR="009F2F2C" w:rsidRDefault="009F2F2C" w:rsidP="005928D2">
      <w:pPr>
        <w:autoSpaceDE w:val="0"/>
        <w:autoSpaceDN w:val="0"/>
        <w:adjustRightInd w:val="0"/>
        <w:spacing w:before="0" w:after="0" w:line="240" w:lineRule="auto"/>
        <w:rPr>
          <w:spacing w:val="-2"/>
          <w:szCs w:val="19"/>
        </w:rPr>
      </w:pPr>
      <w:r>
        <w:rPr>
          <w:spacing w:val="-2"/>
          <w:szCs w:val="19"/>
        </w:rPr>
        <w:br w:type="page"/>
      </w:r>
    </w:p>
    <w:p w:rsidR="005928D2" w:rsidRPr="00675E25" w:rsidRDefault="005928D2" w:rsidP="005928D2">
      <w:pPr>
        <w:pStyle w:val="Tytultabeli"/>
        <w:spacing w:before="360"/>
      </w:pPr>
      <w:r w:rsidRPr="00675E25">
        <w:lastRenderedPageBreak/>
        <w:t xml:space="preserve">Tablica </w:t>
      </w:r>
      <w:r w:rsidR="0086710D">
        <w:t>8</w:t>
      </w:r>
      <w:r w:rsidRPr="00675E25">
        <w:t>.</w:t>
      </w:r>
      <w:r w:rsidRPr="00675E25">
        <w:tab/>
        <w:t>Dynamika i struktura produkcji budowlano-montażowej</w:t>
      </w:r>
      <w:r w:rsidRPr="00675E25">
        <w:br/>
        <w:t xml:space="preserve">(w cenach bieżących)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lipiec br.) i w okresie narastającym (styczeń-lipiec br.) w odniesieniu do analogicznych okresów ub. roku. Dane do tablicy dostępne w pliku w formacie XLSX"/>
      </w:tblPr>
      <w:tblGrid>
        <w:gridCol w:w="4569"/>
        <w:gridCol w:w="1970"/>
        <w:gridCol w:w="1970"/>
        <w:gridCol w:w="1970"/>
      </w:tblGrid>
      <w:tr w:rsidR="005928D2" w:rsidRPr="00675E25" w:rsidTr="000918AC">
        <w:trPr>
          <w:trHeight w:val="57"/>
          <w:tblHeader/>
          <w:jc w:val="center"/>
        </w:trPr>
        <w:tc>
          <w:tcPr>
            <w:tcW w:w="2180" w:type="pct"/>
            <w:vMerge w:val="restart"/>
            <w:tcBorders>
              <w:top w:val="nil"/>
              <w:bottom w:val="single" w:sz="4" w:space="0" w:color="522398"/>
            </w:tcBorders>
            <w:vAlign w:val="center"/>
          </w:tcPr>
          <w:p w:rsidR="005928D2" w:rsidRPr="00675E25" w:rsidRDefault="005928D2" w:rsidP="000918AC">
            <w:pPr>
              <w:pStyle w:val="glowka1"/>
            </w:pPr>
            <w:bookmarkStart w:id="29" w:name="_Toc64884831"/>
            <w:bookmarkStart w:id="30" w:name="_Toc64885000"/>
            <w:bookmarkStart w:id="31" w:name="_Toc64891653"/>
            <w:r w:rsidRPr="00675E25">
              <w:t>Wyszczególnienie</w:t>
            </w:r>
          </w:p>
        </w:tc>
        <w:tc>
          <w:tcPr>
            <w:tcW w:w="940" w:type="pct"/>
            <w:tcBorders>
              <w:top w:val="nil"/>
              <w:bottom w:val="single" w:sz="4" w:space="0" w:color="522398"/>
            </w:tcBorders>
            <w:vAlign w:val="center"/>
          </w:tcPr>
          <w:p w:rsidR="005928D2" w:rsidRPr="00675E25" w:rsidRDefault="00413EF6" w:rsidP="002B3124">
            <w:pPr>
              <w:pStyle w:val="glowka1"/>
            </w:pPr>
            <w:r>
              <w:t>0</w:t>
            </w:r>
            <w:r w:rsidR="002B3124">
              <w:t>7</w:t>
            </w:r>
            <w:r w:rsidR="005928D2" w:rsidRPr="00675E25">
              <w:t xml:space="preserve"> </w:t>
            </w:r>
            <w:r w:rsidR="005928D2">
              <w:t>2025</w:t>
            </w:r>
          </w:p>
        </w:tc>
        <w:tc>
          <w:tcPr>
            <w:tcW w:w="1880" w:type="pct"/>
            <w:gridSpan w:val="2"/>
            <w:tcBorders>
              <w:top w:val="nil"/>
              <w:bottom w:val="single" w:sz="4" w:space="0" w:color="522398"/>
            </w:tcBorders>
            <w:vAlign w:val="center"/>
          </w:tcPr>
          <w:p w:rsidR="005928D2" w:rsidRPr="00675E25" w:rsidRDefault="005928D2" w:rsidP="002B3124">
            <w:pPr>
              <w:pStyle w:val="glowka1"/>
            </w:pPr>
            <w:r>
              <w:t>01–0</w:t>
            </w:r>
            <w:r w:rsidR="002B3124">
              <w:t>7</w:t>
            </w:r>
            <w:r w:rsidRPr="00675E25">
              <w:t xml:space="preserve"> </w:t>
            </w:r>
            <w:r>
              <w:t>2025</w:t>
            </w:r>
          </w:p>
        </w:tc>
      </w:tr>
      <w:tr w:rsidR="005928D2" w:rsidRPr="00675E25" w:rsidTr="000918AC">
        <w:trPr>
          <w:trHeight w:val="57"/>
          <w:tblHeader/>
          <w:jc w:val="center"/>
        </w:trPr>
        <w:tc>
          <w:tcPr>
            <w:tcW w:w="2180" w:type="pct"/>
            <w:vMerge/>
            <w:tcBorders>
              <w:top w:val="single" w:sz="4" w:space="0" w:color="522398"/>
              <w:bottom w:val="single" w:sz="12" w:space="0" w:color="522398"/>
            </w:tcBorders>
          </w:tcPr>
          <w:p w:rsidR="005928D2" w:rsidRPr="00675E25" w:rsidRDefault="005928D2" w:rsidP="000918AC">
            <w:pPr>
              <w:pStyle w:val="glowka1"/>
            </w:pPr>
          </w:p>
        </w:tc>
        <w:tc>
          <w:tcPr>
            <w:tcW w:w="1880" w:type="pct"/>
            <w:gridSpan w:val="2"/>
            <w:tcBorders>
              <w:top w:val="single" w:sz="4" w:space="0" w:color="522398"/>
              <w:bottom w:val="single" w:sz="12" w:space="0" w:color="522398"/>
            </w:tcBorders>
            <w:vAlign w:val="center"/>
          </w:tcPr>
          <w:p w:rsidR="005928D2" w:rsidRPr="00675E25" w:rsidRDefault="005928D2" w:rsidP="000918AC">
            <w:pPr>
              <w:pStyle w:val="glowka1"/>
            </w:pPr>
            <w:r w:rsidRPr="00675E25">
              <w:t xml:space="preserve">analogiczny okres </w:t>
            </w:r>
            <w:r w:rsidRPr="00675E25">
              <w:br/>
              <w:t>roku poprzedniego = 100</w:t>
            </w:r>
          </w:p>
        </w:tc>
        <w:tc>
          <w:tcPr>
            <w:tcW w:w="940" w:type="pct"/>
            <w:tcBorders>
              <w:top w:val="single" w:sz="4" w:space="0" w:color="522398"/>
              <w:bottom w:val="single" w:sz="12" w:space="0" w:color="522398"/>
            </w:tcBorders>
            <w:vAlign w:val="center"/>
          </w:tcPr>
          <w:p w:rsidR="005928D2" w:rsidRPr="00675E25" w:rsidRDefault="005928D2" w:rsidP="000918AC">
            <w:pPr>
              <w:pStyle w:val="glowka1"/>
            </w:pPr>
            <w:r w:rsidRPr="00675E25">
              <w:t>w odsetkach</w:t>
            </w:r>
          </w:p>
        </w:tc>
      </w:tr>
      <w:tr w:rsidR="00BC6F34" w:rsidRPr="00675E25" w:rsidTr="00355E64">
        <w:trPr>
          <w:trHeight w:val="57"/>
          <w:jc w:val="center"/>
        </w:trPr>
        <w:tc>
          <w:tcPr>
            <w:tcW w:w="2180" w:type="pct"/>
            <w:tcBorders>
              <w:top w:val="single" w:sz="4" w:space="0" w:color="522398"/>
              <w:bottom w:val="single" w:sz="4" w:space="0" w:color="522398"/>
            </w:tcBorders>
            <w:vAlign w:val="center"/>
          </w:tcPr>
          <w:p w:rsidR="00BC6F34" w:rsidRPr="00675E25" w:rsidRDefault="00BC6F34" w:rsidP="00BC6F34">
            <w:pPr>
              <w:pStyle w:val="boczekbez"/>
            </w:pPr>
            <w:r>
              <w:t>OGÓŁEM</w:t>
            </w:r>
          </w:p>
        </w:tc>
        <w:tc>
          <w:tcPr>
            <w:tcW w:w="940" w:type="pct"/>
            <w:tcBorders>
              <w:top w:val="single" w:sz="4" w:space="0" w:color="522398"/>
              <w:bottom w:val="single" w:sz="4" w:space="0" w:color="522398"/>
            </w:tcBorders>
            <w:vAlign w:val="center"/>
          </w:tcPr>
          <w:p w:rsidR="00BC6F34" w:rsidRPr="00286CA4" w:rsidRDefault="00BC6F34" w:rsidP="00BC6F34">
            <w:pPr>
              <w:pStyle w:val="tablet"/>
              <w:rPr>
                <w:color w:val="auto"/>
              </w:rPr>
            </w:pPr>
            <w:r w:rsidRPr="003A496D">
              <w:rPr>
                <w:color w:val="auto"/>
              </w:rPr>
              <w:t>107,9</w:t>
            </w:r>
          </w:p>
        </w:tc>
        <w:tc>
          <w:tcPr>
            <w:tcW w:w="940" w:type="pct"/>
            <w:tcBorders>
              <w:top w:val="single" w:sz="4" w:space="0" w:color="522398"/>
              <w:bottom w:val="single" w:sz="4" w:space="0" w:color="522398"/>
            </w:tcBorders>
            <w:vAlign w:val="center"/>
          </w:tcPr>
          <w:p w:rsidR="00BC6F34" w:rsidRPr="00286CA4" w:rsidRDefault="00BC6F34" w:rsidP="00BC6F34">
            <w:pPr>
              <w:pStyle w:val="tablet"/>
              <w:rPr>
                <w:color w:val="auto"/>
              </w:rPr>
            </w:pPr>
            <w:r w:rsidRPr="003A496D">
              <w:rPr>
                <w:color w:val="auto"/>
              </w:rPr>
              <w:t>104,6</w:t>
            </w:r>
          </w:p>
        </w:tc>
        <w:tc>
          <w:tcPr>
            <w:tcW w:w="940" w:type="pct"/>
            <w:tcBorders>
              <w:top w:val="single" w:sz="4" w:space="0" w:color="522398"/>
              <w:bottom w:val="single" w:sz="4" w:space="0" w:color="522398"/>
            </w:tcBorders>
            <w:vAlign w:val="center"/>
          </w:tcPr>
          <w:p w:rsidR="00BC6F34" w:rsidRPr="00286CA4" w:rsidRDefault="00BC6F34" w:rsidP="00BC6F34">
            <w:pPr>
              <w:pStyle w:val="tablet"/>
              <w:rPr>
                <w:color w:val="auto"/>
              </w:rPr>
            </w:pPr>
            <w:r w:rsidRPr="00286CA4">
              <w:rPr>
                <w:color w:val="auto"/>
              </w:rPr>
              <w:t>100,0</w:t>
            </w:r>
          </w:p>
        </w:tc>
      </w:tr>
      <w:tr w:rsidR="00BC6F34" w:rsidRPr="00675E25" w:rsidTr="00355E64">
        <w:trPr>
          <w:trHeight w:val="57"/>
          <w:jc w:val="center"/>
        </w:trPr>
        <w:tc>
          <w:tcPr>
            <w:tcW w:w="2180" w:type="pct"/>
            <w:tcBorders>
              <w:top w:val="single" w:sz="4" w:space="0" w:color="522398"/>
              <w:bottom w:val="single" w:sz="4" w:space="0" w:color="522398"/>
            </w:tcBorders>
            <w:vAlign w:val="center"/>
          </w:tcPr>
          <w:p w:rsidR="00BC6F34" w:rsidRPr="00675E25" w:rsidRDefault="00BC6F34" w:rsidP="00BC6F34">
            <w:pPr>
              <w:pStyle w:val="boczek1"/>
            </w:pPr>
            <w:r w:rsidRPr="00675E25">
              <w:t>Budowa budynków</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BC6F34" w:rsidRPr="00286CA4" w:rsidRDefault="00BC6F34" w:rsidP="00BC6F34">
            <w:pPr>
              <w:pStyle w:val="tableteksttab"/>
              <w:rPr>
                <w:color w:val="auto"/>
              </w:rPr>
            </w:pPr>
            <w:r w:rsidRPr="003A496D">
              <w:rPr>
                <w:color w:val="auto"/>
              </w:rPr>
              <w:t>83,0</w:t>
            </w:r>
          </w:p>
        </w:tc>
        <w:tc>
          <w:tcPr>
            <w:tcW w:w="940" w:type="pct"/>
            <w:tcBorders>
              <w:top w:val="single" w:sz="4" w:space="0" w:color="522398"/>
              <w:bottom w:val="single" w:sz="4" w:space="0" w:color="522398"/>
            </w:tcBorders>
            <w:vAlign w:val="center"/>
          </w:tcPr>
          <w:p w:rsidR="00BC6F34" w:rsidRPr="00286CA4" w:rsidRDefault="00BC6F34" w:rsidP="00BC6F34">
            <w:pPr>
              <w:pStyle w:val="tableteksttab"/>
              <w:rPr>
                <w:color w:val="auto"/>
              </w:rPr>
            </w:pPr>
            <w:r w:rsidRPr="003A496D">
              <w:rPr>
                <w:color w:val="auto"/>
              </w:rPr>
              <w:t>78,6</w:t>
            </w:r>
          </w:p>
        </w:tc>
        <w:tc>
          <w:tcPr>
            <w:tcW w:w="940" w:type="pct"/>
            <w:tcBorders>
              <w:top w:val="single" w:sz="4" w:space="0" w:color="522398"/>
              <w:bottom w:val="single" w:sz="4" w:space="0" w:color="522398"/>
            </w:tcBorders>
            <w:vAlign w:val="center"/>
          </w:tcPr>
          <w:p w:rsidR="00BC6F34" w:rsidRPr="00286CA4" w:rsidRDefault="00BC6F34" w:rsidP="00BC6F34">
            <w:pPr>
              <w:pStyle w:val="tableteksttab"/>
              <w:rPr>
                <w:color w:val="auto"/>
              </w:rPr>
            </w:pPr>
            <w:r w:rsidRPr="004A0B75">
              <w:rPr>
                <w:color w:val="auto"/>
              </w:rPr>
              <w:t>27,2</w:t>
            </w:r>
          </w:p>
        </w:tc>
      </w:tr>
      <w:tr w:rsidR="00BC6F34" w:rsidRPr="00675E25" w:rsidTr="00355E64">
        <w:trPr>
          <w:trHeight w:val="57"/>
          <w:jc w:val="center"/>
        </w:trPr>
        <w:tc>
          <w:tcPr>
            <w:tcW w:w="2180" w:type="pct"/>
            <w:tcBorders>
              <w:top w:val="single" w:sz="4" w:space="0" w:color="522398"/>
              <w:bottom w:val="single" w:sz="4" w:space="0" w:color="522398"/>
            </w:tcBorders>
            <w:vAlign w:val="center"/>
          </w:tcPr>
          <w:p w:rsidR="00BC6F34" w:rsidRPr="00675E25" w:rsidRDefault="00BC6F34" w:rsidP="00BC6F34">
            <w:pPr>
              <w:pStyle w:val="boczek1"/>
            </w:pPr>
            <w:r w:rsidRPr="00675E25">
              <w:t>Budowa obiektów inżynierii lądowej i wodnej</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BC6F34" w:rsidRPr="00286CA4" w:rsidRDefault="00BC6F34" w:rsidP="00BC6F34">
            <w:pPr>
              <w:pStyle w:val="tableteksttab"/>
              <w:rPr>
                <w:color w:val="auto"/>
              </w:rPr>
            </w:pPr>
            <w:r w:rsidRPr="003A496D">
              <w:rPr>
                <w:color w:val="auto"/>
              </w:rPr>
              <w:t>122,0</w:t>
            </w:r>
          </w:p>
        </w:tc>
        <w:tc>
          <w:tcPr>
            <w:tcW w:w="940" w:type="pct"/>
            <w:tcBorders>
              <w:top w:val="single" w:sz="4" w:space="0" w:color="522398"/>
              <w:bottom w:val="single" w:sz="4" w:space="0" w:color="522398"/>
            </w:tcBorders>
            <w:vAlign w:val="center"/>
          </w:tcPr>
          <w:p w:rsidR="00BC6F34" w:rsidRPr="00286CA4" w:rsidRDefault="00BC6F34" w:rsidP="00BC6F34">
            <w:pPr>
              <w:pStyle w:val="tableteksttab"/>
              <w:rPr>
                <w:color w:val="auto"/>
              </w:rPr>
            </w:pPr>
            <w:r w:rsidRPr="003A496D">
              <w:rPr>
                <w:color w:val="auto"/>
              </w:rPr>
              <w:t>120,4</w:t>
            </w:r>
          </w:p>
        </w:tc>
        <w:tc>
          <w:tcPr>
            <w:tcW w:w="940" w:type="pct"/>
            <w:tcBorders>
              <w:top w:val="single" w:sz="4" w:space="0" w:color="522398"/>
              <w:bottom w:val="single" w:sz="4" w:space="0" w:color="522398"/>
            </w:tcBorders>
            <w:vAlign w:val="center"/>
          </w:tcPr>
          <w:p w:rsidR="00BC6F34" w:rsidRPr="00286CA4" w:rsidRDefault="00BC6F34" w:rsidP="00BC6F34">
            <w:pPr>
              <w:pStyle w:val="tableteksttab"/>
              <w:rPr>
                <w:color w:val="auto"/>
              </w:rPr>
            </w:pPr>
            <w:r w:rsidRPr="004A0B75">
              <w:rPr>
                <w:color w:val="auto"/>
              </w:rPr>
              <w:t>51,6</w:t>
            </w:r>
          </w:p>
        </w:tc>
      </w:tr>
      <w:tr w:rsidR="00BC6F34" w:rsidRPr="00675E25" w:rsidTr="00355E64">
        <w:trPr>
          <w:trHeight w:val="57"/>
          <w:jc w:val="center"/>
        </w:trPr>
        <w:tc>
          <w:tcPr>
            <w:tcW w:w="2180" w:type="pct"/>
            <w:tcBorders>
              <w:top w:val="single" w:sz="4" w:space="0" w:color="522398"/>
              <w:bottom w:val="nil"/>
            </w:tcBorders>
            <w:vAlign w:val="center"/>
          </w:tcPr>
          <w:p w:rsidR="00BC6F34" w:rsidRPr="00675E25" w:rsidRDefault="00BC6F34" w:rsidP="00BC6F34">
            <w:pPr>
              <w:pStyle w:val="boczek1"/>
            </w:pPr>
            <w:r w:rsidRPr="00675E25">
              <w:t>Roboty budowlane specjalistyczne</w:t>
            </w:r>
          </w:p>
        </w:tc>
        <w:tc>
          <w:tcPr>
            <w:tcW w:w="940" w:type="pct"/>
            <w:tcBorders>
              <w:top w:val="single" w:sz="4" w:space="0" w:color="522398"/>
              <w:bottom w:val="nil"/>
            </w:tcBorders>
            <w:vAlign w:val="center"/>
          </w:tcPr>
          <w:p w:rsidR="00BC6F34" w:rsidRPr="00286CA4" w:rsidRDefault="00BC6F34" w:rsidP="00BC6F34">
            <w:pPr>
              <w:pStyle w:val="tableteksttab"/>
              <w:rPr>
                <w:color w:val="auto"/>
              </w:rPr>
            </w:pPr>
            <w:r w:rsidRPr="003A496D">
              <w:rPr>
                <w:color w:val="auto"/>
              </w:rPr>
              <w:t>111,9</w:t>
            </w:r>
          </w:p>
        </w:tc>
        <w:tc>
          <w:tcPr>
            <w:tcW w:w="940" w:type="pct"/>
            <w:tcBorders>
              <w:top w:val="single" w:sz="4" w:space="0" w:color="522398"/>
              <w:bottom w:val="nil"/>
            </w:tcBorders>
            <w:vAlign w:val="center"/>
          </w:tcPr>
          <w:p w:rsidR="00BC6F34" w:rsidRPr="00286CA4" w:rsidRDefault="00BC6F34" w:rsidP="00BC6F34">
            <w:pPr>
              <w:pStyle w:val="tableteksttab"/>
              <w:rPr>
                <w:color w:val="auto"/>
              </w:rPr>
            </w:pPr>
            <w:r w:rsidRPr="003A496D">
              <w:rPr>
                <w:color w:val="auto"/>
              </w:rPr>
              <w:t>117,0</w:t>
            </w:r>
          </w:p>
        </w:tc>
        <w:tc>
          <w:tcPr>
            <w:tcW w:w="940" w:type="pct"/>
            <w:tcBorders>
              <w:top w:val="single" w:sz="4" w:space="0" w:color="522398"/>
              <w:bottom w:val="nil"/>
            </w:tcBorders>
            <w:vAlign w:val="center"/>
          </w:tcPr>
          <w:p w:rsidR="00BC6F34" w:rsidRPr="00286CA4" w:rsidRDefault="00BC6F34" w:rsidP="00BC6F34">
            <w:pPr>
              <w:pStyle w:val="tableteksttab"/>
              <w:rPr>
                <w:color w:val="auto"/>
              </w:rPr>
            </w:pPr>
            <w:r w:rsidRPr="004A0B75">
              <w:rPr>
                <w:color w:val="auto"/>
              </w:rPr>
              <w:t>21,2</w:t>
            </w:r>
          </w:p>
        </w:tc>
      </w:tr>
    </w:tbl>
    <w:p w:rsidR="00BC6F34" w:rsidRPr="00286CA4" w:rsidRDefault="00BC6F34" w:rsidP="00BC6F34">
      <w:pPr>
        <w:pStyle w:val="tekst"/>
        <w:spacing w:before="240"/>
      </w:pPr>
      <w:r w:rsidRPr="00286CA4">
        <w:t>Wartość produkcji sprzedanej budownictwa zrealizowanej w okresie styczeń-</w:t>
      </w:r>
      <w:r>
        <w:t>lipiec</w:t>
      </w:r>
      <w:r w:rsidRPr="00286CA4">
        <w:t xml:space="preserve"> br. wyniosła </w:t>
      </w:r>
      <w:r w:rsidRPr="0044014B">
        <w:t>24882,4</w:t>
      </w:r>
      <w:r>
        <w:t xml:space="preserve"> </w:t>
      </w:r>
      <w:r w:rsidRPr="00286CA4">
        <w:t xml:space="preserve">mln zł, tj. </w:t>
      </w:r>
      <w:r>
        <w:t>9,6</w:t>
      </w:r>
      <w:r w:rsidRPr="00286CA4">
        <w:t xml:space="preserve">% więcej niż w analogicznym okresie ub. roku (przed rokiem notowano w tym czasie spadek sprzedaży o </w:t>
      </w:r>
      <w:r>
        <w:t>6,6</w:t>
      </w:r>
      <w:r w:rsidRPr="00286CA4">
        <w:t>%). Wydajność pracy w budownictwie w okresie styczeń-</w:t>
      </w:r>
      <w:r>
        <w:t>lipiec</w:t>
      </w:r>
      <w:r w:rsidRPr="00286CA4">
        <w:t xml:space="preserve"> br. kształtowała się na poziomie </w:t>
      </w:r>
      <w:r w:rsidRPr="00A41E61">
        <w:t>614,2</w:t>
      </w:r>
      <w:r w:rsidRPr="00286CA4">
        <w:t xml:space="preserve"> tys. zł na 1 zatrudnionego i w ciągu roku </w:t>
      </w:r>
      <w:r w:rsidRPr="00286CA4">
        <w:rPr>
          <w:szCs w:val="19"/>
        </w:rPr>
        <w:t xml:space="preserve">zwiększyła się </w:t>
      </w:r>
      <w:r w:rsidRPr="00286CA4">
        <w:t xml:space="preserve">o </w:t>
      </w:r>
      <w:r>
        <w:t>8,8</w:t>
      </w:r>
      <w:r w:rsidRPr="00286CA4">
        <w:t>%, przy wzroście zatrudnienia w tej sekcji o 0,</w:t>
      </w:r>
      <w:r>
        <w:t>7</w:t>
      </w:r>
      <w:r w:rsidRPr="00286CA4">
        <w:t xml:space="preserve">% i przeciętnego miesięcznego wynagrodzenia brutto o </w:t>
      </w:r>
      <w:r>
        <w:t>11,5</w:t>
      </w:r>
      <w:r w:rsidRPr="00286CA4">
        <w:t xml:space="preserve">%. </w:t>
      </w:r>
    </w:p>
    <w:p w:rsidR="005928D2" w:rsidRPr="00A351E4" w:rsidRDefault="00BC6F34" w:rsidP="00BC6F34">
      <w:pPr>
        <w:pStyle w:val="tekst"/>
      </w:pPr>
      <w:r w:rsidRPr="00286CA4">
        <w:rPr>
          <w:spacing w:val="-2"/>
        </w:rPr>
        <w:t>Produkcja budowlano-montażowa, która w okresie styczeń-</w:t>
      </w:r>
      <w:r>
        <w:rPr>
          <w:spacing w:val="-2"/>
        </w:rPr>
        <w:t>lipiec</w:t>
      </w:r>
      <w:r w:rsidRPr="00286CA4">
        <w:rPr>
          <w:spacing w:val="-2"/>
        </w:rPr>
        <w:t xml:space="preserve"> br. wyniosła </w:t>
      </w:r>
      <w:r w:rsidRPr="00E54EAD">
        <w:rPr>
          <w:spacing w:val="-2"/>
        </w:rPr>
        <w:t>8570,5</w:t>
      </w:r>
      <w:r w:rsidRPr="00286CA4">
        <w:rPr>
          <w:spacing w:val="-2"/>
        </w:rPr>
        <w:t xml:space="preserve"> mln zł, stanowiła </w:t>
      </w:r>
      <w:r>
        <w:rPr>
          <w:spacing w:val="-2"/>
        </w:rPr>
        <w:t>34,4</w:t>
      </w:r>
      <w:r w:rsidRPr="00286CA4">
        <w:rPr>
          <w:spacing w:val="-2"/>
        </w:rPr>
        <w:t xml:space="preserve">% wartości sprzedaży sekcji budownictwo, tj. o </w:t>
      </w:r>
      <w:r>
        <w:rPr>
          <w:spacing w:val="-2"/>
        </w:rPr>
        <w:t>1,7</w:t>
      </w:r>
      <w:r w:rsidRPr="00286CA4">
        <w:rPr>
          <w:spacing w:val="-2"/>
        </w:rPr>
        <w:t xml:space="preserve"> p.proc. mniej niż przed rokiem. Wartość produkcji budowlano-montażowej w ciągu roku zwiększyła się o </w:t>
      </w:r>
      <w:r>
        <w:rPr>
          <w:spacing w:val="-2"/>
        </w:rPr>
        <w:t>4,6</w:t>
      </w:r>
      <w:r w:rsidRPr="00286CA4">
        <w:rPr>
          <w:spacing w:val="-2"/>
        </w:rPr>
        <w:t>% (przed rokiem obserwowano wzrost o 0,</w:t>
      </w:r>
      <w:r>
        <w:rPr>
          <w:spacing w:val="-2"/>
        </w:rPr>
        <w:t>9</w:t>
      </w:r>
      <w:r w:rsidRPr="00286CA4">
        <w:rPr>
          <w:spacing w:val="-2"/>
        </w:rPr>
        <w:t xml:space="preserve">%). Od początku roku największy udział w wielkości produkcji budowlano-montażowej miały przedsiębiorstwa związane z </w:t>
      </w:r>
      <w:r w:rsidRPr="00286CA4">
        <w:rPr>
          <w:spacing w:val="-2"/>
          <w:szCs w:val="19"/>
        </w:rPr>
        <w:t>budową obiektów inżynierii lądowej i wodnej</w:t>
      </w:r>
      <w:r w:rsidRPr="00286CA4">
        <w:rPr>
          <w:spacing w:val="-2"/>
        </w:rPr>
        <w:t xml:space="preserve"> (</w:t>
      </w:r>
      <w:r>
        <w:rPr>
          <w:spacing w:val="-2"/>
        </w:rPr>
        <w:t>51,6%).</w:t>
      </w:r>
      <w:r w:rsidR="005928D2" w:rsidRPr="00A351E4">
        <w:rPr>
          <w:spacing w:val="-2"/>
        </w:rPr>
        <w:t xml:space="preserve"> </w:t>
      </w:r>
    </w:p>
    <w:p w:rsidR="005928D2" w:rsidRPr="009F2F2C" w:rsidRDefault="005928D2" w:rsidP="009F2F2C">
      <w:pPr>
        <w:pStyle w:val="Nagwek1"/>
      </w:pPr>
      <w:bookmarkStart w:id="32" w:name="_Toc164413798"/>
      <w:bookmarkStart w:id="33" w:name="_Toc205383516"/>
      <w:r w:rsidRPr="009F2F2C">
        <w:t>Budownictwo mieszkaniowe</w:t>
      </w:r>
      <w:bookmarkEnd w:id="29"/>
      <w:bookmarkEnd w:id="30"/>
      <w:bookmarkEnd w:id="31"/>
      <w:bookmarkEnd w:id="32"/>
      <w:bookmarkEnd w:id="33"/>
    </w:p>
    <w:p w:rsidR="005928D2" w:rsidRPr="00EF6E0A" w:rsidRDefault="00915728" w:rsidP="00BB47A0">
      <w:pPr>
        <w:pStyle w:val="tekst"/>
        <w:spacing w:before="60"/>
      </w:pPr>
      <w:r>
        <w:rPr>
          <w:szCs w:val="19"/>
        </w:rPr>
        <w:t>W lipcu</w:t>
      </w:r>
      <w:r w:rsidRPr="00EF6E0A">
        <w:rPr>
          <w:szCs w:val="19"/>
        </w:rPr>
        <w:t xml:space="preserve"> br.</w:t>
      </w:r>
      <w:r w:rsidRPr="00EF6E0A">
        <w:t xml:space="preserve"> w województwie </w:t>
      </w:r>
      <w:r w:rsidRPr="00EF6E0A">
        <w:rPr>
          <w:b/>
        </w:rPr>
        <w:t>oddano do użytkowania</w:t>
      </w:r>
      <w:r w:rsidRPr="00EF6E0A">
        <w:t xml:space="preserve"> </w:t>
      </w:r>
      <w:r>
        <w:t>więcej</w:t>
      </w:r>
      <w:r w:rsidRPr="00EF6E0A">
        <w:t xml:space="preserve"> </w:t>
      </w:r>
      <w:r w:rsidRPr="00EF6E0A">
        <w:rPr>
          <w:b/>
        </w:rPr>
        <w:t>mieszkań</w:t>
      </w:r>
      <w:r w:rsidRPr="00EF6E0A">
        <w:t xml:space="preserve"> niż przed rokiem, </w:t>
      </w:r>
      <w:r>
        <w:t>większa</w:t>
      </w:r>
      <w:r w:rsidRPr="00EF6E0A">
        <w:t xml:space="preserve"> była też liczba mieszkań, na których realizację wydano pozwolenia lub dokonano zgłoszenia z projektem budowlanym</w:t>
      </w:r>
      <w:r>
        <w:t>, mniejsza</w:t>
      </w:r>
      <w:r w:rsidRPr="00EF6E0A">
        <w:t xml:space="preserve"> </w:t>
      </w:r>
      <w:r>
        <w:t xml:space="preserve">natomiast mieszkań, których budowę </w:t>
      </w:r>
      <w:r w:rsidRPr="00EF6E0A">
        <w:t>rozpoczęto w tym czasie.</w:t>
      </w:r>
    </w:p>
    <w:p w:rsidR="005928D2" w:rsidRDefault="00451A48" w:rsidP="005928D2">
      <w:pPr>
        <w:pStyle w:val="Tytultabeli"/>
        <w:spacing w:before="240"/>
      </w:pPr>
      <w:r w:rsidRPr="00451A48">
        <w:rPr>
          <w:noProof/>
        </w:rPr>
        <w:drawing>
          <wp:anchor distT="71755" distB="180340" distL="114300" distR="114300" simplePos="0" relativeHeight="253053440" behindDoc="0" locked="0" layoutInCell="1" allowOverlap="1">
            <wp:simplePos x="0" y="0"/>
            <wp:positionH relativeFrom="margin">
              <wp:align>center</wp:align>
            </wp:positionH>
            <wp:positionV relativeFrom="paragraph">
              <wp:posOffset>551180</wp:posOffset>
            </wp:positionV>
            <wp:extent cx="5554800" cy="2376000"/>
            <wp:effectExtent l="0" t="0" r="8255" b="5715"/>
            <wp:wrapTopAndBottom/>
            <wp:docPr id="15" name="Obraz 15" descr="Podwójny wykres liniowy (Polska i województwo wielkopolskie) przedstawiający dynamikę mieszkań oddanych do użytkowania w poszczególnych okresach miesięcznych narastająco w latach 2022–2025 w odniesieniu do analogicznych okresów roku 2021 (oś pozioma). Oś pionowa wartości w zakresie od 60 do 16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4800" cy="23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9.</w:t>
      </w:r>
      <w:r w:rsidR="005928D2">
        <w:tab/>
      </w:r>
      <w:r w:rsidR="005928D2" w:rsidRPr="008B04AE">
        <w:t>Mieszkania oddane do użytkowania</w:t>
      </w:r>
      <w:r w:rsidR="005928D2" w:rsidRPr="008B04AE">
        <w:br/>
      </w:r>
      <w:r w:rsidR="005928D2" w:rsidRPr="003E046B">
        <w:t>(analogiczny okres roku 20</w:t>
      </w:r>
      <w:r w:rsidR="005928D2">
        <w:t>2</w:t>
      </w:r>
      <w:r w:rsidR="005928D2" w:rsidRPr="003E046B">
        <w:t>1=100)</w:t>
      </w:r>
      <w:r w:rsidR="005928D2" w:rsidRPr="007F73D2">
        <w:t xml:space="preserve"> </w:t>
      </w:r>
    </w:p>
    <w:p w:rsidR="009F2F2C" w:rsidRDefault="00915728" w:rsidP="009F2F2C">
      <w:r w:rsidRPr="00EF6E0A">
        <w:rPr>
          <w:spacing w:val="-2"/>
        </w:rPr>
        <w:t>Według wstępnych danych</w:t>
      </w:r>
      <w:r w:rsidRPr="00EF6E0A">
        <w:rPr>
          <w:rStyle w:val="Odwoanieprzypisudolnego"/>
          <w:spacing w:val="-2"/>
          <w:szCs w:val="19"/>
        </w:rPr>
        <w:footnoteReference w:id="3"/>
      </w:r>
      <w:r w:rsidRPr="00EF6E0A">
        <w:rPr>
          <w:spacing w:val="-2"/>
        </w:rPr>
        <w:t xml:space="preserve"> </w:t>
      </w:r>
      <w:r>
        <w:rPr>
          <w:spacing w:val="-2"/>
        </w:rPr>
        <w:t>w lipcu</w:t>
      </w:r>
      <w:r w:rsidRPr="00EF6E0A">
        <w:rPr>
          <w:spacing w:val="-2"/>
        </w:rPr>
        <w:t xml:space="preserve"> br. oddano do użytkowania </w:t>
      </w:r>
      <w:r>
        <w:rPr>
          <w:spacing w:val="-2"/>
        </w:rPr>
        <w:t>2042</w:t>
      </w:r>
      <w:r w:rsidRPr="00EF6E0A">
        <w:rPr>
          <w:spacing w:val="-2"/>
        </w:rPr>
        <w:t xml:space="preserve"> now</w:t>
      </w:r>
      <w:r>
        <w:rPr>
          <w:spacing w:val="-2"/>
        </w:rPr>
        <w:t>e</w:t>
      </w:r>
      <w:r w:rsidRPr="00EF6E0A">
        <w:rPr>
          <w:spacing w:val="-2"/>
        </w:rPr>
        <w:t xml:space="preserve"> mieszka</w:t>
      </w:r>
      <w:r>
        <w:rPr>
          <w:spacing w:val="-2"/>
        </w:rPr>
        <w:t>nia</w:t>
      </w:r>
      <w:r w:rsidRPr="00EF6E0A">
        <w:rPr>
          <w:spacing w:val="-2"/>
        </w:rPr>
        <w:t xml:space="preserve">, tj. o </w:t>
      </w:r>
      <w:r>
        <w:rPr>
          <w:spacing w:val="-2"/>
        </w:rPr>
        <w:t>77,9</w:t>
      </w:r>
      <w:r w:rsidRPr="00EF6E0A">
        <w:rPr>
          <w:spacing w:val="-2"/>
        </w:rPr>
        <w:t xml:space="preserve">% </w:t>
      </w:r>
      <w:r>
        <w:rPr>
          <w:spacing w:val="-2"/>
        </w:rPr>
        <w:t>więcej</w:t>
      </w:r>
      <w:r w:rsidRPr="00EF6E0A">
        <w:t xml:space="preserve"> </w:t>
      </w:r>
      <w:r w:rsidRPr="00EF6E0A">
        <w:rPr>
          <w:spacing w:val="-2"/>
        </w:rPr>
        <w:t xml:space="preserve">niż </w:t>
      </w:r>
      <w:r>
        <w:rPr>
          <w:spacing w:val="-2"/>
        </w:rPr>
        <w:t>w czerwcu</w:t>
      </w:r>
      <w:r w:rsidRPr="00EF6E0A">
        <w:rPr>
          <w:spacing w:val="-2"/>
        </w:rPr>
        <w:t xml:space="preserve"> br.</w:t>
      </w:r>
      <w:r>
        <w:rPr>
          <w:spacing w:val="-2"/>
        </w:rPr>
        <w:t xml:space="preserve"> i </w:t>
      </w:r>
      <w:r w:rsidRPr="00EF6E0A">
        <w:rPr>
          <w:spacing w:val="-2"/>
        </w:rPr>
        <w:t>o </w:t>
      </w:r>
      <w:r>
        <w:rPr>
          <w:spacing w:val="-2"/>
        </w:rPr>
        <w:t>0,3</w:t>
      </w:r>
      <w:r w:rsidRPr="00EF6E0A">
        <w:rPr>
          <w:spacing w:val="-2"/>
        </w:rPr>
        <w:t xml:space="preserve">% </w:t>
      </w:r>
      <w:r>
        <w:rPr>
          <w:spacing w:val="-2"/>
        </w:rPr>
        <w:t>więcej</w:t>
      </w:r>
      <w:r w:rsidRPr="00EF6E0A">
        <w:t xml:space="preserve"> </w:t>
      </w:r>
      <w:r w:rsidRPr="00EF6E0A">
        <w:rPr>
          <w:spacing w:val="-2"/>
        </w:rPr>
        <w:t xml:space="preserve">niż przed rokiem. Większość mieszkań </w:t>
      </w:r>
      <w:r>
        <w:rPr>
          <w:spacing w:val="-2"/>
        </w:rPr>
        <w:t>– 1446</w:t>
      </w:r>
      <w:r w:rsidRPr="00EF6E0A">
        <w:rPr>
          <w:spacing w:val="-2"/>
        </w:rPr>
        <w:t xml:space="preserve"> </w:t>
      </w:r>
      <w:r>
        <w:rPr>
          <w:spacing w:val="-2"/>
        </w:rPr>
        <w:t xml:space="preserve">– </w:t>
      </w:r>
      <w:r w:rsidRPr="00EF6E0A">
        <w:rPr>
          <w:spacing w:val="-2"/>
        </w:rPr>
        <w:t>przekazali do eksploatacji d</w:t>
      </w:r>
      <w:r w:rsidRPr="00EF6E0A">
        <w:t>eweloperzy</w:t>
      </w:r>
      <w:r w:rsidRPr="00EF6E0A">
        <w:rPr>
          <w:rStyle w:val="Odwoanieprzypisudolnego"/>
        </w:rPr>
        <w:footnoteReference w:id="4"/>
      </w:r>
      <w:r w:rsidRPr="00EF6E0A">
        <w:rPr>
          <w:spacing w:val="-2"/>
        </w:rPr>
        <w:t xml:space="preserve">. </w:t>
      </w:r>
      <w:r w:rsidRPr="00EF6E0A">
        <w:t xml:space="preserve">Było </w:t>
      </w:r>
      <w:r>
        <w:t xml:space="preserve">ich </w:t>
      </w:r>
      <w:r w:rsidRPr="00EF6E0A">
        <w:t>o</w:t>
      </w:r>
      <w:r>
        <w:t xml:space="preserve"> 98,9</w:t>
      </w:r>
      <w:r w:rsidRPr="00EF6E0A">
        <w:t xml:space="preserve">% </w:t>
      </w:r>
      <w:r>
        <w:t>więcej</w:t>
      </w:r>
      <w:r w:rsidRPr="00EF6E0A">
        <w:t xml:space="preserve"> niż przed miesiącem</w:t>
      </w:r>
      <w:r>
        <w:t>, ale o 4,4% mniej</w:t>
      </w:r>
      <w:r w:rsidRPr="00EF6E0A">
        <w:t xml:space="preserve"> niż </w:t>
      </w:r>
      <w:r>
        <w:t>w lipcu</w:t>
      </w:r>
      <w:r w:rsidRPr="00EF6E0A">
        <w:t xml:space="preserve"> ub. roku. Inwes</w:t>
      </w:r>
      <w:r>
        <w:t xml:space="preserve">torzy indywidualni wybudowali w </w:t>
      </w:r>
      <w:r w:rsidRPr="00EF6E0A">
        <w:t xml:space="preserve">tym czasie </w:t>
      </w:r>
      <w:r>
        <w:t>458</w:t>
      </w:r>
      <w:r w:rsidRPr="00EF6E0A">
        <w:t xml:space="preserve"> mieszkań, tj. o </w:t>
      </w:r>
      <w:r>
        <w:t>8,8</w:t>
      </w:r>
      <w:r w:rsidRPr="00EF6E0A">
        <w:t xml:space="preserve">% </w:t>
      </w:r>
      <w:r>
        <w:t>więcej</w:t>
      </w:r>
      <w:r w:rsidRPr="00EF6E0A">
        <w:t xml:space="preserve"> niż </w:t>
      </w:r>
      <w:r>
        <w:t>w czerwcu</w:t>
      </w:r>
      <w:r w:rsidRPr="00EF6E0A">
        <w:t xml:space="preserve"> br.</w:t>
      </w:r>
      <w:r>
        <w:t xml:space="preserve">, ale </w:t>
      </w:r>
      <w:r w:rsidRPr="00EF6E0A">
        <w:t xml:space="preserve">o </w:t>
      </w:r>
      <w:r>
        <w:t>8,4</w:t>
      </w:r>
      <w:r w:rsidRPr="00EF6E0A">
        <w:t xml:space="preserve">% </w:t>
      </w:r>
      <w:r>
        <w:t>mni</w:t>
      </w:r>
      <w:r w:rsidRPr="00EF6E0A">
        <w:t xml:space="preserve">ej niż </w:t>
      </w:r>
      <w:r w:rsidRPr="00EF6E0A">
        <w:rPr>
          <w:spacing w:val="-2"/>
        </w:rPr>
        <w:t>przed rokiem</w:t>
      </w:r>
      <w:r w:rsidRPr="00EF6E0A">
        <w:t xml:space="preserve">. </w:t>
      </w:r>
      <w:r w:rsidR="009F2F2C">
        <w:br w:type="page"/>
      </w:r>
    </w:p>
    <w:p w:rsidR="00770A24" w:rsidRDefault="009014DC" w:rsidP="005928D2">
      <w:pPr>
        <w:pStyle w:val="tekst"/>
      </w:pPr>
      <w:r>
        <w:lastRenderedPageBreak/>
        <w:t>Od początku roku</w:t>
      </w:r>
      <w:r w:rsidRPr="0002771D">
        <w:t xml:space="preserve"> </w:t>
      </w:r>
      <w:r>
        <w:t>do eksploatacji oddano</w:t>
      </w:r>
      <w:r w:rsidRPr="0002771D">
        <w:t xml:space="preserve"> </w:t>
      </w:r>
      <w:r>
        <w:t>łącznie 11649 mieszkań zrealizowanych w ramach 5 form budownictwa, tj. indywidualnego, na sprzedaż lub wynajem, komunalnego, społecznego czynszowego oraz zakładowego. W ciągu roku liczba nowych mieszkań wzrosła</w:t>
      </w:r>
      <w:r w:rsidRPr="0002771D">
        <w:t xml:space="preserve"> </w:t>
      </w:r>
      <w:r>
        <w:t>o 12,8</w:t>
      </w:r>
      <w:r w:rsidRPr="0002771D">
        <w:t xml:space="preserve">%. Deweloperzy </w:t>
      </w:r>
      <w:r>
        <w:t>przekazali w tym czasie 7816 mieszkań (</w:t>
      </w:r>
      <w:r w:rsidRPr="0002771D">
        <w:t xml:space="preserve">o </w:t>
      </w:r>
      <w:r>
        <w:t>22,3</w:t>
      </w:r>
      <w:r w:rsidRPr="0002771D">
        <w:t xml:space="preserve">% </w:t>
      </w:r>
      <w:r>
        <w:t>więcej</w:t>
      </w:r>
      <w:r w:rsidRPr="00C33451">
        <w:rPr>
          <w:szCs w:val="19"/>
        </w:rPr>
        <w:t xml:space="preserve"> </w:t>
      </w:r>
      <w:r w:rsidRPr="0002771D">
        <w:t>niż przed rokiem</w:t>
      </w:r>
      <w:r>
        <w:t>), w tym 39 przeznaczonych na wynajem. Inwestorzy indywidualni wybudowali</w:t>
      </w:r>
      <w:r w:rsidRPr="0002771D">
        <w:t xml:space="preserve"> </w:t>
      </w:r>
      <w:r>
        <w:t xml:space="preserve">3542 mieszkania (o 6,8% mniej). Ponadto </w:t>
      </w:r>
      <w:r w:rsidRPr="00BB2529">
        <w:t>do użytkowania</w:t>
      </w:r>
      <w:r>
        <w:t xml:space="preserve"> oddano</w:t>
      </w:r>
      <w:r w:rsidRPr="00BB2529">
        <w:t xml:space="preserve"> </w:t>
      </w:r>
      <w:r>
        <w:t>154 mieszkania komunalne, 100 społecznych czynszowych i 37 zakładowych</w:t>
      </w:r>
      <w:r w:rsidR="00EB4501">
        <w:t>.</w:t>
      </w:r>
    </w:p>
    <w:p w:rsidR="005928D2" w:rsidRPr="009F2F2C" w:rsidRDefault="005928D2" w:rsidP="009F2F2C">
      <w:pPr>
        <w:pStyle w:val="Tytultabeli"/>
      </w:pPr>
      <w:r w:rsidRPr="009F2F2C">
        <w:t xml:space="preserve">Tablica </w:t>
      </w:r>
      <w:r w:rsidR="0086710D" w:rsidRPr="009F2F2C">
        <w:t>9</w:t>
      </w:r>
      <w:r w:rsidRPr="009F2F2C">
        <w:t>.</w:t>
      </w:r>
      <w:r w:rsidRPr="009F2F2C">
        <w:tab/>
        <w:t xml:space="preserve">Mieszkania oddane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w okresie styczeń-lipiec br., ich liczby i przeciętnej powierzchni użytkowej, według form budownictwa. Dane do tablicy dostępne w pliku w formacie XLSX"/>
      </w:tblPr>
      <w:tblGrid>
        <w:gridCol w:w="3686"/>
        <w:gridCol w:w="1698"/>
        <w:gridCol w:w="1698"/>
        <w:gridCol w:w="1698"/>
        <w:gridCol w:w="1699"/>
      </w:tblGrid>
      <w:tr w:rsidR="005928D2" w:rsidRPr="00E87892" w:rsidTr="000918AC">
        <w:trPr>
          <w:trHeight w:val="57"/>
          <w:tblHeader/>
          <w:jc w:val="center"/>
        </w:trPr>
        <w:tc>
          <w:tcPr>
            <w:tcW w:w="3686" w:type="dxa"/>
            <w:vMerge w:val="restart"/>
            <w:tcBorders>
              <w:top w:val="nil"/>
              <w:bottom w:val="single" w:sz="4" w:space="0" w:color="522398"/>
            </w:tcBorders>
            <w:vAlign w:val="center"/>
          </w:tcPr>
          <w:p w:rsidR="005928D2" w:rsidRPr="00C20CD4" w:rsidRDefault="005928D2" w:rsidP="000918AC">
            <w:pPr>
              <w:pStyle w:val="glowka1"/>
            </w:pPr>
            <w:r>
              <w:t>Wyszczególnienie</w:t>
            </w:r>
          </w:p>
        </w:tc>
        <w:tc>
          <w:tcPr>
            <w:tcW w:w="6793" w:type="dxa"/>
            <w:gridSpan w:val="4"/>
            <w:tcBorders>
              <w:top w:val="nil"/>
              <w:bottom w:val="single" w:sz="4" w:space="0" w:color="522398"/>
            </w:tcBorders>
            <w:vAlign w:val="center"/>
          </w:tcPr>
          <w:p w:rsidR="005928D2" w:rsidRPr="00C20CD4" w:rsidRDefault="005928D2" w:rsidP="002B3124">
            <w:pPr>
              <w:pStyle w:val="glowka1"/>
            </w:pPr>
            <w:r>
              <w:t>01–0</w:t>
            </w:r>
            <w:r w:rsidR="002B3124">
              <w:t>7</w:t>
            </w:r>
            <w:r>
              <w:t xml:space="preserve"> 2025</w:t>
            </w:r>
          </w:p>
        </w:tc>
      </w:tr>
      <w:tr w:rsidR="005928D2" w:rsidRPr="00E87892" w:rsidTr="000918AC">
        <w:trPr>
          <w:trHeight w:val="57"/>
          <w:tblHeader/>
          <w:jc w:val="center"/>
        </w:trPr>
        <w:tc>
          <w:tcPr>
            <w:tcW w:w="3686" w:type="dxa"/>
            <w:vMerge/>
            <w:tcBorders>
              <w:top w:val="single" w:sz="4" w:space="0" w:color="522398"/>
              <w:bottom w:val="single" w:sz="12" w:space="0" w:color="522398"/>
            </w:tcBorders>
            <w:vAlign w:val="center"/>
          </w:tcPr>
          <w:p w:rsidR="005928D2" w:rsidRPr="00C20CD4" w:rsidRDefault="005928D2" w:rsidP="000918AC">
            <w:pPr>
              <w:pStyle w:val="glowka1"/>
            </w:pPr>
          </w:p>
        </w:tc>
        <w:tc>
          <w:tcPr>
            <w:tcW w:w="1698" w:type="dxa"/>
            <w:tcBorders>
              <w:top w:val="single" w:sz="4" w:space="0" w:color="522398"/>
              <w:bottom w:val="single" w:sz="12" w:space="0" w:color="522398"/>
            </w:tcBorders>
            <w:vAlign w:val="center"/>
          </w:tcPr>
          <w:p w:rsidR="005928D2" w:rsidRPr="00C20CD4" w:rsidRDefault="005928D2" w:rsidP="000918AC">
            <w:pPr>
              <w:pStyle w:val="glowka1"/>
            </w:pPr>
            <w:r>
              <w:t>w</w:t>
            </w:r>
            <w:r w:rsidRPr="00C20CD4">
              <w:t xml:space="preserve"> liczbach</w:t>
            </w:r>
            <w:r>
              <w:br/>
            </w:r>
            <w:r w:rsidRPr="00C20CD4">
              <w:t>bezwzględnych</w:t>
            </w:r>
          </w:p>
        </w:tc>
        <w:tc>
          <w:tcPr>
            <w:tcW w:w="1698" w:type="dxa"/>
            <w:tcBorders>
              <w:top w:val="single" w:sz="4" w:space="0" w:color="522398"/>
              <w:bottom w:val="single" w:sz="12" w:space="0" w:color="522398"/>
            </w:tcBorders>
            <w:vAlign w:val="center"/>
          </w:tcPr>
          <w:p w:rsidR="005928D2" w:rsidRPr="00C20CD4" w:rsidRDefault="005928D2" w:rsidP="000918AC">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5928D2" w:rsidRPr="00FA1C2A" w:rsidRDefault="005928D2" w:rsidP="000918AC">
            <w:pPr>
              <w:pStyle w:val="glowka1"/>
            </w:pPr>
            <w:r w:rsidRPr="00FA1C2A">
              <w:t xml:space="preserve">analogiczny okres roku </w:t>
            </w:r>
          </w:p>
          <w:p w:rsidR="005928D2" w:rsidRPr="00C20CD4" w:rsidRDefault="005928D2" w:rsidP="000918AC">
            <w:pPr>
              <w:pStyle w:val="glowka1"/>
            </w:pPr>
            <w:r w:rsidRPr="00FA1C2A">
              <w:t>poprzedniego = 100</w:t>
            </w:r>
          </w:p>
        </w:tc>
        <w:tc>
          <w:tcPr>
            <w:tcW w:w="1699" w:type="dxa"/>
            <w:tcBorders>
              <w:top w:val="single" w:sz="4" w:space="0" w:color="522398"/>
              <w:bottom w:val="single" w:sz="12" w:space="0" w:color="522398"/>
            </w:tcBorders>
            <w:vAlign w:val="center"/>
          </w:tcPr>
          <w:p w:rsidR="005928D2" w:rsidRPr="00C20CD4" w:rsidRDefault="005928D2" w:rsidP="000918AC">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27773C" w:rsidRPr="00E87892" w:rsidTr="009F2F2C">
        <w:trPr>
          <w:trHeight w:val="57"/>
          <w:jc w:val="center"/>
        </w:trPr>
        <w:tc>
          <w:tcPr>
            <w:tcW w:w="3686" w:type="dxa"/>
            <w:tcBorders>
              <w:top w:val="single" w:sz="4" w:space="0" w:color="522398"/>
              <w:bottom w:val="single" w:sz="4" w:space="0" w:color="522398"/>
            </w:tcBorders>
            <w:vAlign w:val="center"/>
          </w:tcPr>
          <w:p w:rsidR="0027773C" w:rsidRPr="00C20CD4" w:rsidRDefault="0027773C" w:rsidP="0027773C">
            <w:pPr>
              <w:pStyle w:val="boczekbez"/>
            </w:pPr>
            <w:r>
              <w:t>OGÓŁEM</w:t>
            </w:r>
          </w:p>
        </w:tc>
        <w:tc>
          <w:tcPr>
            <w:tcW w:w="1698" w:type="dxa"/>
            <w:tcBorders>
              <w:top w:val="single" w:sz="4" w:space="0" w:color="522398"/>
              <w:bottom w:val="single" w:sz="4" w:space="0" w:color="522398"/>
            </w:tcBorders>
            <w:vAlign w:val="center"/>
          </w:tcPr>
          <w:p w:rsidR="0027773C" w:rsidRPr="009F2F2C" w:rsidRDefault="0027773C" w:rsidP="0027773C">
            <w:pPr>
              <w:pStyle w:val="tablet"/>
            </w:pPr>
            <w:r>
              <w:t>11649</w:t>
            </w:r>
          </w:p>
        </w:tc>
        <w:tc>
          <w:tcPr>
            <w:tcW w:w="1698" w:type="dxa"/>
            <w:tcBorders>
              <w:top w:val="single" w:sz="4" w:space="0" w:color="522398"/>
              <w:bottom w:val="single" w:sz="4" w:space="0" w:color="522398"/>
            </w:tcBorders>
            <w:vAlign w:val="center"/>
          </w:tcPr>
          <w:p w:rsidR="0027773C" w:rsidRPr="009F2F2C" w:rsidRDefault="0027773C" w:rsidP="0027773C">
            <w:pPr>
              <w:pStyle w:val="tablet"/>
            </w:pPr>
            <w:r>
              <w:t>100,0</w:t>
            </w:r>
          </w:p>
        </w:tc>
        <w:tc>
          <w:tcPr>
            <w:tcW w:w="1698" w:type="dxa"/>
            <w:tcBorders>
              <w:top w:val="single" w:sz="4" w:space="0" w:color="522398"/>
              <w:bottom w:val="single" w:sz="4" w:space="0" w:color="522398"/>
            </w:tcBorders>
            <w:vAlign w:val="center"/>
          </w:tcPr>
          <w:p w:rsidR="0027773C" w:rsidRPr="009F2F2C" w:rsidRDefault="0027773C" w:rsidP="0027773C">
            <w:pPr>
              <w:pStyle w:val="tablet"/>
            </w:pPr>
            <w:r>
              <w:t>112,8</w:t>
            </w:r>
          </w:p>
        </w:tc>
        <w:tc>
          <w:tcPr>
            <w:tcW w:w="1699" w:type="dxa"/>
            <w:tcBorders>
              <w:top w:val="single" w:sz="4" w:space="0" w:color="522398"/>
              <w:bottom w:val="single" w:sz="4" w:space="0" w:color="522398"/>
            </w:tcBorders>
            <w:vAlign w:val="center"/>
          </w:tcPr>
          <w:p w:rsidR="0027773C" w:rsidRPr="009F2F2C" w:rsidRDefault="0027773C" w:rsidP="0027773C">
            <w:pPr>
              <w:pStyle w:val="tablet"/>
            </w:pPr>
            <w:r>
              <w:t>86,3</w:t>
            </w:r>
          </w:p>
        </w:tc>
      </w:tr>
      <w:tr w:rsidR="0027773C" w:rsidRPr="00E87892" w:rsidTr="009F2F2C">
        <w:trPr>
          <w:trHeight w:val="57"/>
          <w:jc w:val="center"/>
        </w:trPr>
        <w:tc>
          <w:tcPr>
            <w:tcW w:w="3686" w:type="dxa"/>
            <w:tcBorders>
              <w:top w:val="single" w:sz="4" w:space="0" w:color="522398"/>
              <w:bottom w:val="single" w:sz="4" w:space="0" w:color="522398"/>
            </w:tcBorders>
            <w:vAlign w:val="center"/>
          </w:tcPr>
          <w:p w:rsidR="0027773C" w:rsidRPr="00C20CD4" w:rsidRDefault="0027773C" w:rsidP="0027773C">
            <w:pPr>
              <w:pStyle w:val="boczek1"/>
            </w:pPr>
            <w:r w:rsidRPr="00C20CD4">
              <w:t>Indywidualne</w:t>
            </w:r>
          </w:p>
        </w:tc>
        <w:tc>
          <w:tcPr>
            <w:tcW w:w="1698" w:type="dxa"/>
            <w:tcBorders>
              <w:top w:val="single" w:sz="4" w:space="0" w:color="522398"/>
              <w:bottom w:val="single" w:sz="4" w:space="0" w:color="522398"/>
            </w:tcBorders>
            <w:vAlign w:val="center"/>
          </w:tcPr>
          <w:p w:rsidR="0027773C" w:rsidRPr="009F2F2C" w:rsidRDefault="0027773C" w:rsidP="0027773C">
            <w:pPr>
              <w:pStyle w:val="tableteksttab"/>
            </w:pPr>
            <w:r>
              <w:t>3542</w:t>
            </w:r>
          </w:p>
        </w:tc>
        <w:tc>
          <w:tcPr>
            <w:tcW w:w="1698" w:type="dxa"/>
            <w:tcBorders>
              <w:top w:val="single" w:sz="4" w:space="0" w:color="522398"/>
              <w:bottom w:val="single" w:sz="4" w:space="0" w:color="522398"/>
            </w:tcBorders>
            <w:vAlign w:val="center"/>
          </w:tcPr>
          <w:p w:rsidR="0027773C" w:rsidRPr="009F2F2C" w:rsidRDefault="0027773C" w:rsidP="0027773C">
            <w:pPr>
              <w:pStyle w:val="tableteksttab"/>
            </w:pPr>
            <w:r>
              <w:t>30,4</w:t>
            </w:r>
          </w:p>
        </w:tc>
        <w:tc>
          <w:tcPr>
            <w:tcW w:w="1698" w:type="dxa"/>
            <w:tcBorders>
              <w:top w:val="single" w:sz="4" w:space="0" w:color="522398"/>
              <w:bottom w:val="single" w:sz="4" w:space="0" w:color="522398"/>
            </w:tcBorders>
            <w:vAlign w:val="center"/>
          </w:tcPr>
          <w:p w:rsidR="0027773C" w:rsidRPr="009F2F2C" w:rsidRDefault="0027773C" w:rsidP="0027773C">
            <w:pPr>
              <w:pStyle w:val="tableteksttab"/>
            </w:pPr>
            <w:r>
              <w:t>93,2</w:t>
            </w:r>
          </w:p>
        </w:tc>
        <w:tc>
          <w:tcPr>
            <w:tcW w:w="1699" w:type="dxa"/>
            <w:tcBorders>
              <w:top w:val="single" w:sz="4" w:space="0" w:color="522398"/>
              <w:bottom w:val="single" w:sz="4" w:space="0" w:color="522398"/>
            </w:tcBorders>
            <w:vAlign w:val="center"/>
          </w:tcPr>
          <w:p w:rsidR="0027773C" w:rsidRPr="009F2F2C" w:rsidRDefault="0027773C" w:rsidP="0027773C">
            <w:pPr>
              <w:pStyle w:val="tableteksttab"/>
            </w:pPr>
            <w:r>
              <w:t>139,9</w:t>
            </w:r>
          </w:p>
        </w:tc>
      </w:tr>
      <w:tr w:rsidR="0027773C" w:rsidRPr="00E87892" w:rsidTr="009F2F2C">
        <w:trPr>
          <w:trHeight w:val="57"/>
          <w:jc w:val="center"/>
        </w:trPr>
        <w:tc>
          <w:tcPr>
            <w:tcW w:w="3686" w:type="dxa"/>
            <w:tcBorders>
              <w:top w:val="single" w:sz="4" w:space="0" w:color="522398"/>
            </w:tcBorders>
            <w:vAlign w:val="center"/>
          </w:tcPr>
          <w:p w:rsidR="0027773C" w:rsidRPr="00C20CD4" w:rsidRDefault="0027773C" w:rsidP="0027773C">
            <w:pPr>
              <w:pStyle w:val="boczek1"/>
            </w:pPr>
            <w:r w:rsidRPr="00C20CD4">
              <w:t>Przeznaczone na sprzedaż lub wynajem</w:t>
            </w:r>
          </w:p>
        </w:tc>
        <w:tc>
          <w:tcPr>
            <w:tcW w:w="1698" w:type="dxa"/>
            <w:tcBorders>
              <w:top w:val="single" w:sz="4" w:space="0" w:color="522398"/>
            </w:tcBorders>
            <w:vAlign w:val="center"/>
          </w:tcPr>
          <w:p w:rsidR="0027773C" w:rsidRPr="009F2F2C" w:rsidRDefault="0027773C" w:rsidP="0027773C">
            <w:pPr>
              <w:pStyle w:val="tableteksttab"/>
            </w:pPr>
            <w:r>
              <w:t>7816</w:t>
            </w:r>
          </w:p>
        </w:tc>
        <w:tc>
          <w:tcPr>
            <w:tcW w:w="1698" w:type="dxa"/>
            <w:tcBorders>
              <w:top w:val="single" w:sz="4" w:space="0" w:color="522398"/>
            </w:tcBorders>
            <w:vAlign w:val="center"/>
          </w:tcPr>
          <w:p w:rsidR="0027773C" w:rsidRPr="009F2F2C" w:rsidRDefault="0027773C" w:rsidP="0027773C">
            <w:pPr>
              <w:pStyle w:val="tableteksttab"/>
            </w:pPr>
            <w:r>
              <w:t>67,1</w:t>
            </w:r>
          </w:p>
        </w:tc>
        <w:tc>
          <w:tcPr>
            <w:tcW w:w="1698" w:type="dxa"/>
            <w:tcBorders>
              <w:top w:val="single" w:sz="4" w:space="0" w:color="522398"/>
            </w:tcBorders>
            <w:vAlign w:val="center"/>
          </w:tcPr>
          <w:p w:rsidR="0027773C" w:rsidRPr="009F2F2C" w:rsidRDefault="0027773C" w:rsidP="0027773C">
            <w:pPr>
              <w:pStyle w:val="tableteksttab"/>
            </w:pPr>
            <w:r>
              <w:t>122,3</w:t>
            </w:r>
          </w:p>
        </w:tc>
        <w:tc>
          <w:tcPr>
            <w:tcW w:w="1699" w:type="dxa"/>
            <w:tcBorders>
              <w:top w:val="single" w:sz="4" w:space="0" w:color="522398"/>
            </w:tcBorders>
            <w:vAlign w:val="center"/>
          </w:tcPr>
          <w:p w:rsidR="0027773C" w:rsidRPr="009F2F2C" w:rsidRDefault="0027773C" w:rsidP="0027773C">
            <w:pPr>
              <w:pStyle w:val="tableteksttab"/>
            </w:pPr>
            <w:r>
              <w:t>63,5</w:t>
            </w:r>
          </w:p>
        </w:tc>
      </w:tr>
      <w:tr w:rsidR="0027773C" w:rsidRPr="00E87892" w:rsidTr="009F2F2C">
        <w:trPr>
          <w:trHeight w:val="57"/>
          <w:jc w:val="center"/>
        </w:trPr>
        <w:tc>
          <w:tcPr>
            <w:tcW w:w="3686" w:type="dxa"/>
            <w:vAlign w:val="center"/>
          </w:tcPr>
          <w:p w:rsidR="0027773C" w:rsidRPr="00C20CD4" w:rsidRDefault="0027773C" w:rsidP="0027773C">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27773C" w:rsidRPr="009F2F2C" w:rsidRDefault="0027773C" w:rsidP="0027773C">
            <w:pPr>
              <w:pStyle w:val="tableteksttab"/>
            </w:pPr>
            <w:r>
              <w:t>39</w:t>
            </w:r>
          </w:p>
        </w:tc>
        <w:tc>
          <w:tcPr>
            <w:tcW w:w="1698" w:type="dxa"/>
            <w:vAlign w:val="center"/>
          </w:tcPr>
          <w:p w:rsidR="0027773C" w:rsidRPr="009F2F2C" w:rsidRDefault="0027773C" w:rsidP="0027773C">
            <w:pPr>
              <w:pStyle w:val="tableteksttab"/>
            </w:pPr>
            <w:r>
              <w:t>0,3</w:t>
            </w:r>
          </w:p>
        </w:tc>
        <w:tc>
          <w:tcPr>
            <w:tcW w:w="1698" w:type="dxa"/>
            <w:vAlign w:val="center"/>
          </w:tcPr>
          <w:p w:rsidR="0027773C" w:rsidRPr="009F2F2C" w:rsidRDefault="0027773C" w:rsidP="0027773C">
            <w:pPr>
              <w:pStyle w:val="tableteksttab"/>
            </w:pPr>
            <w:r>
              <w:t>48,1</w:t>
            </w:r>
          </w:p>
        </w:tc>
        <w:tc>
          <w:tcPr>
            <w:tcW w:w="1699" w:type="dxa"/>
            <w:vAlign w:val="center"/>
          </w:tcPr>
          <w:p w:rsidR="0027773C" w:rsidRPr="009F2F2C" w:rsidRDefault="0027773C" w:rsidP="0027773C">
            <w:pPr>
              <w:pStyle w:val="tableteksttab"/>
            </w:pPr>
            <w:r>
              <w:t>65,0</w:t>
            </w:r>
          </w:p>
        </w:tc>
      </w:tr>
      <w:tr w:rsidR="0027773C" w:rsidRPr="00E87892" w:rsidTr="009F2F2C">
        <w:trPr>
          <w:trHeight w:val="57"/>
          <w:jc w:val="center"/>
        </w:trPr>
        <w:tc>
          <w:tcPr>
            <w:tcW w:w="3686" w:type="dxa"/>
            <w:vAlign w:val="center"/>
          </w:tcPr>
          <w:p w:rsidR="0027773C" w:rsidRDefault="0027773C" w:rsidP="0027773C">
            <w:pPr>
              <w:pStyle w:val="boczek1"/>
            </w:pPr>
            <w:r>
              <w:t>Komunalne</w:t>
            </w:r>
          </w:p>
        </w:tc>
        <w:tc>
          <w:tcPr>
            <w:tcW w:w="1698" w:type="dxa"/>
            <w:vAlign w:val="center"/>
          </w:tcPr>
          <w:p w:rsidR="0027773C" w:rsidRPr="009F2F2C" w:rsidRDefault="0027773C" w:rsidP="0027773C">
            <w:pPr>
              <w:pStyle w:val="tableteksttab"/>
            </w:pPr>
            <w:r>
              <w:t>154</w:t>
            </w:r>
          </w:p>
        </w:tc>
        <w:tc>
          <w:tcPr>
            <w:tcW w:w="1698" w:type="dxa"/>
            <w:vAlign w:val="center"/>
          </w:tcPr>
          <w:p w:rsidR="0027773C" w:rsidRPr="009F2F2C" w:rsidRDefault="0027773C" w:rsidP="0027773C">
            <w:pPr>
              <w:pStyle w:val="tableteksttab"/>
            </w:pPr>
            <w:r>
              <w:t>1,3</w:t>
            </w:r>
          </w:p>
        </w:tc>
        <w:tc>
          <w:tcPr>
            <w:tcW w:w="1698" w:type="dxa"/>
            <w:vAlign w:val="center"/>
          </w:tcPr>
          <w:p w:rsidR="0027773C" w:rsidRPr="009F2F2C" w:rsidRDefault="0027773C" w:rsidP="0027773C">
            <w:pPr>
              <w:pStyle w:val="tableteksttab"/>
            </w:pPr>
            <w:r>
              <w:t>240,6</w:t>
            </w:r>
          </w:p>
        </w:tc>
        <w:tc>
          <w:tcPr>
            <w:tcW w:w="1699" w:type="dxa"/>
            <w:vAlign w:val="center"/>
          </w:tcPr>
          <w:p w:rsidR="0027773C" w:rsidRPr="009F2F2C" w:rsidRDefault="0027773C" w:rsidP="0027773C">
            <w:pPr>
              <w:pStyle w:val="tableteksttab"/>
            </w:pPr>
            <w:r>
              <w:t>48,4</w:t>
            </w:r>
          </w:p>
        </w:tc>
      </w:tr>
      <w:tr w:rsidR="0027773C" w:rsidRPr="00E87892" w:rsidTr="009F2F2C">
        <w:trPr>
          <w:trHeight w:val="57"/>
          <w:jc w:val="center"/>
        </w:trPr>
        <w:tc>
          <w:tcPr>
            <w:tcW w:w="3686" w:type="dxa"/>
            <w:vAlign w:val="center"/>
          </w:tcPr>
          <w:p w:rsidR="0027773C" w:rsidRDefault="0027773C" w:rsidP="0027773C">
            <w:pPr>
              <w:pStyle w:val="boczek1"/>
            </w:pPr>
            <w:r>
              <w:t>Społeczne czynszowe</w:t>
            </w:r>
          </w:p>
        </w:tc>
        <w:tc>
          <w:tcPr>
            <w:tcW w:w="1698" w:type="dxa"/>
            <w:vAlign w:val="center"/>
          </w:tcPr>
          <w:p w:rsidR="0027773C" w:rsidRPr="009F2F2C" w:rsidRDefault="0027773C" w:rsidP="0027773C">
            <w:pPr>
              <w:pStyle w:val="tableteksttab"/>
            </w:pPr>
            <w:r>
              <w:t>100</w:t>
            </w:r>
          </w:p>
        </w:tc>
        <w:tc>
          <w:tcPr>
            <w:tcW w:w="1698" w:type="dxa"/>
            <w:vAlign w:val="center"/>
          </w:tcPr>
          <w:p w:rsidR="0027773C" w:rsidRPr="009F2F2C" w:rsidRDefault="0027773C" w:rsidP="0027773C">
            <w:pPr>
              <w:pStyle w:val="tableteksttab"/>
            </w:pPr>
            <w:r>
              <w:t>0,9</w:t>
            </w:r>
          </w:p>
        </w:tc>
        <w:tc>
          <w:tcPr>
            <w:tcW w:w="1698" w:type="dxa"/>
            <w:vAlign w:val="center"/>
          </w:tcPr>
          <w:p w:rsidR="0027773C" w:rsidRPr="009F2F2C" w:rsidRDefault="0027773C" w:rsidP="0027773C">
            <w:pPr>
              <w:pStyle w:val="tableteksttab"/>
            </w:pPr>
            <w:r>
              <w:t>158,7</w:t>
            </w:r>
          </w:p>
        </w:tc>
        <w:tc>
          <w:tcPr>
            <w:tcW w:w="1699" w:type="dxa"/>
            <w:vAlign w:val="center"/>
          </w:tcPr>
          <w:p w:rsidR="0027773C" w:rsidRPr="009F2F2C" w:rsidRDefault="0027773C" w:rsidP="0027773C">
            <w:pPr>
              <w:pStyle w:val="tableteksttab"/>
            </w:pPr>
            <w:r>
              <w:t>46,3</w:t>
            </w:r>
          </w:p>
        </w:tc>
      </w:tr>
      <w:tr w:rsidR="0027773C" w:rsidRPr="00E87892" w:rsidTr="009F2F2C">
        <w:trPr>
          <w:trHeight w:val="57"/>
          <w:jc w:val="center"/>
        </w:trPr>
        <w:tc>
          <w:tcPr>
            <w:tcW w:w="3686" w:type="dxa"/>
            <w:vAlign w:val="center"/>
          </w:tcPr>
          <w:p w:rsidR="0027773C" w:rsidRPr="00C20CD4" w:rsidRDefault="0027773C" w:rsidP="0027773C">
            <w:pPr>
              <w:pStyle w:val="boczek1"/>
            </w:pPr>
            <w:r>
              <w:t>Zakładowe</w:t>
            </w:r>
          </w:p>
        </w:tc>
        <w:tc>
          <w:tcPr>
            <w:tcW w:w="1698" w:type="dxa"/>
            <w:vAlign w:val="center"/>
          </w:tcPr>
          <w:p w:rsidR="0027773C" w:rsidRPr="009F2F2C" w:rsidRDefault="0027773C" w:rsidP="0027773C">
            <w:pPr>
              <w:pStyle w:val="tableteksttab"/>
            </w:pPr>
            <w:r>
              <w:t>37</w:t>
            </w:r>
          </w:p>
        </w:tc>
        <w:tc>
          <w:tcPr>
            <w:tcW w:w="1698" w:type="dxa"/>
            <w:vAlign w:val="center"/>
          </w:tcPr>
          <w:p w:rsidR="0027773C" w:rsidRPr="009F2F2C" w:rsidRDefault="0027773C" w:rsidP="0027773C">
            <w:pPr>
              <w:pStyle w:val="tableteksttab"/>
            </w:pPr>
            <w:r>
              <w:t>0,3</w:t>
            </w:r>
          </w:p>
        </w:tc>
        <w:tc>
          <w:tcPr>
            <w:tcW w:w="1698" w:type="dxa"/>
            <w:vAlign w:val="center"/>
          </w:tcPr>
          <w:p w:rsidR="0027773C" w:rsidRPr="009F2F2C" w:rsidRDefault="0027773C" w:rsidP="0027773C">
            <w:pPr>
              <w:pStyle w:val="tableteksttab"/>
            </w:pPr>
            <w:r>
              <w:t>3,7 razy</w:t>
            </w:r>
          </w:p>
        </w:tc>
        <w:tc>
          <w:tcPr>
            <w:tcW w:w="1699" w:type="dxa"/>
            <w:vAlign w:val="center"/>
          </w:tcPr>
          <w:p w:rsidR="0027773C" w:rsidRPr="009F2F2C" w:rsidRDefault="0027773C" w:rsidP="0027773C">
            <w:pPr>
              <w:pStyle w:val="tableteksttab"/>
            </w:pPr>
            <w:r>
              <w:t>19,6</w:t>
            </w:r>
          </w:p>
        </w:tc>
      </w:tr>
    </w:tbl>
    <w:p w:rsidR="005928D2" w:rsidRPr="000C23CF" w:rsidRDefault="005928D2" w:rsidP="00EB4501">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 xml:space="preserve">. </w:t>
      </w:r>
    </w:p>
    <w:p w:rsidR="0086710D" w:rsidRDefault="007B6D64" w:rsidP="004C290B">
      <w:pPr>
        <w:pStyle w:val="tekst"/>
        <w:spacing w:before="360"/>
        <w:rPr>
          <w:spacing w:val="-2"/>
          <w:szCs w:val="19"/>
        </w:rPr>
      </w:pPr>
      <w:r>
        <w:t>Najwięcej</w:t>
      </w:r>
      <w:r w:rsidRPr="003577AD">
        <w:t xml:space="preserve"> nowych mieszkań </w:t>
      </w:r>
      <w:r>
        <w:rPr>
          <w:spacing w:val="-2"/>
          <w:szCs w:val="19"/>
        </w:rPr>
        <w:t xml:space="preserve">w okresie styczeń-lipiec br. </w:t>
      </w:r>
      <w:r w:rsidRPr="003577AD">
        <w:t xml:space="preserve">oddano </w:t>
      </w:r>
      <w:r w:rsidRPr="003577AD">
        <w:rPr>
          <w:rFonts w:cs="Calibri"/>
          <w:spacing w:val="-2"/>
          <w:szCs w:val="19"/>
        </w:rPr>
        <w:t xml:space="preserve">do użytkowania w </w:t>
      </w:r>
      <w:r w:rsidRPr="003577AD">
        <w:rPr>
          <w:spacing w:val="-2"/>
          <w:szCs w:val="19"/>
        </w:rPr>
        <w:t xml:space="preserve">powiecie </w:t>
      </w:r>
      <w:r w:rsidRPr="003577AD">
        <w:rPr>
          <w:rFonts w:cs="Calibri"/>
          <w:spacing w:val="-2"/>
          <w:szCs w:val="19"/>
        </w:rPr>
        <w:t>poznańskim (</w:t>
      </w:r>
      <w:r>
        <w:rPr>
          <w:rFonts w:cs="Calibri"/>
          <w:spacing w:val="-2"/>
          <w:szCs w:val="19"/>
        </w:rPr>
        <w:t>2958, czyli 25,4</w:t>
      </w:r>
      <w:r w:rsidRPr="003577AD">
        <w:rPr>
          <w:rFonts w:cs="Calibri"/>
          <w:spacing w:val="-2"/>
          <w:szCs w:val="19"/>
        </w:rPr>
        <w:t>%)</w:t>
      </w:r>
      <w:r>
        <w:rPr>
          <w:rFonts w:cs="Calibri"/>
          <w:spacing w:val="-2"/>
          <w:szCs w:val="19"/>
        </w:rPr>
        <w:t xml:space="preserve"> oraz w Poznaniu (2493, tj. 21,4%), ponadto w powiatach: ostrowskim (438, tj. 3,8%), gnieźnieńskim (330, tj. 2,8%), średzkim (322, tj. 2,8%), </w:t>
      </w:r>
      <w:r>
        <w:rPr>
          <w:spacing w:val="-2"/>
          <w:szCs w:val="19"/>
        </w:rPr>
        <w:t>kępiń</w:t>
      </w:r>
      <w:r>
        <w:rPr>
          <w:rFonts w:cs="Calibri"/>
          <w:spacing w:val="-2"/>
          <w:szCs w:val="19"/>
        </w:rPr>
        <w:t>skim (316, tj. 2,7%), leszczyńskim (311, tj. 2,7%), konińskim (303, tj. 2,6%), pilskim (298, tj. 2,6%), wrzesińskim (287, tj. 2,5%), szamotulskim (286, tj. 2,5%)</w:t>
      </w:r>
      <w:r>
        <w:rPr>
          <w:spacing w:val="-2"/>
          <w:szCs w:val="19"/>
        </w:rPr>
        <w:t xml:space="preserve"> oraz w Lesznie (263, tj. 2,3%) i Kaliszu (228, tj. 2,0%)</w:t>
      </w:r>
      <w:r>
        <w:rPr>
          <w:rFonts w:cs="Calibri"/>
          <w:spacing w:val="-2"/>
          <w:szCs w:val="19"/>
        </w:rPr>
        <w:t>.</w:t>
      </w:r>
      <w:r>
        <w:rPr>
          <w:spacing w:val="-2"/>
          <w:szCs w:val="19"/>
        </w:rPr>
        <w:t xml:space="preserve"> Od początku roku n</w:t>
      </w:r>
      <w:r w:rsidRPr="003577AD">
        <w:rPr>
          <w:spacing w:val="-2"/>
          <w:szCs w:val="19"/>
        </w:rPr>
        <w:t xml:space="preserve">ajmniej mieszkań </w:t>
      </w:r>
      <w:r>
        <w:rPr>
          <w:spacing w:val="-2"/>
          <w:szCs w:val="19"/>
        </w:rPr>
        <w:t xml:space="preserve">wybudowano w powiatach: chodzieskim </w:t>
      </w:r>
      <w:r w:rsidRPr="003577AD">
        <w:rPr>
          <w:spacing w:val="-2"/>
          <w:szCs w:val="19"/>
        </w:rPr>
        <w:t>(</w:t>
      </w:r>
      <w:r>
        <w:rPr>
          <w:spacing w:val="-2"/>
          <w:szCs w:val="19"/>
        </w:rPr>
        <w:t>36) i międzychodzkim (42) oraz w Koninie (59)</w:t>
      </w:r>
      <w:r w:rsidR="005928D2" w:rsidRPr="003577AD">
        <w:rPr>
          <w:spacing w:val="-2"/>
          <w:szCs w:val="19"/>
        </w:rPr>
        <w:t xml:space="preserve">. </w:t>
      </w:r>
    </w:p>
    <w:p w:rsidR="0086710D" w:rsidRDefault="007B6D64" w:rsidP="0086710D">
      <w:pPr>
        <w:pStyle w:val="tekst"/>
        <w:rPr>
          <w:szCs w:val="19"/>
        </w:rPr>
      </w:pPr>
      <w:r w:rsidRPr="003577AD">
        <w:rPr>
          <w:b/>
          <w:spacing w:val="-2"/>
        </w:rPr>
        <w:t>Przeciętna powierzchnia użytkowa 1 mieszkania</w:t>
      </w:r>
      <w:r w:rsidRPr="003577AD">
        <w:rPr>
          <w:spacing w:val="-2"/>
        </w:rPr>
        <w:t xml:space="preserve"> </w:t>
      </w:r>
      <w:r w:rsidRPr="003577AD">
        <w:t xml:space="preserve">oddanego do użytkowania </w:t>
      </w:r>
      <w:r>
        <w:t xml:space="preserve">w okresie styczeń-lipiec </w:t>
      </w:r>
      <w:r>
        <w:rPr>
          <w:spacing w:val="-2"/>
        </w:rPr>
        <w:t>br.</w:t>
      </w:r>
      <w:r w:rsidRPr="003577AD">
        <w:rPr>
          <w:spacing w:val="-2"/>
        </w:rPr>
        <w:t xml:space="preserve"> </w:t>
      </w:r>
      <w:r w:rsidRPr="003577AD">
        <w:t xml:space="preserve">wyniosła </w:t>
      </w:r>
      <w:r>
        <w:t xml:space="preserve">86,3 </w:t>
      </w:r>
      <w:r w:rsidRPr="003577AD">
        <w:t>m</w:t>
      </w:r>
      <w:r w:rsidRPr="003577AD">
        <w:rPr>
          <w:vertAlign w:val="superscript"/>
        </w:rPr>
        <w:t>2</w:t>
      </w:r>
      <w:r w:rsidRPr="003577AD">
        <w:t xml:space="preserve"> (przed rokiem </w:t>
      </w:r>
      <w:r w:rsidRPr="00E534AB">
        <w:t>9</w:t>
      </w:r>
      <w:r>
        <w:t>1,8</w:t>
      </w:r>
      <w:r w:rsidRPr="00E534AB">
        <w:t xml:space="preserve"> </w:t>
      </w:r>
      <w:r w:rsidRPr="003577AD">
        <w:t>m</w:t>
      </w:r>
      <w:r w:rsidRPr="003577AD">
        <w:rPr>
          <w:vertAlign w:val="superscript"/>
        </w:rPr>
        <w:t>2</w:t>
      </w:r>
      <w:r w:rsidRPr="003577AD">
        <w:t xml:space="preserve">). Mieszkania </w:t>
      </w:r>
      <w:r w:rsidRPr="00770A24">
        <w:t>wybudowane przez inwestorów indywidualnych miały przeciętnie 1</w:t>
      </w:r>
      <w:r>
        <w:t>39,9</w:t>
      </w:r>
      <w:r w:rsidRPr="00770A24">
        <w:t xml:space="preserve"> m</w:t>
      </w:r>
      <w:r w:rsidRPr="00770A24">
        <w:rPr>
          <w:vertAlign w:val="superscript"/>
        </w:rPr>
        <w:t>2</w:t>
      </w:r>
      <w:r>
        <w:t xml:space="preserve"> (przed rokiem 140</w:t>
      </w:r>
      <w:r w:rsidRPr="00770A24">
        <w:t>,</w:t>
      </w:r>
      <w:r>
        <w:t xml:space="preserve">0 </w:t>
      </w:r>
      <w:r w:rsidRPr="00770A24">
        <w:t>m</w:t>
      </w:r>
      <w:r w:rsidRPr="00770A24">
        <w:rPr>
          <w:vertAlign w:val="superscript"/>
        </w:rPr>
        <w:t>2</w:t>
      </w:r>
      <w:r w:rsidRPr="00770A24">
        <w:t>), a przeznacz</w:t>
      </w:r>
      <w:r>
        <w:t>one na sprzedaż lub wynajem – 63,5</w:t>
      </w:r>
      <w:r w:rsidRPr="00770A24">
        <w:t xml:space="preserve"> m</w:t>
      </w:r>
      <w:r w:rsidRPr="00770A24">
        <w:rPr>
          <w:vertAlign w:val="superscript"/>
        </w:rPr>
        <w:t>2</w:t>
      </w:r>
      <w:r w:rsidRPr="00770A24">
        <w:t xml:space="preserve"> (przed rokiem 6</w:t>
      </w:r>
      <w:r>
        <w:t>4,0</w:t>
      </w:r>
      <w:r w:rsidRPr="00770A24">
        <w:t xml:space="preserve"> m</w:t>
      </w:r>
      <w:r w:rsidRPr="00770A24">
        <w:rPr>
          <w:vertAlign w:val="superscript"/>
        </w:rPr>
        <w:t>2</w:t>
      </w:r>
      <w:r w:rsidRPr="00770A24">
        <w:t xml:space="preserve">). </w:t>
      </w:r>
      <w:r>
        <w:t>P</w:t>
      </w:r>
      <w:r w:rsidRPr="00FC252B">
        <w:rPr>
          <w:spacing w:val="-2"/>
          <w:szCs w:val="19"/>
        </w:rPr>
        <w:t>rzeciętna powierzchnia m</w:t>
      </w:r>
      <w:r w:rsidRPr="00FC252B">
        <w:rPr>
          <w:szCs w:val="19"/>
        </w:rPr>
        <w:t>ieszkania</w:t>
      </w:r>
      <w:r>
        <w:rPr>
          <w:szCs w:val="19"/>
        </w:rPr>
        <w:t xml:space="preserve"> komunalnego wynosiła średnio 48,4 </w:t>
      </w:r>
      <w:r w:rsidRPr="00FC252B">
        <w:rPr>
          <w:szCs w:val="19"/>
        </w:rPr>
        <w:t>m</w:t>
      </w:r>
      <w:r w:rsidRPr="00FC252B">
        <w:rPr>
          <w:szCs w:val="19"/>
          <w:vertAlign w:val="superscript"/>
        </w:rPr>
        <w:t>2</w:t>
      </w:r>
      <w:r>
        <w:rPr>
          <w:szCs w:val="19"/>
          <w:vertAlign w:val="superscript"/>
        </w:rPr>
        <w:t xml:space="preserve"> </w:t>
      </w:r>
      <w:r w:rsidRPr="00770A24">
        <w:t xml:space="preserve">(przed rokiem </w:t>
      </w:r>
      <w:r>
        <w:t>48,1</w:t>
      </w:r>
      <w:r w:rsidRPr="00770A24">
        <w:t xml:space="preserve"> m</w:t>
      </w:r>
      <w:r w:rsidRPr="00770A24">
        <w:rPr>
          <w:vertAlign w:val="superscript"/>
        </w:rPr>
        <w:t>2</w:t>
      </w:r>
      <w:r w:rsidRPr="00770A24">
        <w:t>)</w:t>
      </w:r>
      <w:r>
        <w:rPr>
          <w:szCs w:val="19"/>
        </w:rPr>
        <w:t xml:space="preserve">, a społecznego czynszowego – 46,3 </w:t>
      </w:r>
      <w:r w:rsidRPr="00FC252B">
        <w:rPr>
          <w:szCs w:val="19"/>
        </w:rPr>
        <w:t>m</w:t>
      </w:r>
      <w:r w:rsidRPr="00FC252B">
        <w:rPr>
          <w:szCs w:val="19"/>
          <w:vertAlign w:val="superscript"/>
        </w:rPr>
        <w:t>2</w:t>
      </w:r>
      <w:r>
        <w:rPr>
          <w:szCs w:val="19"/>
        </w:rPr>
        <w:t xml:space="preserve"> </w:t>
      </w:r>
      <w:r w:rsidRPr="00770A24">
        <w:t xml:space="preserve">(przed rokiem </w:t>
      </w:r>
      <w:r>
        <w:t>47,3</w:t>
      </w:r>
      <w:r w:rsidRPr="00770A24">
        <w:t xml:space="preserve"> m</w:t>
      </w:r>
      <w:r w:rsidRPr="00770A24">
        <w:rPr>
          <w:vertAlign w:val="superscript"/>
        </w:rPr>
        <w:t>2</w:t>
      </w:r>
      <w:r w:rsidRPr="00770A24">
        <w:t>)</w:t>
      </w:r>
      <w:r>
        <w:t>.</w:t>
      </w:r>
      <w:r>
        <w:rPr>
          <w:szCs w:val="19"/>
        </w:rPr>
        <w:t xml:space="preserve"> Najmniejsze były nowe mieszkania zakładowe – 19</w:t>
      </w:r>
      <w:r w:rsidRPr="002F7CEF">
        <w:rPr>
          <w:szCs w:val="19"/>
        </w:rPr>
        <w:t>,6</w:t>
      </w:r>
      <w:r>
        <w:rPr>
          <w:szCs w:val="19"/>
        </w:rPr>
        <w:t xml:space="preserve"> </w:t>
      </w:r>
      <w:r w:rsidRPr="00FC252B">
        <w:rPr>
          <w:szCs w:val="19"/>
        </w:rPr>
        <w:t>m</w:t>
      </w:r>
      <w:r w:rsidRPr="00FC252B">
        <w:rPr>
          <w:szCs w:val="19"/>
          <w:vertAlign w:val="superscript"/>
        </w:rPr>
        <w:t>2</w:t>
      </w:r>
      <w:r>
        <w:rPr>
          <w:szCs w:val="19"/>
        </w:rPr>
        <w:t xml:space="preserve"> (</w:t>
      </w:r>
      <w:r w:rsidRPr="00770A24">
        <w:t>przed rokiem</w:t>
      </w:r>
      <w:r>
        <w:t xml:space="preserve"> 40,2</w:t>
      </w:r>
      <w:r w:rsidRPr="00770A24">
        <w:t xml:space="preserve"> m</w:t>
      </w:r>
      <w:r w:rsidRPr="00770A24">
        <w:rPr>
          <w:vertAlign w:val="superscript"/>
        </w:rPr>
        <w:t>2</w:t>
      </w:r>
      <w:r>
        <w:rPr>
          <w:szCs w:val="19"/>
        </w:rPr>
        <w:t>)</w:t>
      </w:r>
      <w:r w:rsidRPr="00FC252B">
        <w:rPr>
          <w:szCs w:val="19"/>
        </w:rPr>
        <w:t>.</w:t>
      </w:r>
      <w:r w:rsidR="0086710D">
        <w:rPr>
          <w:szCs w:val="19"/>
        </w:rPr>
        <w:t xml:space="preserve"> </w:t>
      </w:r>
    </w:p>
    <w:p w:rsidR="0086710D" w:rsidRPr="00770A24" w:rsidRDefault="007B6D64" w:rsidP="0086710D">
      <w:pPr>
        <w:pStyle w:val="tekst"/>
      </w:pPr>
      <w:r w:rsidRPr="00770A24">
        <w:t>Największą przeciętną powierzchnią użytkową mieszkań oddan</w:t>
      </w:r>
      <w:r>
        <w:t>ych</w:t>
      </w:r>
      <w:r w:rsidRPr="00770A24">
        <w:t xml:space="preserve"> do użytkowania w</w:t>
      </w:r>
      <w:r>
        <w:t xml:space="preserve">yróżniały się powiaty: </w:t>
      </w:r>
      <w:r w:rsidRPr="00770A24">
        <w:t>kolski (13</w:t>
      </w:r>
      <w:r>
        <w:t>5,2 </w:t>
      </w:r>
      <w:r w:rsidRPr="00770A24">
        <w:t>m</w:t>
      </w:r>
      <w:r w:rsidRPr="007D6776">
        <w:rPr>
          <w:vertAlign w:val="superscript"/>
        </w:rPr>
        <w:t>2</w:t>
      </w:r>
      <w:r w:rsidRPr="00770A24">
        <w:t xml:space="preserve">), </w:t>
      </w:r>
      <w:r>
        <w:t xml:space="preserve">międzychodzki (133,2 </w:t>
      </w:r>
      <w:r w:rsidRPr="00770A24">
        <w:t>m</w:t>
      </w:r>
      <w:r w:rsidRPr="00770A24">
        <w:rPr>
          <w:vertAlign w:val="superscript"/>
        </w:rPr>
        <w:t>2</w:t>
      </w:r>
      <w:r w:rsidRPr="00770A24">
        <w:t xml:space="preserve">), </w:t>
      </w:r>
      <w:r>
        <w:t>ostrzeszowski</w:t>
      </w:r>
      <w:r w:rsidRPr="00770A24">
        <w:t xml:space="preserve"> (12</w:t>
      </w:r>
      <w:r>
        <w:t xml:space="preserve">2,0 </w:t>
      </w:r>
      <w:r w:rsidRPr="00770A24">
        <w:t>m</w:t>
      </w:r>
      <w:r w:rsidRPr="00770A24">
        <w:rPr>
          <w:vertAlign w:val="superscript"/>
        </w:rPr>
        <w:t>2</w:t>
      </w:r>
      <w:r>
        <w:t>) i</w:t>
      </w:r>
      <w:r w:rsidRPr="00770A24">
        <w:t xml:space="preserve"> </w:t>
      </w:r>
      <w:r>
        <w:t xml:space="preserve">kaliski (120,1 </w:t>
      </w:r>
      <w:r w:rsidRPr="00770A24">
        <w:t>m</w:t>
      </w:r>
      <w:r w:rsidRPr="007D6776">
        <w:rPr>
          <w:vertAlign w:val="superscript"/>
        </w:rPr>
        <w:t>2</w:t>
      </w:r>
      <w:r w:rsidRPr="00770A24">
        <w:t>)</w:t>
      </w:r>
      <w:r>
        <w:t xml:space="preserve">, </w:t>
      </w:r>
      <w:r w:rsidRPr="00770A24">
        <w:t>gdzie dominowały mieszkania budowane przez inwestorów indywidualnych. Najmniejsze były mieszkania oddane do użytkowania w Poznaniu (</w:t>
      </w:r>
      <w:r>
        <w:t>60,7</w:t>
      </w:r>
      <w:r w:rsidRPr="00770A24">
        <w:t xml:space="preserve"> m</w:t>
      </w:r>
      <w:r w:rsidRPr="007D6776">
        <w:rPr>
          <w:vertAlign w:val="superscript"/>
        </w:rPr>
        <w:t>2</w:t>
      </w:r>
      <w:r w:rsidRPr="00770A24">
        <w:t xml:space="preserve">) i </w:t>
      </w:r>
      <w:r>
        <w:t>Lesznie (62,3</w:t>
      </w:r>
      <w:r w:rsidRPr="00770A24">
        <w:t xml:space="preserve"> m</w:t>
      </w:r>
      <w:r w:rsidRPr="007D6776">
        <w:rPr>
          <w:vertAlign w:val="superscript"/>
        </w:rPr>
        <w:t>2</w:t>
      </w:r>
      <w:r w:rsidRPr="00770A24">
        <w:t>), gdzie przeważały mieszkania deweloperskie</w:t>
      </w:r>
      <w:r w:rsidR="0086710D" w:rsidRPr="00770A24">
        <w:t>.</w:t>
      </w:r>
    </w:p>
    <w:p w:rsidR="005E6521" w:rsidRPr="00C87AE8" w:rsidRDefault="00836113" w:rsidP="00C87AE8">
      <w:pPr>
        <w:pStyle w:val="tytuwykresu"/>
        <w:spacing w:before="360"/>
      </w:pPr>
      <w:r w:rsidRPr="00836113">
        <w:rPr>
          <w:noProof/>
          <w:lang w:eastAsia="pl-PL"/>
        </w:rPr>
        <w:lastRenderedPageBreak/>
        <w:drawing>
          <wp:anchor distT="107950" distB="215900" distL="114300" distR="114300" simplePos="0" relativeHeight="253038080" behindDoc="0" locked="0" layoutInCell="1" allowOverlap="1">
            <wp:simplePos x="0" y="0"/>
            <wp:positionH relativeFrom="margin">
              <wp:align>center</wp:align>
            </wp:positionH>
            <wp:positionV relativeFrom="paragraph">
              <wp:posOffset>371475</wp:posOffset>
            </wp:positionV>
            <wp:extent cx="3963600" cy="4723200"/>
            <wp:effectExtent l="0" t="0" r="0" b="1270"/>
            <wp:wrapTopAndBottom/>
            <wp:docPr id="49" name="Obraz 49" descr="Kartogram – powiaty województwa wielkopolskiego, dotyczący mieszkań oddanych do użytkowania. Cieniowanie – 5 przedziałów według liczby mieszkań. Etykiety – nazwy powiatów. Dodatkowo wartości dla Polski – 110331 mieszkań i województwa wielkopolskiego – 11649.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3600" cy="472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Mapa 2.</w:t>
      </w:r>
      <w:r w:rsidR="005928D2">
        <w:tab/>
      </w:r>
      <w:r w:rsidR="005928D2" w:rsidRPr="00B81C85">
        <w:t xml:space="preserve">Mieszkania oddane do użytkowania </w:t>
      </w:r>
      <w:r w:rsidR="005928D2" w:rsidRPr="00C20CD4">
        <w:t xml:space="preserve">według </w:t>
      </w:r>
      <w:r w:rsidR="005928D2" w:rsidRPr="00366E85">
        <w:t xml:space="preserve">powiatów </w:t>
      </w:r>
      <w:r w:rsidR="005928D2">
        <w:t>w okresie styczeń-</w:t>
      </w:r>
      <w:r w:rsidR="00684084">
        <w:t>lip</w:t>
      </w:r>
      <w:r w:rsidR="005612D4">
        <w:t>iec</w:t>
      </w:r>
      <w:r w:rsidR="005928D2">
        <w:t xml:space="preserve"> 2025 r.</w:t>
      </w:r>
      <w:r w:rsidR="005928D2" w:rsidRPr="00366E85">
        <w:t xml:space="preserve"> </w:t>
      </w:r>
    </w:p>
    <w:p w:rsidR="0086710D" w:rsidRDefault="00684084" w:rsidP="005928D2">
      <w:pPr>
        <w:pStyle w:val="tekst"/>
      </w:pPr>
      <w:r>
        <w:t>W lipcu</w:t>
      </w:r>
      <w:r w:rsidRPr="00770A24">
        <w:t xml:space="preserve"> br. wydano pozwolenia lub dokonano zgłoszenia z projektem budowlanym na budowę </w:t>
      </w:r>
      <w:r>
        <w:t>2458</w:t>
      </w:r>
      <w:r w:rsidRPr="00770A24">
        <w:t xml:space="preserve"> mieszkań, tj. o</w:t>
      </w:r>
      <w:r w:rsidR="00431029">
        <w:t xml:space="preserve"> </w:t>
      </w:r>
      <w:r>
        <w:t>9,2</w:t>
      </w:r>
      <w:r w:rsidRPr="00770A24">
        <w:t xml:space="preserve">% </w:t>
      </w:r>
      <w:r>
        <w:t>więcej</w:t>
      </w:r>
      <w:r w:rsidRPr="00770A24">
        <w:t xml:space="preserve"> niż </w:t>
      </w:r>
      <w:r>
        <w:t>w czerwcu</w:t>
      </w:r>
      <w:r w:rsidRPr="00770A24">
        <w:t xml:space="preserve"> br.</w:t>
      </w:r>
      <w:r>
        <w:t xml:space="preserve"> </w:t>
      </w:r>
      <w:r w:rsidRPr="00770A24">
        <w:t xml:space="preserve">i o </w:t>
      </w:r>
      <w:r>
        <w:t>0,1</w:t>
      </w:r>
      <w:r w:rsidRPr="00770A24">
        <w:t xml:space="preserve">% </w:t>
      </w:r>
      <w:r>
        <w:t>więcej</w:t>
      </w:r>
      <w:r w:rsidRPr="00770A24">
        <w:t xml:space="preserve"> niż przed</w:t>
      </w:r>
      <w:r>
        <w:rPr>
          <w:spacing w:val="-2"/>
        </w:rPr>
        <w:t xml:space="preserve"> rokiem</w:t>
      </w:r>
      <w:r w:rsidRPr="003577AD">
        <w:rPr>
          <w:spacing w:val="-2"/>
        </w:rPr>
        <w:t>. Pozwolenia te</w:t>
      </w:r>
      <w:r w:rsidRPr="003577AD">
        <w:t xml:space="preserve"> dotyczyły </w:t>
      </w:r>
      <w:r>
        <w:t xml:space="preserve">2 form </w:t>
      </w:r>
      <w:r w:rsidRPr="003577AD">
        <w:t xml:space="preserve">budownictwa </w:t>
      </w:r>
      <w:r>
        <w:t xml:space="preserve">– </w:t>
      </w:r>
      <w:r w:rsidRPr="003577AD">
        <w:t xml:space="preserve">na sprzedaż lub wynajem (wydane na budowę </w:t>
      </w:r>
      <w:r>
        <w:t xml:space="preserve">1689 mieszkań) oraz </w:t>
      </w:r>
      <w:r w:rsidRPr="003577AD">
        <w:t>indywidualnego (</w:t>
      </w:r>
      <w:r>
        <w:t>769</w:t>
      </w:r>
      <w:r w:rsidRPr="003577AD">
        <w:t>)</w:t>
      </w:r>
      <w:r w:rsidR="005928D2">
        <w:t xml:space="preserve">. </w:t>
      </w:r>
    </w:p>
    <w:p w:rsidR="002568B9" w:rsidRDefault="008E452F" w:rsidP="005928D2">
      <w:pPr>
        <w:pStyle w:val="tekst"/>
        <w:rPr>
          <w:spacing w:val="-2"/>
          <w:szCs w:val="19"/>
        </w:rPr>
      </w:pPr>
      <w:r>
        <w:rPr>
          <w:spacing w:val="-2"/>
          <w:szCs w:val="19"/>
        </w:rPr>
        <w:t xml:space="preserve">W </w:t>
      </w:r>
      <w:r w:rsidRPr="00F35417">
        <w:rPr>
          <w:spacing w:val="-2"/>
          <w:szCs w:val="19"/>
        </w:rPr>
        <w:t xml:space="preserve">okresie </w:t>
      </w:r>
      <w:r>
        <w:rPr>
          <w:spacing w:val="-2"/>
          <w:szCs w:val="19"/>
        </w:rPr>
        <w:t xml:space="preserve">styczeń-lipiec </w:t>
      </w:r>
      <w:r w:rsidRPr="00F35417">
        <w:rPr>
          <w:spacing w:val="-2"/>
          <w:szCs w:val="19"/>
        </w:rPr>
        <w:t xml:space="preserve">br. wydano pozwolenia lub dokonano zgłoszenia z projektem budowlanym na budowę </w:t>
      </w:r>
      <w:r>
        <w:rPr>
          <w:spacing w:val="-2"/>
          <w:szCs w:val="19"/>
        </w:rPr>
        <w:t>15564</w:t>
      </w:r>
      <w:r w:rsidRPr="00F35417">
        <w:rPr>
          <w:spacing w:val="-2"/>
          <w:szCs w:val="19"/>
        </w:rPr>
        <w:t xml:space="preserve"> mieszkań, tj. o </w:t>
      </w:r>
      <w:r>
        <w:rPr>
          <w:spacing w:val="-2"/>
          <w:szCs w:val="19"/>
        </w:rPr>
        <w:t>3,2</w:t>
      </w:r>
      <w:r w:rsidRPr="00F35417">
        <w:rPr>
          <w:spacing w:val="-2"/>
          <w:szCs w:val="19"/>
        </w:rPr>
        <w:t xml:space="preserve">% </w:t>
      </w:r>
      <w:r>
        <w:rPr>
          <w:spacing w:val="-2"/>
          <w:szCs w:val="19"/>
        </w:rPr>
        <w:t>mni</w:t>
      </w:r>
      <w:r w:rsidRPr="00770A24">
        <w:t xml:space="preserve">ej </w:t>
      </w:r>
      <w:r w:rsidRPr="00F35417">
        <w:rPr>
          <w:spacing w:val="-2"/>
          <w:szCs w:val="19"/>
        </w:rPr>
        <w:t xml:space="preserve">niż w analogicznym okresie ub. roku. Pozwolenia </w:t>
      </w:r>
      <w:r>
        <w:rPr>
          <w:spacing w:val="-2"/>
          <w:szCs w:val="19"/>
        </w:rPr>
        <w:t>uzyskali deweloperzy</w:t>
      </w:r>
      <w:r w:rsidRPr="00F35417">
        <w:rPr>
          <w:spacing w:val="-2"/>
          <w:szCs w:val="19"/>
        </w:rPr>
        <w:t xml:space="preserve"> (</w:t>
      </w:r>
      <w:r w:rsidRPr="00F35417">
        <w:rPr>
          <w:szCs w:val="19"/>
        </w:rPr>
        <w:t>wydan</w:t>
      </w:r>
      <w:r>
        <w:rPr>
          <w:szCs w:val="19"/>
        </w:rPr>
        <w:t>o je</w:t>
      </w:r>
      <w:r w:rsidRPr="00F35417">
        <w:rPr>
          <w:szCs w:val="19"/>
        </w:rPr>
        <w:t xml:space="preserve"> na budowę </w:t>
      </w:r>
      <w:r>
        <w:rPr>
          <w:spacing w:val="-2"/>
          <w:szCs w:val="19"/>
        </w:rPr>
        <w:t>10646 mieszkań),</w:t>
      </w:r>
      <w:r w:rsidRPr="00F35417">
        <w:rPr>
          <w:spacing w:val="-2"/>
          <w:szCs w:val="19"/>
        </w:rPr>
        <w:t xml:space="preserve"> </w:t>
      </w:r>
      <w:r>
        <w:rPr>
          <w:spacing w:val="-2"/>
          <w:szCs w:val="19"/>
        </w:rPr>
        <w:t xml:space="preserve">inwestorzy </w:t>
      </w:r>
      <w:r w:rsidRPr="00F35417">
        <w:rPr>
          <w:spacing w:val="-2"/>
          <w:szCs w:val="19"/>
        </w:rPr>
        <w:t>indywidualn</w:t>
      </w:r>
      <w:r>
        <w:rPr>
          <w:spacing w:val="-2"/>
          <w:szCs w:val="19"/>
        </w:rPr>
        <w:t>i</w:t>
      </w:r>
      <w:r w:rsidRPr="00F35417">
        <w:rPr>
          <w:spacing w:val="-2"/>
          <w:szCs w:val="19"/>
        </w:rPr>
        <w:t xml:space="preserve"> (</w:t>
      </w:r>
      <w:r>
        <w:rPr>
          <w:spacing w:val="-2"/>
          <w:szCs w:val="19"/>
        </w:rPr>
        <w:t>4256</w:t>
      </w:r>
      <w:r w:rsidRPr="00F35417">
        <w:rPr>
          <w:spacing w:val="-2"/>
          <w:szCs w:val="19"/>
        </w:rPr>
        <w:t>)</w:t>
      </w:r>
      <w:r>
        <w:rPr>
          <w:spacing w:val="-2"/>
          <w:szCs w:val="19"/>
        </w:rPr>
        <w:t>, a także budownictwo społeczne czynszowe</w:t>
      </w:r>
      <w:r w:rsidRPr="00F35417">
        <w:rPr>
          <w:spacing w:val="-2"/>
          <w:szCs w:val="19"/>
        </w:rPr>
        <w:t xml:space="preserve"> </w:t>
      </w:r>
      <w:r>
        <w:rPr>
          <w:spacing w:val="-2"/>
          <w:szCs w:val="19"/>
        </w:rPr>
        <w:t>(</w:t>
      </w:r>
      <w:r w:rsidRPr="004F1A01">
        <w:rPr>
          <w:spacing w:val="-2"/>
          <w:szCs w:val="19"/>
        </w:rPr>
        <w:t>662</w:t>
      </w:r>
      <w:r>
        <w:rPr>
          <w:spacing w:val="-2"/>
          <w:szCs w:val="19"/>
        </w:rPr>
        <w:t>).</w:t>
      </w:r>
    </w:p>
    <w:p w:rsidR="005F388C" w:rsidRDefault="005F388C" w:rsidP="005928D2">
      <w:pPr>
        <w:pStyle w:val="tekst"/>
        <w:rPr>
          <w:spacing w:val="-2"/>
          <w:szCs w:val="19"/>
        </w:rPr>
      </w:pPr>
      <w:r>
        <w:rPr>
          <w:spacing w:val="-2"/>
          <w:szCs w:val="19"/>
        </w:rPr>
        <w:br w:type="page"/>
      </w:r>
    </w:p>
    <w:p w:rsidR="005928D2" w:rsidRPr="00C33451" w:rsidRDefault="005928D2" w:rsidP="005928D2">
      <w:pPr>
        <w:pStyle w:val="Tytultabeli"/>
        <w:spacing w:before="360"/>
      </w:pPr>
      <w:r>
        <w:lastRenderedPageBreak/>
        <w:t>Tablica 1</w:t>
      </w:r>
      <w:r w:rsidR="0086710D">
        <w:t>0</w:t>
      </w:r>
      <w:r>
        <w:t>.</w:t>
      </w:r>
      <w:r>
        <w:tab/>
      </w:r>
      <w:r w:rsidRPr="00C33451">
        <w:t xml:space="preserve">Liczba mieszkań, na budowę których </w:t>
      </w:r>
      <w:r>
        <w:t>wyd</w:t>
      </w:r>
      <w:r w:rsidRPr="00C33451">
        <w:t xml:space="preserve">ano pozwolenia lub dokonano zgłoszenia z projektem budowlanym </w:t>
      </w:r>
      <w:r>
        <w:br/>
      </w:r>
      <w:r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styczeń-lipiec br., według form budownictwa. Dane do tablicy dostępne w pliku w formacie XLSX"/>
      </w:tblPr>
      <w:tblGrid>
        <w:gridCol w:w="3259"/>
        <w:gridCol w:w="1203"/>
        <w:gridCol w:w="1203"/>
        <w:gridCol w:w="1203"/>
        <w:gridCol w:w="1203"/>
        <w:gridCol w:w="1203"/>
        <w:gridCol w:w="1205"/>
      </w:tblGrid>
      <w:tr w:rsidR="005928D2" w:rsidRPr="00E87892" w:rsidTr="000918AC">
        <w:trPr>
          <w:trHeight w:val="57"/>
          <w:tblHeader/>
          <w:jc w:val="center"/>
        </w:trPr>
        <w:tc>
          <w:tcPr>
            <w:tcW w:w="1555" w:type="pct"/>
            <w:vMerge w:val="restart"/>
            <w:tcBorders>
              <w:top w:val="nil"/>
              <w:bottom w:val="single" w:sz="4" w:space="0" w:color="522398"/>
            </w:tcBorders>
            <w:vAlign w:val="center"/>
          </w:tcPr>
          <w:p w:rsidR="005928D2" w:rsidRPr="00C20CD4" w:rsidRDefault="005928D2" w:rsidP="000918AC">
            <w:pPr>
              <w:pStyle w:val="glowka1"/>
            </w:pPr>
            <w:r w:rsidRPr="00C20CD4">
              <w:t>Wyszczególnienie</w:t>
            </w:r>
          </w:p>
        </w:tc>
        <w:tc>
          <w:tcPr>
            <w:tcW w:w="3445" w:type="pct"/>
            <w:gridSpan w:val="6"/>
            <w:tcBorders>
              <w:top w:val="nil"/>
              <w:bottom w:val="single" w:sz="4" w:space="0" w:color="522398"/>
            </w:tcBorders>
            <w:vAlign w:val="center"/>
          </w:tcPr>
          <w:p w:rsidR="005928D2" w:rsidRPr="00C20CD4" w:rsidRDefault="005928D2" w:rsidP="002B3124">
            <w:pPr>
              <w:pStyle w:val="glowka1"/>
            </w:pPr>
            <w:r>
              <w:t>01–0</w:t>
            </w:r>
            <w:r w:rsidR="002B3124">
              <w:t>7</w:t>
            </w:r>
            <w:r>
              <w:t xml:space="preserve"> 2025</w:t>
            </w:r>
          </w:p>
        </w:tc>
      </w:tr>
      <w:tr w:rsidR="005928D2" w:rsidRPr="00E87892" w:rsidTr="000918AC">
        <w:trPr>
          <w:trHeight w:val="57"/>
          <w:tblHeader/>
          <w:jc w:val="center"/>
        </w:trPr>
        <w:tc>
          <w:tcPr>
            <w:tcW w:w="1555" w:type="pct"/>
            <w:vMerge/>
            <w:tcBorders>
              <w:top w:val="single" w:sz="4" w:space="0" w:color="522398"/>
            </w:tcBorders>
            <w:vAlign w:val="center"/>
          </w:tcPr>
          <w:p w:rsidR="005928D2" w:rsidRPr="00C20CD4" w:rsidRDefault="005928D2" w:rsidP="000918AC">
            <w:pPr>
              <w:pStyle w:val="glowka1"/>
            </w:pPr>
          </w:p>
        </w:tc>
        <w:tc>
          <w:tcPr>
            <w:tcW w:w="1722" w:type="pct"/>
            <w:gridSpan w:val="3"/>
            <w:tcBorders>
              <w:top w:val="single" w:sz="4" w:space="0" w:color="522398"/>
            </w:tcBorders>
            <w:vAlign w:val="center"/>
          </w:tcPr>
          <w:p w:rsidR="005928D2" w:rsidRPr="00C20CD4" w:rsidRDefault="005928D2" w:rsidP="000918AC">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5928D2" w:rsidRPr="00C20CD4" w:rsidRDefault="005928D2" w:rsidP="000918AC">
            <w:pPr>
              <w:pStyle w:val="glowka1"/>
            </w:pPr>
            <w:r>
              <w:t>m</w:t>
            </w:r>
            <w:r w:rsidRPr="00C20CD4">
              <w:t>ieszkania, których bu</w:t>
            </w:r>
            <w:r>
              <w:t xml:space="preserve">dowę </w:t>
            </w:r>
            <w:r>
              <w:br/>
            </w:r>
            <w:r w:rsidRPr="00C20CD4">
              <w:t>rozpoczęto</w:t>
            </w:r>
          </w:p>
        </w:tc>
      </w:tr>
      <w:tr w:rsidR="005928D2" w:rsidRPr="00E87892" w:rsidTr="000918AC">
        <w:trPr>
          <w:trHeight w:val="57"/>
          <w:jc w:val="center"/>
        </w:trPr>
        <w:tc>
          <w:tcPr>
            <w:tcW w:w="1555" w:type="pct"/>
            <w:vMerge/>
            <w:tcBorders>
              <w:bottom w:val="single" w:sz="12" w:space="0" w:color="522398"/>
            </w:tcBorders>
            <w:vAlign w:val="center"/>
          </w:tcPr>
          <w:p w:rsidR="005928D2" w:rsidRPr="00C20CD4" w:rsidRDefault="005928D2" w:rsidP="000918AC">
            <w:pPr>
              <w:pStyle w:val="glowka1"/>
            </w:pPr>
          </w:p>
        </w:tc>
        <w:tc>
          <w:tcPr>
            <w:tcW w:w="574" w:type="pct"/>
            <w:tcBorders>
              <w:bottom w:val="single" w:sz="12" w:space="0" w:color="522398"/>
            </w:tcBorders>
            <w:vAlign w:val="center"/>
          </w:tcPr>
          <w:p w:rsidR="005928D2" w:rsidRPr="00C20CD4" w:rsidRDefault="005928D2" w:rsidP="000918AC">
            <w:pPr>
              <w:pStyle w:val="glowka1"/>
            </w:pPr>
            <w:r w:rsidRPr="00C20CD4">
              <w:t>w liczbach bez-</w:t>
            </w:r>
            <w:r w:rsidRPr="00C20CD4">
              <w:br/>
              <w:t>względnych</w:t>
            </w:r>
          </w:p>
        </w:tc>
        <w:tc>
          <w:tcPr>
            <w:tcW w:w="574" w:type="pct"/>
            <w:tcBorders>
              <w:bottom w:val="single" w:sz="12" w:space="0" w:color="522398"/>
            </w:tcBorders>
            <w:vAlign w:val="center"/>
          </w:tcPr>
          <w:p w:rsidR="005928D2" w:rsidRPr="00C20CD4" w:rsidRDefault="005928D2" w:rsidP="000918AC">
            <w:pPr>
              <w:pStyle w:val="glowka1"/>
            </w:pPr>
            <w:r w:rsidRPr="00C20CD4">
              <w:t>w odsetkach</w:t>
            </w:r>
          </w:p>
        </w:tc>
        <w:tc>
          <w:tcPr>
            <w:tcW w:w="574" w:type="pct"/>
            <w:tcBorders>
              <w:bottom w:val="single" w:sz="12" w:space="0" w:color="522398"/>
            </w:tcBorders>
            <w:vAlign w:val="center"/>
          </w:tcPr>
          <w:p w:rsidR="005928D2" w:rsidRPr="00FA1C2A" w:rsidRDefault="005928D2" w:rsidP="000918AC">
            <w:pPr>
              <w:pStyle w:val="glowka1"/>
            </w:pPr>
            <w:r w:rsidRPr="00FA1C2A">
              <w:t xml:space="preserve">analogiczny okres roku </w:t>
            </w:r>
          </w:p>
          <w:p w:rsidR="005928D2" w:rsidRPr="00C20CD4" w:rsidRDefault="005928D2" w:rsidP="000918AC">
            <w:pPr>
              <w:pStyle w:val="glowka1"/>
            </w:pPr>
            <w:r w:rsidRPr="00FA1C2A">
              <w:t>poprzedniego = 100</w:t>
            </w:r>
          </w:p>
        </w:tc>
        <w:tc>
          <w:tcPr>
            <w:tcW w:w="574" w:type="pct"/>
            <w:tcBorders>
              <w:bottom w:val="single" w:sz="12" w:space="0" w:color="522398"/>
            </w:tcBorders>
            <w:vAlign w:val="center"/>
          </w:tcPr>
          <w:p w:rsidR="005928D2" w:rsidRPr="00C20CD4" w:rsidRDefault="005928D2" w:rsidP="000918AC">
            <w:pPr>
              <w:pStyle w:val="glowka1"/>
            </w:pPr>
            <w:r w:rsidRPr="00C20CD4">
              <w:t>w liczbach bez-</w:t>
            </w:r>
            <w:r w:rsidRPr="00C20CD4">
              <w:br/>
              <w:t>względnych</w:t>
            </w:r>
          </w:p>
        </w:tc>
        <w:tc>
          <w:tcPr>
            <w:tcW w:w="574" w:type="pct"/>
            <w:tcBorders>
              <w:bottom w:val="single" w:sz="12" w:space="0" w:color="522398"/>
            </w:tcBorders>
            <w:vAlign w:val="center"/>
          </w:tcPr>
          <w:p w:rsidR="005928D2" w:rsidRPr="00C20CD4" w:rsidRDefault="005928D2" w:rsidP="000918AC">
            <w:pPr>
              <w:pStyle w:val="glowka1"/>
            </w:pPr>
            <w:r w:rsidRPr="00C20CD4">
              <w:t>w odsetkach</w:t>
            </w:r>
          </w:p>
        </w:tc>
        <w:tc>
          <w:tcPr>
            <w:tcW w:w="575" w:type="pct"/>
            <w:tcBorders>
              <w:bottom w:val="single" w:sz="12" w:space="0" w:color="522398"/>
            </w:tcBorders>
            <w:vAlign w:val="center"/>
          </w:tcPr>
          <w:p w:rsidR="005928D2" w:rsidRPr="00FA1C2A" w:rsidRDefault="005928D2" w:rsidP="000918AC">
            <w:pPr>
              <w:pStyle w:val="glowka1"/>
            </w:pPr>
            <w:r w:rsidRPr="00FA1C2A">
              <w:t xml:space="preserve">analogiczny okres roku </w:t>
            </w:r>
          </w:p>
          <w:p w:rsidR="005928D2" w:rsidRPr="00C20CD4" w:rsidRDefault="005928D2" w:rsidP="000918AC">
            <w:pPr>
              <w:pStyle w:val="glowka1"/>
            </w:pPr>
            <w:r w:rsidRPr="00FA1C2A">
              <w:t>poprzedniego = 100</w:t>
            </w:r>
          </w:p>
        </w:tc>
      </w:tr>
      <w:tr w:rsidR="00CD2E07" w:rsidRPr="00E87892" w:rsidTr="005D7B52">
        <w:trPr>
          <w:trHeight w:val="57"/>
          <w:jc w:val="center"/>
        </w:trPr>
        <w:tc>
          <w:tcPr>
            <w:tcW w:w="1555" w:type="pct"/>
            <w:tcBorders>
              <w:top w:val="single" w:sz="4" w:space="0" w:color="522398"/>
              <w:bottom w:val="single" w:sz="4" w:space="0" w:color="522398"/>
            </w:tcBorders>
            <w:vAlign w:val="center"/>
          </w:tcPr>
          <w:p w:rsidR="00CD2E07" w:rsidRPr="00C20CD4" w:rsidRDefault="00CD2E07" w:rsidP="00CD2E07">
            <w:pPr>
              <w:pStyle w:val="boczekbez"/>
            </w:pPr>
            <w:r>
              <w:t>OGÓŁEM</w:t>
            </w:r>
          </w:p>
        </w:tc>
        <w:tc>
          <w:tcPr>
            <w:tcW w:w="574" w:type="pct"/>
            <w:tcBorders>
              <w:top w:val="single" w:sz="4" w:space="0" w:color="522398"/>
              <w:bottom w:val="single" w:sz="4" w:space="0" w:color="522398"/>
            </w:tcBorders>
            <w:vAlign w:val="center"/>
          </w:tcPr>
          <w:p w:rsidR="00CD2E07" w:rsidRPr="005D7B52" w:rsidRDefault="00CD2E07" w:rsidP="00CD2E07">
            <w:pPr>
              <w:pStyle w:val="tablet"/>
            </w:pPr>
            <w:r>
              <w:t>15</w:t>
            </w:r>
            <w:r w:rsidRPr="009C5637">
              <w:t>564</w:t>
            </w:r>
          </w:p>
        </w:tc>
        <w:tc>
          <w:tcPr>
            <w:tcW w:w="574" w:type="pct"/>
            <w:tcBorders>
              <w:top w:val="single" w:sz="4" w:space="0" w:color="522398"/>
              <w:bottom w:val="single" w:sz="4" w:space="0" w:color="522398"/>
            </w:tcBorders>
            <w:vAlign w:val="center"/>
          </w:tcPr>
          <w:p w:rsidR="00CD2E07" w:rsidRPr="005D7B52" w:rsidRDefault="00CD2E07" w:rsidP="00CD2E07">
            <w:pPr>
              <w:pStyle w:val="tablet"/>
            </w:pPr>
            <w:r>
              <w:t>100,0</w:t>
            </w:r>
          </w:p>
        </w:tc>
        <w:tc>
          <w:tcPr>
            <w:tcW w:w="574" w:type="pct"/>
            <w:tcBorders>
              <w:top w:val="single" w:sz="4" w:space="0" w:color="522398"/>
              <w:bottom w:val="single" w:sz="4" w:space="0" w:color="522398"/>
            </w:tcBorders>
            <w:vAlign w:val="center"/>
          </w:tcPr>
          <w:p w:rsidR="00CD2E07" w:rsidRPr="005D7B52" w:rsidRDefault="00CD2E07" w:rsidP="00CD2E07">
            <w:pPr>
              <w:pStyle w:val="tablet"/>
            </w:pPr>
            <w:r w:rsidRPr="0021208B">
              <w:t>96,8</w:t>
            </w:r>
          </w:p>
        </w:tc>
        <w:tc>
          <w:tcPr>
            <w:tcW w:w="574" w:type="pct"/>
            <w:tcBorders>
              <w:top w:val="single" w:sz="4" w:space="0" w:color="522398"/>
              <w:bottom w:val="single" w:sz="4" w:space="0" w:color="522398"/>
            </w:tcBorders>
            <w:vAlign w:val="center"/>
          </w:tcPr>
          <w:p w:rsidR="00CD2E07" w:rsidRPr="005D7B52" w:rsidRDefault="00CD2E07" w:rsidP="00CD2E07">
            <w:pPr>
              <w:pStyle w:val="tablet"/>
            </w:pPr>
            <w:r>
              <w:t>11</w:t>
            </w:r>
            <w:r w:rsidRPr="00A006EF">
              <w:t>174</w:t>
            </w:r>
          </w:p>
        </w:tc>
        <w:tc>
          <w:tcPr>
            <w:tcW w:w="574" w:type="pct"/>
            <w:tcBorders>
              <w:top w:val="single" w:sz="4" w:space="0" w:color="522398"/>
              <w:bottom w:val="single" w:sz="4" w:space="0" w:color="522398"/>
            </w:tcBorders>
            <w:vAlign w:val="center"/>
          </w:tcPr>
          <w:p w:rsidR="00CD2E07" w:rsidRPr="005D7B52" w:rsidRDefault="00CD2E07" w:rsidP="00CD2E07">
            <w:pPr>
              <w:pStyle w:val="tablet"/>
            </w:pPr>
            <w:r>
              <w:t>100,0</w:t>
            </w:r>
          </w:p>
        </w:tc>
        <w:tc>
          <w:tcPr>
            <w:tcW w:w="575" w:type="pct"/>
            <w:tcBorders>
              <w:top w:val="single" w:sz="4" w:space="0" w:color="522398"/>
              <w:bottom w:val="single" w:sz="4" w:space="0" w:color="522398"/>
            </w:tcBorders>
            <w:vAlign w:val="center"/>
          </w:tcPr>
          <w:p w:rsidR="00CD2E07" w:rsidRPr="005D7B52" w:rsidRDefault="00CD2E07" w:rsidP="00CD2E07">
            <w:pPr>
              <w:pStyle w:val="tablet"/>
            </w:pPr>
            <w:r w:rsidRPr="00A006EF">
              <w:t>81,5</w:t>
            </w:r>
          </w:p>
        </w:tc>
      </w:tr>
      <w:tr w:rsidR="00CD2E07" w:rsidRPr="00E87892" w:rsidTr="005D7B52">
        <w:trPr>
          <w:trHeight w:val="57"/>
          <w:jc w:val="center"/>
        </w:trPr>
        <w:tc>
          <w:tcPr>
            <w:tcW w:w="1555" w:type="pct"/>
            <w:tcBorders>
              <w:top w:val="single" w:sz="4" w:space="0" w:color="522398"/>
              <w:bottom w:val="single" w:sz="4" w:space="0" w:color="522398"/>
            </w:tcBorders>
            <w:vAlign w:val="center"/>
          </w:tcPr>
          <w:p w:rsidR="00CD2E07" w:rsidRPr="00C20CD4" w:rsidRDefault="00CD2E07" w:rsidP="00CD2E07">
            <w:pPr>
              <w:pStyle w:val="boczek1"/>
            </w:pPr>
            <w:r w:rsidRPr="00C20CD4">
              <w:t xml:space="preserve">Indywidualne </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4</w:t>
            </w:r>
            <w:r w:rsidRPr="009C5637">
              <w:t>256</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27,3</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rsidRPr="0021208B">
              <w:t>100,8</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3</w:t>
            </w:r>
            <w:r w:rsidRPr="00A006EF">
              <w:t>887</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34,8</w:t>
            </w:r>
          </w:p>
        </w:tc>
        <w:tc>
          <w:tcPr>
            <w:tcW w:w="575" w:type="pct"/>
            <w:tcBorders>
              <w:top w:val="single" w:sz="4" w:space="0" w:color="522398"/>
              <w:bottom w:val="single" w:sz="4" w:space="0" w:color="522398"/>
            </w:tcBorders>
            <w:vAlign w:val="center"/>
          </w:tcPr>
          <w:p w:rsidR="00CD2E07" w:rsidRPr="005D7B52" w:rsidRDefault="00CD2E07" w:rsidP="00CD2E07">
            <w:pPr>
              <w:pStyle w:val="tableteksttab"/>
            </w:pPr>
            <w:r w:rsidRPr="00A006EF">
              <w:t>96,7</w:t>
            </w:r>
          </w:p>
        </w:tc>
      </w:tr>
      <w:tr w:rsidR="00CD2E07" w:rsidRPr="00E87892" w:rsidTr="005D7B52">
        <w:trPr>
          <w:trHeight w:val="57"/>
          <w:jc w:val="center"/>
        </w:trPr>
        <w:tc>
          <w:tcPr>
            <w:tcW w:w="1555" w:type="pct"/>
            <w:tcBorders>
              <w:top w:val="single" w:sz="4" w:space="0" w:color="522398"/>
              <w:bottom w:val="single" w:sz="4" w:space="0" w:color="522398"/>
            </w:tcBorders>
            <w:vAlign w:val="center"/>
          </w:tcPr>
          <w:p w:rsidR="00CD2E07" w:rsidRPr="00C20CD4" w:rsidRDefault="00CD2E07" w:rsidP="00CD2E07">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10</w:t>
            </w:r>
            <w:r w:rsidRPr="00205C62">
              <w:t>646</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68,4</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rsidRPr="0021208B">
              <w:t>94,1</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7</w:t>
            </w:r>
            <w:r w:rsidRPr="00A006EF">
              <w:t>118</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63,7</w:t>
            </w:r>
          </w:p>
        </w:tc>
        <w:tc>
          <w:tcPr>
            <w:tcW w:w="575" w:type="pct"/>
            <w:tcBorders>
              <w:top w:val="single" w:sz="4" w:space="0" w:color="522398"/>
              <w:bottom w:val="single" w:sz="4" w:space="0" w:color="522398"/>
            </w:tcBorders>
            <w:vAlign w:val="center"/>
          </w:tcPr>
          <w:p w:rsidR="00CD2E07" w:rsidRPr="005D7B52" w:rsidRDefault="00CD2E07" w:rsidP="00CD2E07">
            <w:pPr>
              <w:pStyle w:val="tableteksttab"/>
            </w:pPr>
            <w:r w:rsidRPr="00A006EF">
              <w:t>75,9</w:t>
            </w:r>
          </w:p>
        </w:tc>
      </w:tr>
      <w:tr w:rsidR="00CD2E07" w:rsidRPr="00E87892" w:rsidTr="005D7B52">
        <w:trPr>
          <w:trHeight w:val="57"/>
          <w:jc w:val="center"/>
        </w:trPr>
        <w:tc>
          <w:tcPr>
            <w:tcW w:w="1555" w:type="pct"/>
            <w:tcBorders>
              <w:top w:val="single" w:sz="4" w:space="0" w:color="522398"/>
              <w:bottom w:val="single" w:sz="4" w:space="0" w:color="522398"/>
            </w:tcBorders>
            <w:vAlign w:val="center"/>
          </w:tcPr>
          <w:p w:rsidR="00CD2E07" w:rsidRDefault="00CD2E07" w:rsidP="00CD2E07">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rsidRPr="00A006EF">
              <w:t>32</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0,3</w:t>
            </w:r>
          </w:p>
        </w:tc>
        <w:tc>
          <w:tcPr>
            <w:tcW w:w="575" w:type="pct"/>
            <w:tcBorders>
              <w:top w:val="single" w:sz="4" w:space="0" w:color="522398"/>
              <w:bottom w:val="single" w:sz="4" w:space="0" w:color="522398"/>
            </w:tcBorders>
            <w:vAlign w:val="center"/>
          </w:tcPr>
          <w:p w:rsidR="00CD2E07" w:rsidRPr="005D7B52" w:rsidRDefault="00CD2E07" w:rsidP="00CD2E07">
            <w:pPr>
              <w:pStyle w:val="tableteksttab"/>
            </w:pPr>
            <w:r w:rsidRPr="00A006EF">
              <w:t>50,8</w:t>
            </w:r>
          </w:p>
        </w:tc>
      </w:tr>
      <w:tr w:rsidR="00CD2E07" w:rsidRPr="00E87892" w:rsidTr="005D7B52">
        <w:trPr>
          <w:trHeight w:val="57"/>
          <w:jc w:val="center"/>
        </w:trPr>
        <w:tc>
          <w:tcPr>
            <w:tcW w:w="1555" w:type="pct"/>
            <w:tcBorders>
              <w:top w:val="single" w:sz="4" w:space="0" w:color="522398"/>
              <w:bottom w:val="single" w:sz="4" w:space="0" w:color="522398"/>
            </w:tcBorders>
            <w:vAlign w:val="center"/>
          </w:tcPr>
          <w:p w:rsidR="00CD2E07" w:rsidRDefault="00CD2E07" w:rsidP="00D50110">
            <w:pPr>
              <w:pStyle w:val="boczek"/>
            </w:pPr>
            <w:r>
              <w:t>Komunalne</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rsidRPr="00A006EF">
              <w:t>107</w:t>
            </w:r>
          </w:p>
        </w:tc>
        <w:tc>
          <w:tcPr>
            <w:tcW w:w="574" w:type="pct"/>
            <w:tcBorders>
              <w:top w:val="single" w:sz="4" w:space="0" w:color="522398"/>
              <w:bottom w:val="single" w:sz="4" w:space="0" w:color="522398"/>
            </w:tcBorders>
            <w:vAlign w:val="center"/>
          </w:tcPr>
          <w:p w:rsidR="00CD2E07" w:rsidRPr="005D7B52" w:rsidRDefault="00CD2E07" w:rsidP="00CD2E07">
            <w:pPr>
              <w:pStyle w:val="tableteksttab"/>
            </w:pPr>
            <w:r>
              <w:t>1,0</w:t>
            </w:r>
          </w:p>
        </w:tc>
        <w:tc>
          <w:tcPr>
            <w:tcW w:w="575" w:type="pct"/>
            <w:tcBorders>
              <w:top w:val="single" w:sz="4" w:space="0" w:color="522398"/>
              <w:bottom w:val="single" w:sz="4" w:space="0" w:color="522398"/>
            </w:tcBorders>
            <w:vAlign w:val="center"/>
          </w:tcPr>
          <w:p w:rsidR="00CD2E07" w:rsidRPr="005D7B52" w:rsidRDefault="00CD2E07" w:rsidP="00CD2E07">
            <w:pPr>
              <w:pStyle w:val="tableteksttab"/>
            </w:pPr>
            <w:r w:rsidRPr="00A006EF">
              <w:t>82,3</w:t>
            </w:r>
          </w:p>
        </w:tc>
      </w:tr>
      <w:tr w:rsidR="00CD2E07" w:rsidRPr="00E87892" w:rsidTr="005D7B52">
        <w:trPr>
          <w:trHeight w:val="57"/>
          <w:jc w:val="center"/>
        </w:trPr>
        <w:tc>
          <w:tcPr>
            <w:tcW w:w="1555" w:type="pct"/>
            <w:tcBorders>
              <w:top w:val="single" w:sz="4" w:space="0" w:color="522398"/>
              <w:bottom w:val="nil"/>
            </w:tcBorders>
            <w:vAlign w:val="center"/>
          </w:tcPr>
          <w:p w:rsidR="00CD2E07" w:rsidRDefault="00CD2E07" w:rsidP="00D50110">
            <w:pPr>
              <w:pStyle w:val="boczek"/>
            </w:pPr>
            <w:r>
              <w:t>Społeczne czynszowe</w:t>
            </w:r>
          </w:p>
        </w:tc>
        <w:tc>
          <w:tcPr>
            <w:tcW w:w="574" w:type="pct"/>
            <w:tcBorders>
              <w:top w:val="single" w:sz="4" w:space="0" w:color="522398"/>
              <w:bottom w:val="nil"/>
            </w:tcBorders>
            <w:vAlign w:val="center"/>
          </w:tcPr>
          <w:p w:rsidR="00CD2E07" w:rsidRPr="005D7B52" w:rsidRDefault="00CD2E07" w:rsidP="00CD2E07">
            <w:pPr>
              <w:pStyle w:val="tableteksttab"/>
            </w:pPr>
            <w:r w:rsidRPr="00EB242E">
              <w:t>662</w:t>
            </w:r>
          </w:p>
        </w:tc>
        <w:tc>
          <w:tcPr>
            <w:tcW w:w="574" w:type="pct"/>
            <w:tcBorders>
              <w:top w:val="single" w:sz="4" w:space="0" w:color="522398"/>
              <w:bottom w:val="nil"/>
            </w:tcBorders>
            <w:vAlign w:val="center"/>
          </w:tcPr>
          <w:p w:rsidR="00CD2E07" w:rsidRPr="005D7B52" w:rsidRDefault="00CD2E07" w:rsidP="00CD2E07">
            <w:pPr>
              <w:pStyle w:val="tableteksttab"/>
            </w:pPr>
            <w:r>
              <w:t>4,3</w:t>
            </w:r>
          </w:p>
        </w:tc>
        <w:tc>
          <w:tcPr>
            <w:tcW w:w="574" w:type="pct"/>
            <w:tcBorders>
              <w:top w:val="single" w:sz="4" w:space="0" w:color="522398"/>
              <w:bottom w:val="nil"/>
            </w:tcBorders>
            <w:vAlign w:val="center"/>
          </w:tcPr>
          <w:p w:rsidR="00CD2E07" w:rsidRPr="005D7B52" w:rsidRDefault="00CD2E07" w:rsidP="00CD2E07">
            <w:pPr>
              <w:pStyle w:val="tableteksttab"/>
            </w:pPr>
            <w:r>
              <w:t>7,3 razy</w:t>
            </w:r>
          </w:p>
        </w:tc>
        <w:tc>
          <w:tcPr>
            <w:tcW w:w="574" w:type="pct"/>
            <w:tcBorders>
              <w:top w:val="single" w:sz="4" w:space="0" w:color="522398"/>
              <w:bottom w:val="nil"/>
            </w:tcBorders>
            <w:vAlign w:val="center"/>
          </w:tcPr>
          <w:p w:rsidR="00CD2E07" w:rsidRPr="005D7B52" w:rsidRDefault="00CD2E07" w:rsidP="00CD2E07">
            <w:pPr>
              <w:pStyle w:val="tableteksttab"/>
            </w:pPr>
            <w:r w:rsidRPr="00A006EF">
              <w:t>62</w:t>
            </w:r>
          </w:p>
        </w:tc>
        <w:tc>
          <w:tcPr>
            <w:tcW w:w="574" w:type="pct"/>
            <w:tcBorders>
              <w:top w:val="single" w:sz="4" w:space="0" w:color="522398"/>
              <w:bottom w:val="nil"/>
            </w:tcBorders>
            <w:vAlign w:val="center"/>
          </w:tcPr>
          <w:p w:rsidR="00CD2E07" w:rsidRPr="005D7B52" w:rsidRDefault="00CD2E07" w:rsidP="00CD2E07">
            <w:pPr>
              <w:pStyle w:val="tableteksttab"/>
            </w:pPr>
            <w:r>
              <w:t>0,6</w:t>
            </w:r>
          </w:p>
        </w:tc>
        <w:tc>
          <w:tcPr>
            <w:tcW w:w="575" w:type="pct"/>
            <w:tcBorders>
              <w:top w:val="single" w:sz="4" w:space="0" w:color="522398"/>
              <w:bottom w:val="nil"/>
            </w:tcBorders>
            <w:vAlign w:val="center"/>
          </w:tcPr>
          <w:p w:rsidR="00CD2E07" w:rsidRPr="005D7B52" w:rsidRDefault="00CD2E07" w:rsidP="00CD2E07">
            <w:pPr>
              <w:pStyle w:val="tableteksttab"/>
            </w:pPr>
            <w:r w:rsidRPr="00A006EF">
              <w:t>44,9</w:t>
            </w:r>
          </w:p>
        </w:tc>
      </w:tr>
    </w:tbl>
    <w:p w:rsidR="005928D2" w:rsidRDefault="005928D2" w:rsidP="00EB4501">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p>
    <w:p w:rsidR="0086710D" w:rsidRDefault="00CD2E07" w:rsidP="004C290B">
      <w:pPr>
        <w:pStyle w:val="tekst"/>
        <w:spacing w:before="360"/>
      </w:pPr>
      <w:r>
        <w:t>W lipcu</w:t>
      </w:r>
      <w:r w:rsidRPr="003577AD">
        <w:t xml:space="preserve"> </w:t>
      </w:r>
      <w:r>
        <w:t>br.</w:t>
      </w:r>
      <w:r w:rsidRPr="003577AD">
        <w:t xml:space="preserve"> </w:t>
      </w:r>
      <w:r w:rsidRPr="003577AD">
        <w:rPr>
          <w:b/>
        </w:rPr>
        <w:t xml:space="preserve">rozpoczęto budowę </w:t>
      </w:r>
      <w:r>
        <w:t xml:space="preserve">2106 </w:t>
      </w:r>
      <w:r w:rsidRPr="003577AD">
        <w:t>mieszkań, tj. o</w:t>
      </w:r>
      <w:r>
        <w:t xml:space="preserve"> 78,9% więcej niż przed miesiącem, ale o 1,2% mniej </w:t>
      </w:r>
      <w:r w:rsidRPr="003577AD">
        <w:t xml:space="preserve">niż </w:t>
      </w:r>
      <w:r>
        <w:t>w lipcu</w:t>
      </w:r>
      <w:r w:rsidRPr="003577AD">
        <w:t xml:space="preserve"> </w:t>
      </w:r>
      <w:r>
        <w:t>ub. roku.</w:t>
      </w:r>
      <w:r w:rsidRPr="003577AD">
        <w:t xml:space="preserve"> Nowe inwestycje mieszkaniowe rozpoczęli </w:t>
      </w:r>
      <w:r>
        <w:t xml:space="preserve">w tym miesiącu deweloperzy </w:t>
      </w:r>
      <w:r w:rsidRPr="003577AD">
        <w:t>(</w:t>
      </w:r>
      <w:r>
        <w:t xml:space="preserve">budowa 1539 mieszkań) i </w:t>
      </w:r>
      <w:r w:rsidRPr="003577AD">
        <w:t>inwestorzy indywidualni</w:t>
      </w:r>
      <w:r>
        <w:t xml:space="preserve"> (567).</w:t>
      </w:r>
    </w:p>
    <w:p w:rsidR="005928D2" w:rsidRPr="003577AD" w:rsidRDefault="00CD2E07" w:rsidP="007A6EB6">
      <w:pPr>
        <w:pStyle w:val="tekst"/>
      </w:pPr>
      <w:r w:rsidRPr="00D35C6D">
        <w:t xml:space="preserve">Od początku br. rozpoczęto łącznie </w:t>
      </w:r>
      <w:r>
        <w:t>11174</w:t>
      </w:r>
      <w:r w:rsidRPr="00D35C6D">
        <w:t xml:space="preserve"> inwestycj</w:t>
      </w:r>
      <w:r>
        <w:t xml:space="preserve">i </w:t>
      </w:r>
      <w:r w:rsidRPr="00D35C6D">
        <w:t>mieszkaniow</w:t>
      </w:r>
      <w:r>
        <w:t>ych</w:t>
      </w:r>
      <w:r w:rsidRPr="00D35C6D">
        <w:t xml:space="preserve"> prowadzon</w:t>
      </w:r>
      <w:r>
        <w:t>ych</w:t>
      </w:r>
      <w:r w:rsidRPr="00D35C6D">
        <w:t xml:space="preserve"> w ramach </w:t>
      </w:r>
      <w:r>
        <w:t>4 form budownictwa. W </w:t>
      </w:r>
      <w:r w:rsidRPr="00D35C6D">
        <w:t xml:space="preserve">porównaniu z okresem </w:t>
      </w:r>
      <w:r>
        <w:t xml:space="preserve">styczeń-lipiec </w:t>
      </w:r>
      <w:r w:rsidRPr="00D35C6D">
        <w:t xml:space="preserve">ub. roku liczba rozpoczętych inwestycji </w:t>
      </w:r>
      <w:r>
        <w:t>spadła</w:t>
      </w:r>
      <w:r w:rsidRPr="00D35C6D">
        <w:t xml:space="preserve"> o </w:t>
      </w:r>
      <w:r>
        <w:t>18,5</w:t>
      </w:r>
      <w:r w:rsidRPr="00D35C6D">
        <w:t>%. Budowę nowych mieszkań rozpoczęli deweloperzy (</w:t>
      </w:r>
      <w:r>
        <w:t xml:space="preserve">7118 </w:t>
      </w:r>
      <w:r w:rsidRPr="00D35C6D">
        <w:t>mieszka</w:t>
      </w:r>
      <w:r>
        <w:t>ń</w:t>
      </w:r>
      <w:r w:rsidRPr="00D35C6D">
        <w:t xml:space="preserve">, czyli </w:t>
      </w:r>
      <w:r>
        <w:t>63,7%, z tego 32 na wynajem</w:t>
      </w:r>
      <w:r w:rsidRPr="00D35C6D">
        <w:t>), inwestorzy indywidualni (</w:t>
      </w:r>
      <w:r>
        <w:t>3887</w:t>
      </w:r>
      <w:r w:rsidRPr="00D35C6D">
        <w:t xml:space="preserve">, tj. </w:t>
      </w:r>
      <w:r>
        <w:t>34,8</w:t>
      </w:r>
      <w:r w:rsidRPr="00D35C6D">
        <w:t>%)</w:t>
      </w:r>
      <w:r>
        <w:t>,</w:t>
      </w:r>
      <w:r w:rsidRPr="00D35C6D">
        <w:t xml:space="preserve"> </w:t>
      </w:r>
      <w:r>
        <w:t>budownictwo komunalne</w:t>
      </w:r>
      <w:r w:rsidRPr="00D35C6D">
        <w:t xml:space="preserve"> (</w:t>
      </w:r>
      <w:r>
        <w:t>107, tj. 1,0%</w:t>
      </w:r>
      <w:r w:rsidRPr="00D35C6D">
        <w:t>)</w:t>
      </w:r>
      <w:r>
        <w:t xml:space="preserve"> oraz społeczne czynszowe (62, tj. 0,6%).</w:t>
      </w:r>
    </w:p>
    <w:p w:rsidR="005928D2" w:rsidRDefault="005928D2" w:rsidP="005928D2">
      <w:pPr>
        <w:pStyle w:val="Nagwek1"/>
        <w:spacing w:after="240"/>
      </w:pPr>
      <w:bookmarkStart w:id="34" w:name="_Toc64884832"/>
      <w:bookmarkStart w:id="35" w:name="_Toc64885001"/>
      <w:bookmarkStart w:id="36" w:name="_Toc64891654"/>
      <w:bookmarkStart w:id="37" w:name="_Toc164413799"/>
      <w:bookmarkStart w:id="38" w:name="_Toc205383517"/>
      <w:r>
        <w:t xml:space="preserve">Rynek </w:t>
      </w:r>
      <w:r w:rsidRPr="000944D5">
        <w:t>wewnętrzny</w:t>
      </w:r>
      <w:bookmarkEnd w:id="34"/>
      <w:bookmarkEnd w:id="35"/>
      <w:bookmarkEnd w:id="36"/>
      <w:bookmarkEnd w:id="37"/>
      <w:bookmarkEnd w:id="38"/>
    </w:p>
    <w:p w:rsidR="00EE27C6" w:rsidRDefault="003E09DA" w:rsidP="007A6EB6">
      <w:pPr>
        <w:pStyle w:val="tekst"/>
      </w:pPr>
      <w:r w:rsidRPr="00175E61">
        <w:rPr>
          <w:szCs w:val="19"/>
        </w:rPr>
        <w:t xml:space="preserve">W </w:t>
      </w:r>
      <w:r>
        <w:rPr>
          <w:szCs w:val="19"/>
        </w:rPr>
        <w:t>lipcu</w:t>
      </w:r>
      <w:r w:rsidRPr="00175E61">
        <w:rPr>
          <w:szCs w:val="19"/>
        </w:rPr>
        <w:t xml:space="preserve"> br.</w:t>
      </w:r>
      <w:r w:rsidRPr="00175E61">
        <w:rPr>
          <w:rFonts w:cs="Arial"/>
        </w:rPr>
        <w:t xml:space="preserve"> w</w:t>
      </w:r>
      <w:r w:rsidRPr="00175E61">
        <w:rPr>
          <w:szCs w:val="19"/>
        </w:rPr>
        <w:t xml:space="preserve">artość </w:t>
      </w:r>
      <w:r w:rsidRPr="00175E61">
        <w:rPr>
          <w:b/>
          <w:szCs w:val="19"/>
        </w:rPr>
        <w:t>sprzedaży detalicznej</w:t>
      </w:r>
      <w:r w:rsidRPr="00175E61">
        <w:rPr>
          <w:szCs w:val="19"/>
        </w:rPr>
        <w:t xml:space="preserve"> (w cenach bieżących) realizowanej przez przedsiębiorstwa handlowe i niehandlowe </w:t>
      </w:r>
      <w:r>
        <w:rPr>
          <w:szCs w:val="19"/>
        </w:rPr>
        <w:t>zwiększyła</w:t>
      </w:r>
      <w:r w:rsidRPr="00175E61">
        <w:rPr>
          <w:szCs w:val="19"/>
        </w:rPr>
        <w:t xml:space="preserve"> się o </w:t>
      </w:r>
      <w:r>
        <w:rPr>
          <w:szCs w:val="19"/>
        </w:rPr>
        <w:t>4,1</w:t>
      </w:r>
      <w:r w:rsidRPr="00175E61">
        <w:rPr>
          <w:szCs w:val="19"/>
        </w:rPr>
        <w:t>% w porównaniu z poprze</w:t>
      </w:r>
      <w:r>
        <w:rPr>
          <w:szCs w:val="19"/>
        </w:rPr>
        <w:t>dnim miesiącem</w:t>
      </w:r>
      <w:r w:rsidRPr="00175E61">
        <w:rPr>
          <w:szCs w:val="19"/>
        </w:rPr>
        <w:t xml:space="preserve"> </w:t>
      </w:r>
      <w:r>
        <w:rPr>
          <w:szCs w:val="19"/>
        </w:rPr>
        <w:t>oraz o 10,7% w stosunku do lipca</w:t>
      </w:r>
      <w:r w:rsidRPr="00175E61">
        <w:rPr>
          <w:szCs w:val="19"/>
        </w:rPr>
        <w:t xml:space="preserve"> ub. roku (przed rokiem odnotowano </w:t>
      </w:r>
      <w:r>
        <w:rPr>
          <w:szCs w:val="19"/>
        </w:rPr>
        <w:t>spadek</w:t>
      </w:r>
      <w:r w:rsidRPr="00175E61">
        <w:rPr>
          <w:szCs w:val="19"/>
        </w:rPr>
        <w:t xml:space="preserve"> wartości sprzedaży w ujęciu miesięcznym – o </w:t>
      </w:r>
      <w:r>
        <w:rPr>
          <w:szCs w:val="19"/>
        </w:rPr>
        <w:t>6,0</w:t>
      </w:r>
      <w:r w:rsidRPr="00175E61">
        <w:rPr>
          <w:szCs w:val="19"/>
        </w:rPr>
        <w:t>%</w:t>
      </w:r>
      <w:r>
        <w:rPr>
          <w:szCs w:val="19"/>
        </w:rPr>
        <w:t xml:space="preserve">, jednocześnie wzrost </w:t>
      </w:r>
      <w:r w:rsidRPr="00175E61">
        <w:rPr>
          <w:szCs w:val="19"/>
        </w:rPr>
        <w:t>w stosunku rocznym – o </w:t>
      </w:r>
      <w:r>
        <w:rPr>
          <w:szCs w:val="19"/>
        </w:rPr>
        <w:t>4,2</w:t>
      </w:r>
      <w:r w:rsidRPr="00175E61">
        <w:rPr>
          <w:szCs w:val="19"/>
        </w:rPr>
        <w:t xml:space="preserve">%). </w:t>
      </w:r>
      <w:r w:rsidRPr="0055109E">
        <w:t xml:space="preserve">W odniesieniu do lipca ub. roku </w:t>
      </w:r>
      <w:r w:rsidRPr="005E754B">
        <w:t>najbardziej (2,7 krotnie) wzrosła sprzedaż mebli</w:t>
      </w:r>
      <w:r w:rsidRPr="005E754B">
        <w:rPr>
          <w:szCs w:val="19"/>
        </w:rPr>
        <w:t xml:space="preserve"> </w:t>
      </w:r>
      <w:r w:rsidRPr="005E754B">
        <w:t>oraz sprzętu RTV</w:t>
      </w:r>
      <w:r w:rsidRPr="005E754B">
        <w:rPr>
          <w:szCs w:val="19"/>
        </w:rPr>
        <w:t xml:space="preserve">, AGD. </w:t>
      </w:r>
      <w:r>
        <w:rPr>
          <w:szCs w:val="19"/>
        </w:rPr>
        <w:t>Stosunkowo d</w:t>
      </w:r>
      <w:r w:rsidRPr="00E00A66">
        <w:rPr>
          <w:szCs w:val="19"/>
        </w:rPr>
        <w:t xml:space="preserve">uży wzrost dotyczył też wartości sprzedaży paliw stałych, ciekłych i </w:t>
      </w:r>
      <w:r w:rsidR="000F2BA3">
        <w:rPr>
          <w:szCs w:val="19"/>
        </w:rPr>
        <w:t>g</w:t>
      </w:r>
      <w:r w:rsidRPr="00E00A66">
        <w:rPr>
          <w:szCs w:val="19"/>
        </w:rPr>
        <w:t>azowych (o 26,</w:t>
      </w:r>
      <w:r>
        <w:rPr>
          <w:szCs w:val="19"/>
        </w:rPr>
        <w:t>2</w:t>
      </w:r>
      <w:r w:rsidRPr="00E00A66">
        <w:rPr>
          <w:szCs w:val="19"/>
        </w:rPr>
        <w:t>%), tekstyliów, odzieży i obuwia (o 1</w:t>
      </w:r>
      <w:r>
        <w:rPr>
          <w:szCs w:val="19"/>
        </w:rPr>
        <w:t>8</w:t>
      </w:r>
      <w:r w:rsidRPr="00E00A66">
        <w:rPr>
          <w:szCs w:val="19"/>
        </w:rPr>
        <w:t>,1%), a także farmaceutyków, kosmetyków i sprzętu ortopedycznego (o 11,</w:t>
      </w:r>
      <w:r>
        <w:rPr>
          <w:szCs w:val="19"/>
        </w:rPr>
        <w:t>1</w:t>
      </w:r>
      <w:r w:rsidRPr="00E00A66">
        <w:rPr>
          <w:szCs w:val="19"/>
        </w:rPr>
        <w:t xml:space="preserve">%). </w:t>
      </w:r>
      <w:r w:rsidRPr="00884E5A">
        <w:t xml:space="preserve">W ciągu roku najbardziej zmniejszyła się natomiast sprzedaż detaliczna w grupach: pojazdy samochodowe, motocykle i ich części (o </w:t>
      </w:r>
      <w:r>
        <w:t>17,8</w:t>
      </w:r>
      <w:r w:rsidRPr="00884E5A">
        <w:t xml:space="preserve">%) oraz pozostałe (o </w:t>
      </w:r>
      <w:r>
        <w:t>9,0</w:t>
      </w:r>
      <w:r w:rsidRPr="00884E5A">
        <w:t>%).</w:t>
      </w:r>
      <w:r w:rsidRPr="00175E61">
        <w:t xml:space="preserve"> </w:t>
      </w:r>
    </w:p>
    <w:p w:rsidR="005928D2" w:rsidRPr="00C33451" w:rsidRDefault="005928D2" w:rsidP="005928D2">
      <w:pPr>
        <w:pStyle w:val="Tytultabeli"/>
        <w:spacing w:before="360"/>
      </w:pPr>
      <w:r>
        <w:t>Tablica 1</w:t>
      </w:r>
      <w:r w:rsidR="0086710D">
        <w:t>1</w:t>
      </w:r>
      <w:r>
        <w:t>.</w:t>
      </w:r>
      <w:r>
        <w:tab/>
      </w:r>
      <w:r>
        <w:tab/>
      </w:r>
      <w:r w:rsidRPr="00C33451">
        <w:t>Dynamika i struktura sprzedaży detalicznej</w:t>
      </w:r>
      <w:r>
        <w:br/>
      </w:r>
      <w:r w:rsidRPr="00BA40DC">
        <w:t>(w cenach bieżących)</w:t>
      </w:r>
      <w:r w:rsidRPr="00C33451">
        <w:t xml:space="preserve"> </w:t>
      </w:r>
    </w:p>
    <w:tbl>
      <w:tblPr>
        <w:tblW w:w="0" w:type="auto"/>
        <w:tblBorders>
          <w:insideH w:val="single" w:sz="4" w:space="0" w:color="522398"/>
          <w:insideV w:val="single" w:sz="4" w:space="0" w:color="522398"/>
        </w:tblBorders>
        <w:tblLayout w:type="fixed"/>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lipiec br.) i w okresie narastającym (styczeń-lipiec br.) w odniesieniu do analogicznych okresów ub. roku. Dane do tablicy dostępne w pliku w formacie XLSX"/>
      </w:tblPr>
      <w:tblGrid>
        <w:gridCol w:w="5241"/>
        <w:gridCol w:w="1746"/>
        <w:gridCol w:w="1746"/>
        <w:gridCol w:w="1746"/>
      </w:tblGrid>
      <w:tr w:rsidR="005928D2" w:rsidRPr="00E87892" w:rsidTr="000918AC">
        <w:trPr>
          <w:trHeight w:val="57"/>
          <w:tblHeader/>
        </w:trPr>
        <w:tc>
          <w:tcPr>
            <w:tcW w:w="5241" w:type="dxa"/>
            <w:vMerge w:val="restart"/>
            <w:tcBorders>
              <w:top w:val="nil"/>
              <w:bottom w:val="single" w:sz="4" w:space="0" w:color="522398"/>
            </w:tcBorders>
            <w:vAlign w:val="center"/>
          </w:tcPr>
          <w:p w:rsidR="005928D2" w:rsidRPr="00C20CD4" w:rsidRDefault="005928D2" w:rsidP="000918AC">
            <w:pPr>
              <w:pStyle w:val="glowka1"/>
            </w:pPr>
            <w:r w:rsidRPr="00C20CD4">
              <w:t>Wyszczególnienie</w:t>
            </w:r>
          </w:p>
        </w:tc>
        <w:tc>
          <w:tcPr>
            <w:tcW w:w="1746" w:type="dxa"/>
            <w:tcBorders>
              <w:top w:val="nil"/>
              <w:bottom w:val="single" w:sz="4" w:space="0" w:color="522398"/>
            </w:tcBorders>
            <w:vAlign w:val="center"/>
          </w:tcPr>
          <w:p w:rsidR="005928D2" w:rsidRPr="00C20CD4" w:rsidRDefault="005928D2" w:rsidP="00413EF6">
            <w:pPr>
              <w:pStyle w:val="glowka1"/>
            </w:pPr>
            <w:r>
              <w:t>0</w:t>
            </w:r>
            <w:r w:rsidR="002B3124">
              <w:t>7</w:t>
            </w:r>
            <w:r>
              <w:t xml:space="preserve"> 2025</w:t>
            </w:r>
          </w:p>
        </w:tc>
        <w:tc>
          <w:tcPr>
            <w:tcW w:w="3492" w:type="dxa"/>
            <w:gridSpan w:val="2"/>
            <w:tcBorders>
              <w:top w:val="nil"/>
              <w:bottom w:val="single" w:sz="4" w:space="0" w:color="522398"/>
            </w:tcBorders>
            <w:vAlign w:val="center"/>
          </w:tcPr>
          <w:p w:rsidR="005928D2" w:rsidRPr="00C20CD4" w:rsidRDefault="002B3124" w:rsidP="002B3124">
            <w:pPr>
              <w:pStyle w:val="glowka1"/>
            </w:pPr>
            <w:r>
              <w:t>01–07</w:t>
            </w:r>
            <w:r w:rsidR="005928D2">
              <w:t xml:space="preserve"> 2025</w:t>
            </w:r>
          </w:p>
        </w:tc>
      </w:tr>
      <w:tr w:rsidR="005928D2" w:rsidRPr="00E87892" w:rsidTr="000918AC">
        <w:trPr>
          <w:trHeight w:val="20"/>
          <w:tblHeader/>
        </w:trPr>
        <w:tc>
          <w:tcPr>
            <w:tcW w:w="5241" w:type="dxa"/>
            <w:vMerge/>
            <w:tcBorders>
              <w:top w:val="single" w:sz="4" w:space="0" w:color="522398"/>
              <w:bottom w:val="single" w:sz="12" w:space="0" w:color="522398"/>
            </w:tcBorders>
            <w:vAlign w:val="center"/>
          </w:tcPr>
          <w:p w:rsidR="005928D2" w:rsidRPr="00C20CD4" w:rsidRDefault="005928D2" w:rsidP="000918AC">
            <w:pPr>
              <w:pStyle w:val="glowka1"/>
            </w:pPr>
          </w:p>
        </w:tc>
        <w:tc>
          <w:tcPr>
            <w:tcW w:w="3492" w:type="dxa"/>
            <w:gridSpan w:val="2"/>
            <w:tcBorders>
              <w:top w:val="single" w:sz="4" w:space="0" w:color="522398"/>
              <w:bottom w:val="single" w:sz="12" w:space="0" w:color="522398"/>
            </w:tcBorders>
            <w:vAlign w:val="center"/>
          </w:tcPr>
          <w:p w:rsidR="005928D2" w:rsidRPr="00C20CD4" w:rsidRDefault="005928D2" w:rsidP="000918AC">
            <w:pPr>
              <w:pStyle w:val="glowka1"/>
            </w:pPr>
            <w:r w:rsidRPr="00FA1C2A">
              <w:t>analogiczny okres roku poprzedniego = 100</w:t>
            </w:r>
          </w:p>
        </w:tc>
        <w:tc>
          <w:tcPr>
            <w:tcW w:w="1746" w:type="dxa"/>
            <w:tcBorders>
              <w:top w:val="single" w:sz="4" w:space="0" w:color="522398"/>
              <w:bottom w:val="single" w:sz="12" w:space="0" w:color="522398"/>
            </w:tcBorders>
            <w:vAlign w:val="center"/>
          </w:tcPr>
          <w:p w:rsidR="005928D2" w:rsidRPr="00C20CD4" w:rsidRDefault="005928D2" w:rsidP="000918AC">
            <w:pPr>
              <w:pStyle w:val="glowka1"/>
            </w:pPr>
            <w:r w:rsidRPr="00C20CD4">
              <w:t>w odsetkach</w:t>
            </w:r>
          </w:p>
        </w:tc>
      </w:tr>
      <w:tr w:rsidR="00DD4E0F" w:rsidRPr="00E87892" w:rsidTr="00A2191E">
        <w:trPr>
          <w:trHeight w:val="57"/>
        </w:trPr>
        <w:tc>
          <w:tcPr>
            <w:tcW w:w="5241" w:type="dxa"/>
            <w:tcBorders>
              <w:top w:val="single" w:sz="4" w:space="0" w:color="522398"/>
              <w:bottom w:val="single" w:sz="4" w:space="0" w:color="522398"/>
            </w:tcBorders>
            <w:vAlign w:val="center"/>
          </w:tcPr>
          <w:p w:rsidR="00DD4E0F" w:rsidRPr="00C20CD4" w:rsidRDefault="00DD4E0F" w:rsidP="00DD4E0F">
            <w:pPr>
              <w:pStyle w:val="boczekbez"/>
            </w:pPr>
            <w:r>
              <w:t>OGÓŁEM</w:t>
            </w:r>
            <w:r w:rsidRPr="00AB6567">
              <w:rPr>
                <w:b w:val="0"/>
                <w:vertAlign w:val="superscript"/>
              </w:rPr>
              <w:t xml:space="preserve"> a</w:t>
            </w:r>
          </w:p>
        </w:tc>
        <w:tc>
          <w:tcPr>
            <w:tcW w:w="1746" w:type="dxa"/>
            <w:tcBorders>
              <w:top w:val="single" w:sz="4" w:space="0" w:color="522398"/>
              <w:bottom w:val="single" w:sz="4" w:space="0" w:color="522398"/>
            </w:tcBorders>
            <w:vAlign w:val="center"/>
          </w:tcPr>
          <w:p w:rsidR="00DD4E0F" w:rsidRPr="00175E61" w:rsidRDefault="00DD4E0F" w:rsidP="00DD4E0F">
            <w:pPr>
              <w:pStyle w:val="tablet"/>
              <w:rPr>
                <w:color w:val="auto"/>
              </w:rPr>
            </w:pPr>
            <w:r w:rsidRPr="00F67105">
              <w:rPr>
                <w:color w:val="auto"/>
              </w:rPr>
              <w:t>110,7</w:t>
            </w:r>
          </w:p>
        </w:tc>
        <w:tc>
          <w:tcPr>
            <w:tcW w:w="1746" w:type="dxa"/>
            <w:tcBorders>
              <w:top w:val="single" w:sz="4" w:space="0" w:color="522398"/>
              <w:bottom w:val="single" w:sz="4" w:space="0" w:color="522398"/>
            </w:tcBorders>
            <w:vAlign w:val="center"/>
          </w:tcPr>
          <w:p w:rsidR="00DD4E0F" w:rsidRPr="00175E61" w:rsidRDefault="00DD4E0F" w:rsidP="00DD4E0F">
            <w:pPr>
              <w:pStyle w:val="tablet"/>
              <w:rPr>
                <w:color w:val="auto"/>
              </w:rPr>
            </w:pPr>
            <w:r w:rsidRPr="00F67105">
              <w:rPr>
                <w:color w:val="auto"/>
              </w:rPr>
              <w:t>106,0</w:t>
            </w:r>
          </w:p>
        </w:tc>
        <w:tc>
          <w:tcPr>
            <w:tcW w:w="1746" w:type="dxa"/>
            <w:tcBorders>
              <w:top w:val="single" w:sz="4" w:space="0" w:color="522398"/>
              <w:bottom w:val="single" w:sz="4" w:space="0" w:color="522398"/>
            </w:tcBorders>
            <w:vAlign w:val="center"/>
          </w:tcPr>
          <w:p w:rsidR="00DD4E0F" w:rsidRPr="00175E61" w:rsidRDefault="00DD4E0F" w:rsidP="00DD4E0F">
            <w:pPr>
              <w:pStyle w:val="tablet"/>
              <w:rPr>
                <w:color w:val="auto"/>
              </w:rPr>
            </w:pPr>
            <w:r w:rsidRPr="00175E61">
              <w:rPr>
                <w:color w:val="auto"/>
              </w:rPr>
              <w:t>100,0</w:t>
            </w:r>
          </w:p>
        </w:tc>
      </w:tr>
      <w:tr w:rsidR="00DD4E0F" w:rsidRPr="00E87892" w:rsidTr="00A2191E">
        <w:trPr>
          <w:trHeight w:val="57"/>
        </w:trPr>
        <w:tc>
          <w:tcPr>
            <w:tcW w:w="5241" w:type="dxa"/>
            <w:tcBorders>
              <w:top w:val="single" w:sz="4" w:space="0" w:color="522398"/>
              <w:bottom w:val="single" w:sz="4" w:space="0" w:color="522398"/>
            </w:tcBorders>
            <w:vAlign w:val="center"/>
          </w:tcPr>
          <w:p w:rsidR="00DD4E0F" w:rsidRPr="00C20CD4" w:rsidRDefault="00DD4E0F" w:rsidP="00DD4E0F">
            <w:pPr>
              <w:pStyle w:val="boczek2"/>
            </w:pPr>
            <w:r w:rsidRPr="00C20CD4">
              <w:t>w tym:</w:t>
            </w:r>
            <w:r w:rsidRPr="00C20CD4">
              <w:tab/>
            </w:r>
          </w:p>
        </w:tc>
        <w:tc>
          <w:tcPr>
            <w:tcW w:w="1746" w:type="dxa"/>
            <w:tcBorders>
              <w:top w:val="single" w:sz="4" w:space="0" w:color="522398"/>
              <w:bottom w:val="single" w:sz="4" w:space="0" w:color="522398"/>
            </w:tcBorders>
            <w:vAlign w:val="center"/>
          </w:tcPr>
          <w:p w:rsidR="00DD4E0F" w:rsidRPr="00175E61" w:rsidRDefault="00DD4E0F" w:rsidP="00DD4E0F">
            <w:pPr>
              <w:pStyle w:val="tableteksttab"/>
              <w:rPr>
                <w:color w:val="auto"/>
              </w:rPr>
            </w:pPr>
          </w:p>
        </w:tc>
        <w:tc>
          <w:tcPr>
            <w:tcW w:w="1746" w:type="dxa"/>
            <w:tcBorders>
              <w:top w:val="single" w:sz="4" w:space="0" w:color="522398"/>
              <w:bottom w:val="single" w:sz="4" w:space="0" w:color="522398"/>
            </w:tcBorders>
            <w:vAlign w:val="center"/>
          </w:tcPr>
          <w:p w:rsidR="00DD4E0F" w:rsidRPr="00175E61" w:rsidRDefault="00DD4E0F" w:rsidP="00DD4E0F">
            <w:pPr>
              <w:pStyle w:val="tableteksttab"/>
              <w:rPr>
                <w:color w:val="auto"/>
              </w:rPr>
            </w:pPr>
          </w:p>
        </w:tc>
        <w:tc>
          <w:tcPr>
            <w:tcW w:w="1746" w:type="dxa"/>
            <w:tcBorders>
              <w:top w:val="single" w:sz="4" w:space="0" w:color="522398"/>
              <w:bottom w:val="single" w:sz="4" w:space="0" w:color="522398"/>
            </w:tcBorders>
            <w:vAlign w:val="center"/>
          </w:tcPr>
          <w:p w:rsidR="00DD4E0F" w:rsidRPr="00175E61" w:rsidRDefault="00DD4E0F" w:rsidP="00DD4E0F">
            <w:pPr>
              <w:pStyle w:val="tableteksttab"/>
              <w:rPr>
                <w:color w:val="auto"/>
              </w:rPr>
            </w:pPr>
          </w:p>
        </w:tc>
      </w:tr>
      <w:tr w:rsidR="00DD4E0F" w:rsidRPr="00E87892" w:rsidTr="00A2191E">
        <w:trPr>
          <w:trHeight w:val="57"/>
        </w:trPr>
        <w:tc>
          <w:tcPr>
            <w:tcW w:w="5241" w:type="dxa"/>
            <w:tcBorders>
              <w:top w:val="single" w:sz="4" w:space="0" w:color="522398"/>
            </w:tcBorders>
            <w:vAlign w:val="center"/>
          </w:tcPr>
          <w:p w:rsidR="00DD4E0F" w:rsidRPr="00C20CD4" w:rsidRDefault="00DD4E0F" w:rsidP="00DD4E0F">
            <w:pPr>
              <w:pStyle w:val="boczek1"/>
            </w:pPr>
            <w:r w:rsidRPr="00C20CD4">
              <w:t>Pojazdy samochodowe, motocykle, części</w:t>
            </w:r>
          </w:p>
        </w:tc>
        <w:tc>
          <w:tcPr>
            <w:tcW w:w="1746" w:type="dxa"/>
            <w:tcBorders>
              <w:top w:val="single" w:sz="4" w:space="0" w:color="522398"/>
            </w:tcBorders>
            <w:vAlign w:val="center"/>
          </w:tcPr>
          <w:p w:rsidR="00DD4E0F" w:rsidRPr="00175E61" w:rsidRDefault="00DD4E0F" w:rsidP="00DD4E0F">
            <w:pPr>
              <w:pStyle w:val="tableteksttab"/>
              <w:rPr>
                <w:color w:val="auto"/>
              </w:rPr>
            </w:pPr>
            <w:r w:rsidRPr="00F67105">
              <w:rPr>
                <w:color w:val="auto"/>
              </w:rPr>
              <w:t>82,2</w:t>
            </w:r>
          </w:p>
        </w:tc>
        <w:tc>
          <w:tcPr>
            <w:tcW w:w="1746" w:type="dxa"/>
            <w:tcBorders>
              <w:top w:val="single" w:sz="4" w:space="0" w:color="522398"/>
            </w:tcBorders>
            <w:vAlign w:val="center"/>
          </w:tcPr>
          <w:p w:rsidR="00DD4E0F" w:rsidRPr="00175E61" w:rsidRDefault="00DD4E0F" w:rsidP="00DD4E0F">
            <w:pPr>
              <w:pStyle w:val="tableteksttab"/>
              <w:rPr>
                <w:color w:val="auto"/>
              </w:rPr>
            </w:pPr>
            <w:r w:rsidRPr="00F67105">
              <w:rPr>
                <w:color w:val="auto"/>
              </w:rPr>
              <w:t>81,2</w:t>
            </w:r>
          </w:p>
        </w:tc>
        <w:tc>
          <w:tcPr>
            <w:tcW w:w="1746" w:type="dxa"/>
            <w:tcBorders>
              <w:top w:val="single" w:sz="4" w:space="0" w:color="522398"/>
            </w:tcBorders>
            <w:vAlign w:val="center"/>
          </w:tcPr>
          <w:p w:rsidR="00DD4E0F" w:rsidRPr="000676F8" w:rsidRDefault="00DD4E0F" w:rsidP="00DD4E0F">
            <w:pPr>
              <w:pStyle w:val="tableteksttab"/>
              <w:rPr>
                <w:color w:val="auto"/>
              </w:rPr>
            </w:pPr>
            <w:r w:rsidRPr="000676F8">
              <w:rPr>
                <w:color w:val="auto"/>
              </w:rPr>
              <w:t>2,6</w:t>
            </w:r>
          </w:p>
        </w:tc>
      </w:tr>
      <w:tr w:rsidR="00DD4E0F" w:rsidRPr="00E87892" w:rsidTr="00A2191E">
        <w:trPr>
          <w:trHeight w:val="57"/>
        </w:trPr>
        <w:tc>
          <w:tcPr>
            <w:tcW w:w="5241" w:type="dxa"/>
            <w:vAlign w:val="center"/>
          </w:tcPr>
          <w:p w:rsidR="00DD4E0F" w:rsidRPr="00C20CD4" w:rsidRDefault="00DD4E0F" w:rsidP="00DD4E0F">
            <w:pPr>
              <w:pStyle w:val="boczek1"/>
            </w:pPr>
            <w:r w:rsidRPr="00C20CD4">
              <w:t>Paliwa stałe, ciekłe i gazowe</w:t>
            </w:r>
          </w:p>
        </w:tc>
        <w:tc>
          <w:tcPr>
            <w:tcW w:w="1746" w:type="dxa"/>
            <w:vAlign w:val="center"/>
          </w:tcPr>
          <w:p w:rsidR="00DD4E0F" w:rsidRPr="00175E61" w:rsidRDefault="00DD4E0F" w:rsidP="00DD4E0F">
            <w:pPr>
              <w:pStyle w:val="tableteksttab"/>
              <w:rPr>
                <w:color w:val="auto"/>
              </w:rPr>
            </w:pPr>
            <w:r w:rsidRPr="00F67105">
              <w:rPr>
                <w:color w:val="auto"/>
              </w:rPr>
              <w:t>126,2</w:t>
            </w:r>
          </w:p>
        </w:tc>
        <w:tc>
          <w:tcPr>
            <w:tcW w:w="1746" w:type="dxa"/>
            <w:vAlign w:val="center"/>
          </w:tcPr>
          <w:p w:rsidR="00DD4E0F" w:rsidRPr="00175E61" w:rsidRDefault="00DD4E0F" w:rsidP="00DD4E0F">
            <w:pPr>
              <w:pStyle w:val="tableteksttab"/>
              <w:rPr>
                <w:color w:val="auto"/>
              </w:rPr>
            </w:pPr>
            <w:r w:rsidRPr="005B1C6B">
              <w:rPr>
                <w:color w:val="auto"/>
              </w:rPr>
              <w:t>125,0</w:t>
            </w:r>
          </w:p>
        </w:tc>
        <w:tc>
          <w:tcPr>
            <w:tcW w:w="1746" w:type="dxa"/>
            <w:vAlign w:val="center"/>
          </w:tcPr>
          <w:p w:rsidR="00DD4E0F" w:rsidRPr="000676F8" w:rsidRDefault="00DD4E0F" w:rsidP="00DD4E0F">
            <w:pPr>
              <w:pStyle w:val="tableteksttab"/>
              <w:rPr>
                <w:color w:val="auto"/>
              </w:rPr>
            </w:pPr>
            <w:r w:rsidRPr="000676F8">
              <w:rPr>
                <w:color w:val="auto"/>
              </w:rPr>
              <w:t>3,8</w:t>
            </w:r>
          </w:p>
        </w:tc>
      </w:tr>
      <w:tr w:rsidR="00DD4E0F" w:rsidRPr="00E87892" w:rsidTr="00A2191E">
        <w:trPr>
          <w:trHeight w:val="57"/>
        </w:trPr>
        <w:tc>
          <w:tcPr>
            <w:tcW w:w="5241" w:type="dxa"/>
            <w:vAlign w:val="center"/>
          </w:tcPr>
          <w:p w:rsidR="00DD4E0F" w:rsidRPr="00C20CD4" w:rsidRDefault="00DD4E0F" w:rsidP="00DD4E0F">
            <w:pPr>
              <w:pStyle w:val="boczek1"/>
            </w:pPr>
            <w:r w:rsidRPr="00C20CD4">
              <w:t>Żywność, napoje i wyroby tytoniowe</w:t>
            </w:r>
          </w:p>
        </w:tc>
        <w:tc>
          <w:tcPr>
            <w:tcW w:w="1746" w:type="dxa"/>
            <w:vAlign w:val="center"/>
          </w:tcPr>
          <w:p w:rsidR="00DD4E0F" w:rsidRPr="00175E61" w:rsidRDefault="00DD4E0F" w:rsidP="00DD4E0F">
            <w:pPr>
              <w:pStyle w:val="tableteksttab"/>
              <w:rPr>
                <w:color w:val="auto"/>
              </w:rPr>
            </w:pPr>
            <w:r w:rsidRPr="005B1C6B">
              <w:rPr>
                <w:color w:val="auto"/>
              </w:rPr>
              <w:t>105,7</w:t>
            </w:r>
          </w:p>
        </w:tc>
        <w:tc>
          <w:tcPr>
            <w:tcW w:w="1746" w:type="dxa"/>
            <w:vAlign w:val="center"/>
          </w:tcPr>
          <w:p w:rsidR="00DD4E0F" w:rsidRPr="00175E61" w:rsidRDefault="00DD4E0F" w:rsidP="00DD4E0F">
            <w:pPr>
              <w:pStyle w:val="tableteksttab"/>
              <w:rPr>
                <w:color w:val="auto"/>
              </w:rPr>
            </w:pPr>
            <w:r w:rsidRPr="005B1C6B">
              <w:rPr>
                <w:color w:val="auto"/>
              </w:rPr>
              <w:t>105,6</w:t>
            </w:r>
          </w:p>
        </w:tc>
        <w:tc>
          <w:tcPr>
            <w:tcW w:w="1746" w:type="dxa"/>
            <w:vAlign w:val="center"/>
          </w:tcPr>
          <w:p w:rsidR="00DD4E0F" w:rsidRPr="000676F8" w:rsidRDefault="00DD4E0F" w:rsidP="00DD4E0F">
            <w:pPr>
              <w:pStyle w:val="tableteksttab"/>
              <w:rPr>
                <w:color w:val="auto"/>
              </w:rPr>
            </w:pPr>
            <w:r w:rsidRPr="000676F8">
              <w:rPr>
                <w:color w:val="auto"/>
              </w:rPr>
              <w:t>34,8</w:t>
            </w:r>
          </w:p>
        </w:tc>
      </w:tr>
      <w:tr w:rsidR="00DD4E0F" w:rsidRPr="00E87892" w:rsidTr="00A2191E">
        <w:trPr>
          <w:trHeight w:val="57"/>
        </w:trPr>
        <w:tc>
          <w:tcPr>
            <w:tcW w:w="5241" w:type="dxa"/>
            <w:vAlign w:val="center"/>
          </w:tcPr>
          <w:p w:rsidR="00DD4E0F" w:rsidRPr="00C20CD4" w:rsidRDefault="00DD4E0F" w:rsidP="00DD4E0F">
            <w:pPr>
              <w:pStyle w:val="boczek1"/>
            </w:pPr>
            <w:r w:rsidRPr="00C20CD4">
              <w:t>Farmaceutyki, kosmetyki, sprzęt ortopedyczny</w:t>
            </w:r>
          </w:p>
        </w:tc>
        <w:tc>
          <w:tcPr>
            <w:tcW w:w="1746" w:type="dxa"/>
            <w:vAlign w:val="center"/>
          </w:tcPr>
          <w:p w:rsidR="00DD4E0F" w:rsidRPr="00175E61" w:rsidRDefault="00DD4E0F" w:rsidP="00DD4E0F">
            <w:pPr>
              <w:pStyle w:val="tableteksttab"/>
              <w:rPr>
                <w:color w:val="auto"/>
              </w:rPr>
            </w:pPr>
            <w:r w:rsidRPr="005B1C6B">
              <w:rPr>
                <w:color w:val="auto"/>
              </w:rPr>
              <w:t>111,1</w:t>
            </w:r>
          </w:p>
        </w:tc>
        <w:tc>
          <w:tcPr>
            <w:tcW w:w="1746" w:type="dxa"/>
            <w:vAlign w:val="center"/>
          </w:tcPr>
          <w:p w:rsidR="00DD4E0F" w:rsidRPr="00175E61" w:rsidRDefault="00DD4E0F" w:rsidP="00DD4E0F">
            <w:pPr>
              <w:pStyle w:val="tableteksttab"/>
              <w:rPr>
                <w:color w:val="auto"/>
              </w:rPr>
            </w:pPr>
            <w:r w:rsidRPr="005B1C6B">
              <w:rPr>
                <w:color w:val="auto"/>
              </w:rPr>
              <w:t>117,6</w:t>
            </w:r>
          </w:p>
        </w:tc>
        <w:tc>
          <w:tcPr>
            <w:tcW w:w="1746" w:type="dxa"/>
            <w:vAlign w:val="center"/>
          </w:tcPr>
          <w:p w:rsidR="00DD4E0F" w:rsidRPr="000676F8" w:rsidRDefault="00DD4E0F" w:rsidP="00DD4E0F">
            <w:pPr>
              <w:pStyle w:val="tableteksttab"/>
              <w:rPr>
                <w:color w:val="auto"/>
              </w:rPr>
            </w:pPr>
            <w:r w:rsidRPr="000676F8">
              <w:rPr>
                <w:color w:val="auto"/>
              </w:rPr>
              <w:t>2,1</w:t>
            </w:r>
          </w:p>
        </w:tc>
      </w:tr>
      <w:tr w:rsidR="00DD4E0F" w:rsidRPr="00E87892" w:rsidTr="00A2191E">
        <w:trPr>
          <w:trHeight w:val="57"/>
        </w:trPr>
        <w:tc>
          <w:tcPr>
            <w:tcW w:w="5241" w:type="dxa"/>
            <w:vAlign w:val="center"/>
          </w:tcPr>
          <w:p w:rsidR="00DD4E0F" w:rsidRPr="00C20CD4" w:rsidRDefault="00DD4E0F" w:rsidP="00DD4E0F">
            <w:pPr>
              <w:pStyle w:val="boczek1"/>
            </w:pPr>
            <w:r w:rsidRPr="00C20CD4">
              <w:t>Tekstylia, odzież, obuwie</w:t>
            </w:r>
          </w:p>
        </w:tc>
        <w:tc>
          <w:tcPr>
            <w:tcW w:w="1746" w:type="dxa"/>
            <w:vAlign w:val="center"/>
          </w:tcPr>
          <w:p w:rsidR="00DD4E0F" w:rsidRPr="00175E61" w:rsidRDefault="00DD4E0F" w:rsidP="00DD4E0F">
            <w:pPr>
              <w:pStyle w:val="tableteksttab"/>
              <w:rPr>
                <w:color w:val="auto"/>
              </w:rPr>
            </w:pPr>
            <w:r w:rsidRPr="005B1C6B">
              <w:rPr>
                <w:color w:val="auto"/>
              </w:rPr>
              <w:t>118,1</w:t>
            </w:r>
          </w:p>
        </w:tc>
        <w:tc>
          <w:tcPr>
            <w:tcW w:w="1746" w:type="dxa"/>
            <w:vAlign w:val="center"/>
          </w:tcPr>
          <w:p w:rsidR="00DD4E0F" w:rsidRPr="00175E61" w:rsidRDefault="00DD4E0F" w:rsidP="00DD4E0F">
            <w:pPr>
              <w:pStyle w:val="tableteksttab"/>
              <w:rPr>
                <w:color w:val="auto"/>
              </w:rPr>
            </w:pPr>
            <w:r w:rsidRPr="005B1C6B">
              <w:rPr>
                <w:color w:val="auto"/>
              </w:rPr>
              <w:t>115,1</w:t>
            </w:r>
          </w:p>
        </w:tc>
        <w:tc>
          <w:tcPr>
            <w:tcW w:w="1746" w:type="dxa"/>
            <w:vAlign w:val="center"/>
          </w:tcPr>
          <w:p w:rsidR="00DD4E0F" w:rsidRPr="000676F8" w:rsidRDefault="00DD4E0F" w:rsidP="00DD4E0F">
            <w:pPr>
              <w:pStyle w:val="tableteksttab"/>
              <w:rPr>
                <w:color w:val="auto"/>
              </w:rPr>
            </w:pPr>
            <w:r w:rsidRPr="000676F8">
              <w:rPr>
                <w:color w:val="auto"/>
              </w:rPr>
              <w:t>1,3</w:t>
            </w:r>
          </w:p>
        </w:tc>
      </w:tr>
      <w:tr w:rsidR="00DD4E0F" w:rsidRPr="00E87892" w:rsidTr="00A2191E">
        <w:trPr>
          <w:trHeight w:val="57"/>
        </w:trPr>
        <w:tc>
          <w:tcPr>
            <w:tcW w:w="5241" w:type="dxa"/>
            <w:tcBorders>
              <w:bottom w:val="single" w:sz="4" w:space="0" w:color="522398"/>
            </w:tcBorders>
            <w:vAlign w:val="center"/>
          </w:tcPr>
          <w:p w:rsidR="00DD4E0F" w:rsidRPr="00C20CD4" w:rsidRDefault="00DD4E0F" w:rsidP="00DD4E0F">
            <w:pPr>
              <w:pStyle w:val="boczek1"/>
            </w:pPr>
            <w:r w:rsidRPr="00C20CD4">
              <w:t>Meble, RTV, AGD</w:t>
            </w:r>
          </w:p>
        </w:tc>
        <w:tc>
          <w:tcPr>
            <w:tcW w:w="1746" w:type="dxa"/>
            <w:tcBorders>
              <w:bottom w:val="single" w:sz="4" w:space="0" w:color="522398"/>
            </w:tcBorders>
            <w:vAlign w:val="center"/>
          </w:tcPr>
          <w:p w:rsidR="00DD4E0F" w:rsidRPr="00175E61" w:rsidRDefault="00DD4E0F" w:rsidP="00DD4E0F">
            <w:pPr>
              <w:pStyle w:val="tableteksttab"/>
              <w:rPr>
                <w:color w:val="auto"/>
              </w:rPr>
            </w:pPr>
            <w:r w:rsidRPr="005B1C6B">
              <w:rPr>
                <w:color w:val="auto"/>
              </w:rPr>
              <w:t>274,4</w:t>
            </w:r>
          </w:p>
        </w:tc>
        <w:tc>
          <w:tcPr>
            <w:tcW w:w="1746" w:type="dxa"/>
            <w:tcBorders>
              <w:bottom w:val="single" w:sz="4" w:space="0" w:color="522398"/>
            </w:tcBorders>
            <w:vAlign w:val="center"/>
          </w:tcPr>
          <w:p w:rsidR="00DD4E0F" w:rsidRPr="00175E61" w:rsidRDefault="00DD4E0F" w:rsidP="00DD4E0F">
            <w:pPr>
              <w:pStyle w:val="tableteksttab"/>
              <w:rPr>
                <w:color w:val="auto"/>
              </w:rPr>
            </w:pPr>
            <w:r w:rsidRPr="005B1C6B">
              <w:rPr>
                <w:color w:val="auto"/>
              </w:rPr>
              <w:t>261,8</w:t>
            </w:r>
          </w:p>
        </w:tc>
        <w:tc>
          <w:tcPr>
            <w:tcW w:w="1746" w:type="dxa"/>
            <w:tcBorders>
              <w:bottom w:val="single" w:sz="4" w:space="0" w:color="522398"/>
            </w:tcBorders>
            <w:vAlign w:val="center"/>
          </w:tcPr>
          <w:p w:rsidR="00DD4E0F" w:rsidRPr="000676F8" w:rsidRDefault="00DD4E0F" w:rsidP="00DD4E0F">
            <w:pPr>
              <w:pStyle w:val="tableteksttab"/>
              <w:rPr>
                <w:color w:val="auto"/>
              </w:rPr>
            </w:pPr>
            <w:r w:rsidRPr="000676F8">
              <w:rPr>
                <w:color w:val="auto"/>
              </w:rPr>
              <w:t>2,6</w:t>
            </w:r>
          </w:p>
        </w:tc>
      </w:tr>
      <w:tr w:rsidR="00DD4E0F" w:rsidRPr="00E87892" w:rsidTr="00A2191E">
        <w:trPr>
          <w:trHeight w:val="57"/>
        </w:trPr>
        <w:tc>
          <w:tcPr>
            <w:tcW w:w="5241" w:type="dxa"/>
            <w:tcBorders>
              <w:top w:val="single" w:sz="4" w:space="0" w:color="522398"/>
              <w:bottom w:val="single" w:sz="4" w:space="0" w:color="522398"/>
            </w:tcBorders>
            <w:vAlign w:val="center"/>
          </w:tcPr>
          <w:p w:rsidR="00DD4E0F" w:rsidRPr="00C20CD4" w:rsidRDefault="00DD4E0F" w:rsidP="00DD4E0F">
            <w:pPr>
              <w:pStyle w:val="boczek1"/>
            </w:pPr>
            <w:r w:rsidRPr="00C20CD4">
              <w:t>Prasa, książki, pozostała sprzedaż w wyspecjalizowanych sklepach</w:t>
            </w:r>
          </w:p>
        </w:tc>
        <w:tc>
          <w:tcPr>
            <w:tcW w:w="1746" w:type="dxa"/>
            <w:tcBorders>
              <w:top w:val="single" w:sz="4" w:space="0" w:color="522398"/>
              <w:bottom w:val="single" w:sz="4" w:space="0" w:color="522398"/>
            </w:tcBorders>
            <w:vAlign w:val="center"/>
          </w:tcPr>
          <w:p w:rsidR="00DD4E0F" w:rsidRPr="00175E61" w:rsidRDefault="00DD4E0F" w:rsidP="00DD4E0F">
            <w:pPr>
              <w:pStyle w:val="tableteksttab"/>
              <w:rPr>
                <w:color w:val="auto"/>
              </w:rPr>
            </w:pPr>
            <w:r w:rsidRPr="005B1C6B">
              <w:rPr>
                <w:color w:val="auto"/>
              </w:rPr>
              <w:t>102,3</w:t>
            </w:r>
          </w:p>
        </w:tc>
        <w:tc>
          <w:tcPr>
            <w:tcW w:w="1746" w:type="dxa"/>
            <w:tcBorders>
              <w:top w:val="single" w:sz="4" w:space="0" w:color="522398"/>
              <w:bottom w:val="single" w:sz="4" w:space="0" w:color="522398"/>
            </w:tcBorders>
            <w:vAlign w:val="center"/>
          </w:tcPr>
          <w:p w:rsidR="00DD4E0F" w:rsidRPr="00175E61" w:rsidRDefault="00DD4E0F" w:rsidP="00DD4E0F">
            <w:pPr>
              <w:pStyle w:val="tableteksttab"/>
              <w:rPr>
                <w:color w:val="auto"/>
              </w:rPr>
            </w:pPr>
            <w:r w:rsidRPr="005B1C6B">
              <w:rPr>
                <w:color w:val="auto"/>
              </w:rPr>
              <w:t>100,0</w:t>
            </w:r>
          </w:p>
        </w:tc>
        <w:tc>
          <w:tcPr>
            <w:tcW w:w="1746" w:type="dxa"/>
            <w:tcBorders>
              <w:top w:val="single" w:sz="4" w:space="0" w:color="522398"/>
              <w:bottom w:val="single" w:sz="4" w:space="0" w:color="522398"/>
            </w:tcBorders>
            <w:vAlign w:val="center"/>
          </w:tcPr>
          <w:p w:rsidR="00DD4E0F" w:rsidRPr="000676F8" w:rsidRDefault="00DD4E0F" w:rsidP="00DD4E0F">
            <w:pPr>
              <w:pStyle w:val="tableteksttab"/>
              <w:rPr>
                <w:color w:val="auto"/>
              </w:rPr>
            </w:pPr>
            <w:r w:rsidRPr="000676F8">
              <w:rPr>
                <w:color w:val="auto"/>
              </w:rPr>
              <w:t>1,5</w:t>
            </w:r>
          </w:p>
        </w:tc>
      </w:tr>
      <w:tr w:rsidR="00DD4E0F" w:rsidRPr="00E87892" w:rsidTr="00A2191E">
        <w:trPr>
          <w:trHeight w:val="57"/>
        </w:trPr>
        <w:tc>
          <w:tcPr>
            <w:tcW w:w="5241" w:type="dxa"/>
            <w:tcBorders>
              <w:top w:val="single" w:sz="4" w:space="0" w:color="522398"/>
              <w:bottom w:val="nil"/>
            </w:tcBorders>
            <w:vAlign w:val="center"/>
          </w:tcPr>
          <w:p w:rsidR="00DD4E0F" w:rsidRPr="00C20CD4" w:rsidRDefault="00DD4E0F" w:rsidP="00DD4E0F">
            <w:pPr>
              <w:pStyle w:val="boczek1"/>
            </w:pPr>
            <w:r w:rsidRPr="00C20CD4">
              <w:t>Pozostałe</w:t>
            </w:r>
          </w:p>
        </w:tc>
        <w:tc>
          <w:tcPr>
            <w:tcW w:w="1746" w:type="dxa"/>
            <w:tcBorders>
              <w:top w:val="single" w:sz="4" w:space="0" w:color="522398"/>
              <w:bottom w:val="nil"/>
            </w:tcBorders>
            <w:vAlign w:val="center"/>
          </w:tcPr>
          <w:p w:rsidR="00DD4E0F" w:rsidRPr="00175E61" w:rsidRDefault="00DD4E0F" w:rsidP="00DD4E0F">
            <w:pPr>
              <w:pStyle w:val="tableteksttab"/>
              <w:rPr>
                <w:color w:val="auto"/>
              </w:rPr>
            </w:pPr>
            <w:r w:rsidRPr="005B1C6B">
              <w:rPr>
                <w:color w:val="auto"/>
              </w:rPr>
              <w:t>91,0</w:t>
            </w:r>
          </w:p>
        </w:tc>
        <w:tc>
          <w:tcPr>
            <w:tcW w:w="1746" w:type="dxa"/>
            <w:tcBorders>
              <w:top w:val="single" w:sz="4" w:space="0" w:color="522398"/>
              <w:bottom w:val="nil"/>
            </w:tcBorders>
            <w:vAlign w:val="center"/>
          </w:tcPr>
          <w:p w:rsidR="00DD4E0F" w:rsidRPr="00175E61" w:rsidRDefault="00DD4E0F" w:rsidP="00DD4E0F">
            <w:pPr>
              <w:pStyle w:val="tableteksttab"/>
              <w:rPr>
                <w:color w:val="auto"/>
              </w:rPr>
            </w:pPr>
            <w:r w:rsidRPr="005B1C6B">
              <w:rPr>
                <w:color w:val="auto"/>
              </w:rPr>
              <w:t>88,4</w:t>
            </w:r>
          </w:p>
        </w:tc>
        <w:tc>
          <w:tcPr>
            <w:tcW w:w="1746" w:type="dxa"/>
            <w:tcBorders>
              <w:top w:val="single" w:sz="4" w:space="0" w:color="522398"/>
              <w:bottom w:val="nil"/>
            </w:tcBorders>
            <w:vAlign w:val="center"/>
          </w:tcPr>
          <w:p w:rsidR="00DD4E0F" w:rsidRPr="000676F8" w:rsidRDefault="00DD4E0F" w:rsidP="00DD4E0F">
            <w:pPr>
              <w:pStyle w:val="tableteksttab"/>
              <w:rPr>
                <w:color w:val="auto"/>
              </w:rPr>
            </w:pPr>
            <w:r w:rsidRPr="000676F8">
              <w:rPr>
                <w:color w:val="auto"/>
              </w:rPr>
              <w:t>7,6</w:t>
            </w:r>
          </w:p>
        </w:tc>
      </w:tr>
    </w:tbl>
    <w:p w:rsidR="005928D2" w:rsidRDefault="005928D2" w:rsidP="00EB4501">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305EDE" w:rsidRDefault="00305EDE" w:rsidP="00305EDE">
      <w:pPr>
        <w:pStyle w:val="tekst"/>
        <w:rPr>
          <w:szCs w:val="19"/>
        </w:rPr>
      </w:pPr>
      <w:r>
        <w:rPr>
          <w:szCs w:val="19"/>
        </w:rPr>
        <w:br w:type="page"/>
      </w:r>
    </w:p>
    <w:p w:rsidR="00305EDE" w:rsidRPr="00305EDE" w:rsidRDefault="00DD4E0F" w:rsidP="00305EDE">
      <w:pPr>
        <w:pStyle w:val="tekst"/>
      </w:pPr>
      <w:r w:rsidRPr="00C507D4">
        <w:lastRenderedPageBreak/>
        <w:t xml:space="preserve">Wartość sprzedaży detalicznej zrealizowanej w okresie styczeń-lipiec br. wzrosła o </w:t>
      </w:r>
      <w:r>
        <w:t>6,0</w:t>
      </w:r>
      <w:r w:rsidRPr="00C507D4">
        <w:t xml:space="preserve">% w porównaniu z analogicznym okresem ub. roku (przed rokiem wzrost wyniósł </w:t>
      </w:r>
      <w:r>
        <w:t>8,9</w:t>
      </w:r>
      <w:r w:rsidRPr="00C507D4">
        <w:t>%). W okresie narastającym wzrost sprzedaży detalicznej dotyczył przede wszystkim</w:t>
      </w:r>
      <w:r>
        <w:t>:</w:t>
      </w:r>
      <w:r w:rsidRPr="00C507D4">
        <w:t xml:space="preserve"> mebli oraz sprzętu RTV, AGD (2,</w:t>
      </w:r>
      <w:r>
        <w:t>6</w:t>
      </w:r>
      <w:r w:rsidRPr="00C507D4">
        <w:t xml:space="preserve">-krotny), paliw stałych, ciekłych i gazowych (o </w:t>
      </w:r>
      <w:r>
        <w:t>25,0</w:t>
      </w:r>
      <w:r w:rsidRPr="00C507D4">
        <w:t xml:space="preserve">%), farmaceutyków, kosmetyków i sprzętu ortopedycznego (o </w:t>
      </w:r>
      <w:r>
        <w:t>17,6</w:t>
      </w:r>
      <w:r w:rsidRPr="00C507D4">
        <w:t xml:space="preserve">%) oraz tekstyliów, odzieży i obuwia (o </w:t>
      </w:r>
      <w:r>
        <w:t>15,1</w:t>
      </w:r>
      <w:r w:rsidRPr="00C507D4">
        <w:t xml:space="preserve">%). Spadek wartości sprzedaży odnotowano w tym czasie w grupach: pojazdy samochodowe, motocykle i ich części (o </w:t>
      </w:r>
      <w:r>
        <w:t>18</w:t>
      </w:r>
      <w:r w:rsidRPr="00C507D4">
        <w:t>,8</w:t>
      </w:r>
      <w:r>
        <w:t>%) oraz</w:t>
      </w:r>
      <w:r w:rsidRPr="00C507D4">
        <w:t xml:space="preserve"> pozostałe (o </w:t>
      </w:r>
      <w:r>
        <w:t>11,6%).</w:t>
      </w:r>
    </w:p>
    <w:p w:rsidR="005928D2" w:rsidRDefault="00DD4E0F" w:rsidP="00305EDE">
      <w:pPr>
        <w:pStyle w:val="tekst"/>
      </w:pPr>
      <w:r w:rsidRPr="00AA25F5">
        <w:t xml:space="preserve">Sprzedaż hurtowa jednostek handlowych ogółem w lipcu br. zwiększyła się (licząc w cenach bieżących) o </w:t>
      </w:r>
      <w:r>
        <w:t>5,4</w:t>
      </w:r>
      <w:r w:rsidRPr="00AA25F5">
        <w:t>% w</w:t>
      </w:r>
      <w:r w:rsidR="00650670">
        <w:t xml:space="preserve"> </w:t>
      </w:r>
      <w:r w:rsidRPr="00AA25F5">
        <w:t xml:space="preserve">porównaniu z poprzednim miesiącem i o </w:t>
      </w:r>
      <w:r>
        <w:t>15,8</w:t>
      </w:r>
      <w:r w:rsidRPr="00AA25F5">
        <w:t xml:space="preserve">% w relacji do </w:t>
      </w:r>
      <w:r>
        <w:t>lipca</w:t>
      </w:r>
      <w:r w:rsidRPr="00AA25F5">
        <w:t xml:space="preserve"> ub. roku (</w:t>
      </w:r>
      <w:r w:rsidRPr="00160719">
        <w:t>przed rokie</w:t>
      </w:r>
      <w:r w:rsidR="00650670">
        <w:t xml:space="preserve">m odnotowano wzrost sprzedaży w </w:t>
      </w:r>
      <w:r w:rsidRPr="00160719">
        <w:t>skali miesiąca – o 3,9%, ale spadek w ujęciu rocznym – o 9,8%). W przedsiębiorstwach</w:t>
      </w:r>
      <w:r w:rsidRPr="00AA25F5">
        <w:t xml:space="preserve"> handlu hurtowego sprzedaż wzrosła </w:t>
      </w:r>
      <w:r>
        <w:t>o 5,3</w:t>
      </w:r>
      <w:r w:rsidRPr="00AA25F5">
        <w:t xml:space="preserve">% w odniesieniu do </w:t>
      </w:r>
      <w:r>
        <w:t>czerwca</w:t>
      </w:r>
      <w:r w:rsidRPr="00AA25F5">
        <w:t xml:space="preserve"> br. i o </w:t>
      </w:r>
      <w:r>
        <w:t>15,6</w:t>
      </w:r>
      <w:r w:rsidRPr="00AA25F5">
        <w:t xml:space="preserve">% w porównaniu z </w:t>
      </w:r>
      <w:r>
        <w:t>lipcem</w:t>
      </w:r>
      <w:r w:rsidRPr="00AA25F5">
        <w:t xml:space="preserve"> ub. </w:t>
      </w:r>
      <w:r w:rsidRPr="00160719">
        <w:t>roku (przed rokiem sprzedaż w tych przedsiębiorstwach zwiększyła się o 8,1% w skali miesiąca, ale jednocześnie zmniejszyła się o 11,9% w stosunku rocznym).</w:t>
      </w:r>
      <w:r w:rsidR="005928D2" w:rsidRPr="000566FC">
        <w:t xml:space="preserve"> </w:t>
      </w:r>
    </w:p>
    <w:p w:rsidR="009F3D46" w:rsidRDefault="00DD4E0F" w:rsidP="005928D2">
      <w:pPr>
        <w:pStyle w:val="tekst"/>
        <w:rPr>
          <w:szCs w:val="19"/>
        </w:rPr>
      </w:pPr>
      <w:r w:rsidRPr="00160719">
        <w:rPr>
          <w:szCs w:val="19"/>
        </w:rPr>
        <w:t>Wartość sprzedaży hurtowej jednostek handlowych zrealizowanej od początku br. zwiększyła się o 11,2% w stosunku do okresu styczeń-lipiec ub. roku, w tym w przedsiębiorstwach handlu hurtowego wzrosła o 13,6% (przed rokiem zanotowano spadek odpowiednio o 1</w:t>
      </w:r>
      <w:r>
        <w:rPr>
          <w:szCs w:val="19"/>
        </w:rPr>
        <w:t>4</w:t>
      </w:r>
      <w:r w:rsidRPr="00160719">
        <w:rPr>
          <w:szCs w:val="19"/>
        </w:rPr>
        <w:t xml:space="preserve">,0% i o </w:t>
      </w:r>
      <w:r>
        <w:rPr>
          <w:szCs w:val="19"/>
        </w:rPr>
        <w:t>18,7</w:t>
      </w:r>
      <w:r w:rsidRPr="00160719">
        <w:rPr>
          <w:szCs w:val="19"/>
        </w:rPr>
        <w:t>%).</w:t>
      </w:r>
    </w:p>
    <w:p w:rsidR="00F46F95" w:rsidRPr="00E42E48" w:rsidRDefault="00F46F95" w:rsidP="00F46F95">
      <w:pPr>
        <w:pStyle w:val="Nagwek1"/>
      </w:pPr>
      <w:bookmarkStart w:id="39" w:name="_Toc73354946"/>
      <w:bookmarkStart w:id="40" w:name="_Toc80797452"/>
      <w:bookmarkStart w:id="41" w:name="_Toc112139093"/>
      <w:bookmarkStart w:id="42" w:name="_Toc143597946"/>
      <w:bookmarkStart w:id="43" w:name="_Toc175515952"/>
      <w:bookmarkStart w:id="44" w:name="_Toc205383518"/>
      <w:r w:rsidRPr="00E42E48">
        <w:t>Wyniki finansowe przedsiębiorstw</w:t>
      </w:r>
      <w:bookmarkEnd w:id="39"/>
      <w:bookmarkEnd w:id="40"/>
      <w:bookmarkEnd w:id="41"/>
      <w:bookmarkEnd w:id="42"/>
      <w:bookmarkEnd w:id="43"/>
      <w:bookmarkEnd w:id="44"/>
    </w:p>
    <w:p w:rsidR="00F46F95" w:rsidRPr="00B2664B" w:rsidRDefault="00F46F95" w:rsidP="00F46F95">
      <w:pPr>
        <w:pStyle w:val="tekst"/>
      </w:pPr>
      <w:r w:rsidRPr="00B2664B">
        <w:t>W 1 półroczu br. badanie finansowe w województwie wielkopolskim objęło 1</w:t>
      </w:r>
      <w:r w:rsidR="00B2664B" w:rsidRPr="00B2664B">
        <w:t>917</w:t>
      </w:r>
      <w:r w:rsidRPr="00B2664B">
        <w:t xml:space="preserve"> przedsiębiorstw niefinansow</w:t>
      </w:r>
      <w:r w:rsidR="00B2664B" w:rsidRPr="00B2664B">
        <w:t>ych</w:t>
      </w:r>
      <w:r w:rsidRPr="00B2664B">
        <w:t xml:space="preserve">. Wyniki finansowe badanych podmiotów były </w:t>
      </w:r>
      <w:r w:rsidR="00B2664B" w:rsidRPr="00B2664B">
        <w:t>gor</w:t>
      </w:r>
      <w:r w:rsidRPr="00B2664B">
        <w:t xml:space="preserve">sze od uzyskanych przed rokiem. </w:t>
      </w:r>
      <w:r w:rsidR="00B2664B" w:rsidRPr="00B2664B">
        <w:t>Mni</w:t>
      </w:r>
      <w:r w:rsidRPr="00B2664B">
        <w:t xml:space="preserve">ej </w:t>
      </w:r>
      <w:r w:rsidR="00B2664B" w:rsidRPr="00B2664B">
        <w:t xml:space="preserve">korzystnie </w:t>
      </w:r>
      <w:r w:rsidRPr="00B2664B">
        <w:t>kształtowały się też podstawowe wskaźniki ekonomiczno-finansowe.</w:t>
      </w:r>
    </w:p>
    <w:p w:rsidR="00F46F95" w:rsidRPr="00B7663D" w:rsidRDefault="00F46F95" w:rsidP="00F46F95">
      <w:pPr>
        <w:pStyle w:val="tekst"/>
      </w:pPr>
      <w:r w:rsidRPr="00FF09A0">
        <w:rPr>
          <w:b/>
        </w:rPr>
        <w:t>Przychody ogółem</w:t>
      </w:r>
      <w:r w:rsidRPr="00FF09A0">
        <w:t xml:space="preserve"> w porównaniu z 1 półroczem ub. roku </w:t>
      </w:r>
      <w:r w:rsidR="00B2664B" w:rsidRPr="00FF09A0">
        <w:t>zwiększy</w:t>
      </w:r>
      <w:r w:rsidRPr="00FF09A0">
        <w:t>ły się o 4,</w:t>
      </w:r>
      <w:r w:rsidR="00B2664B" w:rsidRPr="00FF09A0">
        <w:t>6</w:t>
      </w:r>
      <w:r w:rsidRPr="00FF09A0">
        <w:t xml:space="preserve">%, </w:t>
      </w:r>
      <w:r w:rsidR="00B2664B" w:rsidRPr="00FF09A0">
        <w:t>podczas gdy</w:t>
      </w:r>
      <w:r w:rsidRPr="00FF09A0">
        <w:t xml:space="preserve"> koszty ich uzyskania </w:t>
      </w:r>
      <w:r w:rsidR="00B2664B" w:rsidRPr="00FF09A0">
        <w:t>wzrosły</w:t>
      </w:r>
      <w:r w:rsidRPr="00FF09A0">
        <w:t xml:space="preserve"> o </w:t>
      </w:r>
      <w:r w:rsidR="00B2664B" w:rsidRPr="00FF09A0">
        <w:t>5,4</w:t>
      </w:r>
      <w:r w:rsidRPr="00FF09A0">
        <w:t xml:space="preserve">%. W rezultacie odnotowano </w:t>
      </w:r>
      <w:r w:rsidR="00B2664B" w:rsidRPr="00FF09A0">
        <w:t xml:space="preserve">pogorszenie </w:t>
      </w:r>
      <w:r w:rsidR="005B07F3" w:rsidRPr="00FF09A0">
        <w:t>wskaźnika poziomu kosztów (</w:t>
      </w:r>
      <w:r w:rsidR="00B2664B" w:rsidRPr="00FF09A0">
        <w:t>wzrost o 0,7 p.proc.</w:t>
      </w:r>
      <w:r w:rsidR="005B07F3" w:rsidRPr="00FF09A0">
        <w:t>)</w:t>
      </w:r>
      <w:r w:rsidR="00B2664B" w:rsidRPr="00FF09A0">
        <w:t xml:space="preserve">. </w:t>
      </w:r>
      <w:r w:rsidRPr="00FF09A0">
        <w:t xml:space="preserve">Przychody ze sprzedaży produktów, towarów i materiałów w ciągu roku </w:t>
      </w:r>
      <w:r w:rsidR="005B07F3" w:rsidRPr="00FF09A0">
        <w:t xml:space="preserve">zwiększyły się </w:t>
      </w:r>
      <w:r w:rsidRPr="00FF09A0">
        <w:t>o 4,</w:t>
      </w:r>
      <w:r w:rsidR="00431029">
        <w:t>5</w:t>
      </w:r>
      <w:r w:rsidRPr="00FF09A0">
        <w:t>%, a</w:t>
      </w:r>
      <w:r w:rsidR="005B07F3" w:rsidRPr="00FF09A0">
        <w:t xml:space="preserve"> </w:t>
      </w:r>
      <w:r w:rsidRPr="00FF09A0">
        <w:t xml:space="preserve">koszty tej działalności – o </w:t>
      </w:r>
      <w:r w:rsidR="005B07F3" w:rsidRPr="00FF09A0">
        <w:t>5,4</w:t>
      </w:r>
      <w:r w:rsidRPr="00FF09A0">
        <w:t>%. Wynik finansowy ze sprzedaży produktów, towarów i materiałów okazał się o</w:t>
      </w:r>
      <w:r w:rsidR="005B07F3" w:rsidRPr="00FF09A0">
        <w:t xml:space="preserve"> 9,6</w:t>
      </w:r>
      <w:r w:rsidRPr="00FF09A0">
        <w:t xml:space="preserve">% mniejszy niż przed rokiem, a wskaźnik rentowności sprzedaży obniżył się w tym czasie o </w:t>
      </w:r>
      <w:r w:rsidR="005B07F3" w:rsidRPr="00FF09A0">
        <w:t>0,9</w:t>
      </w:r>
      <w:r w:rsidRPr="00FF09A0">
        <w:t xml:space="preserve"> p.proc. Pozostałe przychody operacyjne w</w:t>
      </w:r>
      <w:r w:rsidR="005B07F3" w:rsidRPr="00FF09A0">
        <w:t xml:space="preserve"> </w:t>
      </w:r>
      <w:r w:rsidRPr="00FF09A0">
        <w:t xml:space="preserve">ciągu roku </w:t>
      </w:r>
      <w:r w:rsidR="00FF09A0" w:rsidRPr="00FF09A0">
        <w:t xml:space="preserve">zwiększyły się </w:t>
      </w:r>
      <w:r w:rsidRPr="00FF09A0">
        <w:t>o 2,</w:t>
      </w:r>
      <w:r w:rsidR="00FF09A0" w:rsidRPr="00FF09A0">
        <w:t>8</w:t>
      </w:r>
      <w:r w:rsidRPr="00FF09A0">
        <w:t>%, p</w:t>
      </w:r>
      <w:r w:rsidR="00FF09A0" w:rsidRPr="00FF09A0">
        <w:t>rzy wzroście</w:t>
      </w:r>
      <w:r w:rsidRPr="00FF09A0">
        <w:t xml:space="preserve"> koszt</w:t>
      </w:r>
      <w:r w:rsidR="00FF09A0" w:rsidRPr="00FF09A0">
        <w:t>ów</w:t>
      </w:r>
      <w:r w:rsidRPr="00FF09A0">
        <w:t xml:space="preserve"> ich uzyskania o </w:t>
      </w:r>
      <w:r w:rsidR="00FF09A0" w:rsidRPr="00FF09A0">
        <w:t>7,3</w:t>
      </w:r>
      <w:r w:rsidRPr="00FF09A0">
        <w:t>%</w:t>
      </w:r>
      <w:r w:rsidR="00B7663D">
        <w:t xml:space="preserve">, co spowodowało pogorszenie </w:t>
      </w:r>
      <w:r w:rsidR="00B7663D" w:rsidRPr="00B7663D">
        <w:t>wyniku na pozostałej działalności operacyjnej</w:t>
      </w:r>
      <w:r w:rsidR="00B7663D">
        <w:t>, który</w:t>
      </w:r>
      <w:r w:rsidR="00B7663D" w:rsidRPr="00B7663D">
        <w:rPr>
          <w:color w:val="FF0000"/>
        </w:rPr>
        <w:t xml:space="preserve"> </w:t>
      </w:r>
      <w:r w:rsidR="00B7663D" w:rsidRPr="00B7663D">
        <w:t>pozostaje ujemny</w:t>
      </w:r>
      <w:r w:rsidRPr="00FF09A0">
        <w:t xml:space="preserve">. W przypadku przychodów finansowych roczny wzrost wyniósł </w:t>
      </w:r>
      <w:r w:rsidR="00FF09A0" w:rsidRPr="00FF09A0">
        <w:t>17,8</w:t>
      </w:r>
      <w:r w:rsidRPr="00FF09A0">
        <w:t>%</w:t>
      </w:r>
      <w:r w:rsidR="00B7663D">
        <w:t>, a</w:t>
      </w:r>
      <w:r w:rsidRPr="00FF09A0">
        <w:t xml:space="preserve"> wobec </w:t>
      </w:r>
      <w:r w:rsidR="00FF09A0" w:rsidRPr="00FF09A0">
        <w:t>minimalnego wzrostu</w:t>
      </w:r>
      <w:r w:rsidRPr="00FF09A0">
        <w:t xml:space="preserve"> kosztów tych operacji </w:t>
      </w:r>
      <w:r w:rsidR="00B7663D">
        <w:t>(</w:t>
      </w:r>
      <w:r w:rsidRPr="00FF09A0">
        <w:t xml:space="preserve">o </w:t>
      </w:r>
      <w:r w:rsidR="00FF09A0" w:rsidRPr="00FF09A0">
        <w:t>0,4</w:t>
      </w:r>
      <w:r w:rsidRPr="00B7663D">
        <w:t>%</w:t>
      </w:r>
      <w:r w:rsidR="00B7663D" w:rsidRPr="00B7663D">
        <w:t>) poprawił się</w:t>
      </w:r>
      <w:r w:rsidRPr="00B7663D">
        <w:t xml:space="preserve"> wynik na operacjach finansowych</w:t>
      </w:r>
      <w:r w:rsidR="00B7663D" w:rsidRPr="00B7663D">
        <w:t>, przyjmując wartość dodatnią</w:t>
      </w:r>
      <w:r w:rsidRPr="00B7663D">
        <w:t>.</w:t>
      </w:r>
    </w:p>
    <w:p w:rsidR="00F46F95" w:rsidRPr="002C24FC" w:rsidRDefault="00F46F95" w:rsidP="00F46F95">
      <w:pPr>
        <w:pStyle w:val="Tytultabeli"/>
      </w:pPr>
      <w:r>
        <w:t>Tablica 12.</w:t>
      </w:r>
      <w:r>
        <w:tab/>
      </w:r>
      <w:r w:rsidRPr="00017750">
        <w:t>Przychody</w:t>
      </w:r>
      <w:r w:rsidRPr="002C24FC">
        <w:t>, koszty i wyniki finansowe przedsiębiorstw niefinansowych</w:t>
      </w:r>
    </w:p>
    <w:tbl>
      <w:tblPr>
        <w:tblW w:w="5000" w:type="pct"/>
        <w:jc w:val="center"/>
        <w:tblBorders>
          <w:top w:val="single" w:sz="4" w:space="0" w:color="522398"/>
          <w:bottom w:val="single" w:sz="4" w:space="0" w:color="522398"/>
          <w:insideH w:val="single" w:sz="4" w:space="0" w:color="522398"/>
          <w:insideV w:val="single" w:sz="4" w:space="0" w:color="522398"/>
        </w:tblBorders>
        <w:tblCellMar>
          <w:top w:w="6" w:type="dxa"/>
          <w:bottom w:w="6" w:type="dxa"/>
        </w:tblCellMar>
        <w:tblLook w:val="0420" w:firstRow="1" w:lastRow="0" w:firstColumn="0" w:lastColumn="0" w:noHBand="0" w:noVBand="1"/>
        <w:tblDescription w:val="Tablica przedstawia podstawowe informacje dotyczące wyników finansowych przedsiębiorstw niefinansowych za okres styczeń-czerwiec w latach 2024 i 2025"/>
      </w:tblPr>
      <w:tblGrid>
        <w:gridCol w:w="5902"/>
        <w:gridCol w:w="2427"/>
        <w:gridCol w:w="2150"/>
      </w:tblGrid>
      <w:tr w:rsidR="00F46F95" w:rsidRPr="000A5C57" w:rsidTr="00F533EA">
        <w:trPr>
          <w:trHeight w:val="286"/>
          <w:jc w:val="center"/>
        </w:trPr>
        <w:tc>
          <w:tcPr>
            <w:tcW w:w="2816" w:type="pct"/>
            <w:vMerge w:val="restart"/>
            <w:tcBorders>
              <w:top w:val="nil"/>
            </w:tcBorders>
            <w:vAlign w:val="center"/>
          </w:tcPr>
          <w:p w:rsidR="00F46F95" w:rsidRPr="000A2521" w:rsidRDefault="00F46F95" w:rsidP="00F533EA">
            <w:pPr>
              <w:pStyle w:val="glowka1"/>
            </w:pPr>
            <w:r w:rsidRPr="000A2521">
              <w:t>Wyszczególnienie</w:t>
            </w:r>
          </w:p>
        </w:tc>
        <w:tc>
          <w:tcPr>
            <w:tcW w:w="1158" w:type="pct"/>
            <w:tcBorders>
              <w:top w:val="nil"/>
            </w:tcBorders>
            <w:vAlign w:val="center"/>
          </w:tcPr>
          <w:p w:rsidR="00F46F95" w:rsidRPr="000A2521" w:rsidRDefault="00F46F95" w:rsidP="00F46F95">
            <w:pPr>
              <w:pStyle w:val="glowka1"/>
            </w:pPr>
            <w:r>
              <w:t>01</w:t>
            </w:r>
            <w:r w:rsidRPr="000A2521">
              <w:t>-</w:t>
            </w:r>
            <w:r>
              <w:t>06</w:t>
            </w:r>
            <w:r w:rsidRPr="000A2521">
              <w:t xml:space="preserve"> 20</w:t>
            </w:r>
            <w:r>
              <w:t>24</w:t>
            </w:r>
          </w:p>
        </w:tc>
        <w:tc>
          <w:tcPr>
            <w:tcW w:w="1026" w:type="pct"/>
            <w:tcBorders>
              <w:top w:val="nil"/>
            </w:tcBorders>
            <w:vAlign w:val="center"/>
          </w:tcPr>
          <w:p w:rsidR="00F46F95" w:rsidRPr="000A2521" w:rsidRDefault="00F46F95" w:rsidP="00F46F95">
            <w:pPr>
              <w:pStyle w:val="glowka1"/>
            </w:pPr>
            <w:r>
              <w:t>01</w:t>
            </w:r>
            <w:r w:rsidRPr="000A2521">
              <w:t>-</w:t>
            </w:r>
            <w:r>
              <w:t>06</w:t>
            </w:r>
            <w:r w:rsidRPr="000A2521">
              <w:t xml:space="preserve"> 20</w:t>
            </w:r>
            <w:r>
              <w:t>25</w:t>
            </w:r>
          </w:p>
        </w:tc>
      </w:tr>
      <w:tr w:rsidR="00F46F95" w:rsidRPr="000A5C57" w:rsidTr="00F533EA">
        <w:trPr>
          <w:trHeight w:val="57"/>
          <w:jc w:val="center"/>
        </w:trPr>
        <w:tc>
          <w:tcPr>
            <w:tcW w:w="2816" w:type="pct"/>
            <w:vMerge/>
            <w:tcBorders>
              <w:bottom w:val="single" w:sz="12" w:space="0" w:color="522398"/>
            </w:tcBorders>
            <w:vAlign w:val="center"/>
          </w:tcPr>
          <w:p w:rsidR="00F46F95" w:rsidRPr="000A2521" w:rsidRDefault="00F46F95" w:rsidP="00F533EA">
            <w:pPr>
              <w:pStyle w:val="glowka1"/>
            </w:pPr>
          </w:p>
        </w:tc>
        <w:tc>
          <w:tcPr>
            <w:tcW w:w="2184" w:type="pct"/>
            <w:gridSpan w:val="2"/>
            <w:tcBorders>
              <w:bottom w:val="single" w:sz="12" w:space="0" w:color="522398"/>
            </w:tcBorders>
            <w:vAlign w:val="center"/>
          </w:tcPr>
          <w:p w:rsidR="00F46F95" w:rsidRPr="000A2521" w:rsidRDefault="00F46F95" w:rsidP="00F533EA">
            <w:pPr>
              <w:pStyle w:val="glowka1"/>
            </w:pPr>
            <w:r w:rsidRPr="000A2521">
              <w:t>w mln zł</w:t>
            </w:r>
          </w:p>
        </w:tc>
      </w:tr>
      <w:tr w:rsidR="00AC7AD2" w:rsidRPr="000A5C57" w:rsidTr="00E87D64">
        <w:trPr>
          <w:trHeight w:val="255"/>
          <w:jc w:val="center"/>
        </w:trPr>
        <w:tc>
          <w:tcPr>
            <w:tcW w:w="2816" w:type="pct"/>
            <w:tcBorders>
              <w:top w:val="single" w:sz="12" w:space="0" w:color="522398"/>
            </w:tcBorders>
            <w:vAlign w:val="bottom"/>
          </w:tcPr>
          <w:p w:rsidR="00AC7AD2" w:rsidRPr="000A2521" w:rsidRDefault="00AC7AD2" w:rsidP="00AC7AD2">
            <w:pPr>
              <w:pStyle w:val="boczek1"/>
            </w:pPr>
            <w:r w:rsidRPr="0029679F">
              <w:t xml:space="preserve">Przychody </w:t>
            </w:r>
            <w:r>
              <w:t>ogółem (</w:t>
            </w:r>
            <w:r w:rsidRPr="0029679F">
              <w:t>przychody z całokształtu działalności</w:t>
            </w:r>
            <w:r>
              <w:t>)</w:t>
            </w:r>
          </w:p>
        </w:tc>
        <w:tc>
          <w:tcPr>
            <w:tcW w:w="1158" w:type="pct"/>
            <w:tcBorders>
              <w:top w:val="single" w:sz="12" w:space="0" w:color="522398"/>
            </w:tcBorders>
            <w:vAlign w:val="bottom"/>
          </w:tcPr>
          <w:p w:rsidR="00AC7AD2" w:rsidRPr="00AC7AD2" w:rsidRDefault="00AC7AD2" w:rsidP="00AC7AD2">
            <w:pPr>
              <w:pStyle w:val="tableteksttab"/>
            </w:pPr>
            <w:r w:rsidRPr="00AC7AD2">
              <w:t>337718,6</w:t>
            </w:r>
          </w:p>
        </w:tc>
        <w:tc>
          <w:tcPr>
            <w:tcW w:w="1026" w:type="pct"/>
            <w:tcBorders>
              <w:top w:val="single" w:sz="12" w:space="0" w:color="522398"/>
            </w:tcBorders>
            <w:vAlign w:val="bottom"/>
          </w:tcPr>
          <w:p w:rsidR="00AC7AD2" w:rsidRPr="00AC7AD2" w:rsidRDefault="00AC7AD2" w:rsidP="00AC7AD2">
            <w:pPr>
              <w:pStyle w:val="tableteksttab"/>
            </w:pPr>
            <w:r w:rsidRPr="00AC7AD2">
              <w:t>353408,5</w:t>
            </w:r>
          </w:p>
        </w:tc>
      </w:tr>
      <w:tr w:rsidR="00AC7AD2" w:rsidRPr="000A5C57" w:rsidTr="00E87D64">
        <w:trPr>
          <w:trHeight w:val="255"/>
          <w:jc w:val="center"/>
        </w:trPr>
        <w:tc>
          <w:tcPr>
            <w:tcW w:w="2816" w:type="pct"/>
            <w:vAlign w:val="bottom"/>
          </w:tcPr>
          <w:p w:rsidR="00AC7AD2" w:rsidRPr="000A2521" w:rsidRDefault="00AC7AD2" w:rsidP="00AC7AD2">
            <w:pPr>
              <w:pStyle w:val="boczek2"/>
            </w:pPr>
            <w:r w:rsidRPr="000A2521">
              <w:t xml:space="preserve">w tym przychody </w:t>
            </w:r>
            <w:r>
              <w:t xml:space="preserve">netto </w:t>
            </w:r>
            <w:r w:rsidRPr="000A2521">
              <w:t>ze sprzedaży produktów, towarów i materiałów</w:t>
            </w:r>
          </w:p>
        </w:tc>
        <w:tc>
          <w:tcPr>
            <w:tcW w:w="1158" w:type="pct"/>
            <w:vAlign w:val="bottom"/>
          </w:tcPr>
          <w:p w:rsidR="00AC7AD2" w:rsidRPr="00AC7AD2" w:rsidRDefault="00AC7AD2" w:rsidP="00AC7AD2">
            <w:pPr>
              <w:pStyle w:val="tableteksttab"/>
            </w:pPr>
            <w:r w:rsidRPr="00AC7AD2">
              <w:t>331131,1</w:t>
            </w:r>
          </w:p>
        </w:tc>
        <w:tc>
          <w:tcPr>
            <w:tcW w:w="1026" w:type="pct"/>
            <w:vAlign w:val="bottom"/>
          </w:tcPr>
          <w:p w:rsidR="00AC7AD2" w:rsidRPr="00AC7AD2" w:rsidRDefault="00AC7AD2" w:rsidP="00AC7AD2">
            <w:pPr>
              <w:pStyle w:val="tableteksttab"/>
            </w:pPr>
            <w:r w:rsidRPr="00AC7AD2">
              <w:t>346113,3</w:t>
            </w:r>
          </w:p>
        </w:tc>
      </w:tr>
      <w:tr w:rsidR="00AC7AD2" w:rsidRPr="000A5C57" w:rsidTr="00E87D64">
        <w:trPr>
          <w:trHeight w:val="255"/>
          <w:jc w:val="center"/>
        </w:trPr>
        <w:tc>
          <w:tcPr>
            <w:tcW w:w="2816" w:type="pct"/>
            <w:vAlign w:val="bottom"/>
          </w:tcPr>
          <w:p w:rsidR="00AC7AD2" w:rsidRPr="000A2521" w:rsidRDefault="00AC7AD2" w:rsidP="00AC7AD2">
            <w:pPr>
              <w:pStyle w:val="boczek1"/>
            </w:pPr>
            <w:r w:rsidRPr="0029679F">
              <w:t xml:space="preserve">Koszty </w:t>
            </w:r>
            <w:r>
              <w:t>ogółem (</w:t>
            </w:r>
            <w:r w:rsidRPr="0029679F">
              <w:t>koszt</w:t>
            </w:r>
            <w:r>
              <w:t>y</w:t>
            </w:r>
            <w:r w:rsidRPr="0029679F">
              <w:t xml:space="preserve"> uzyskania przychodów z całokształtu działalności</w:t>
            </w:r>
            <w:r>
              <w:t>)</w:t>
            </w:r>
          </w:p>
        </w:tc>
        <w:tc>
          <w:tcPr>
            <w:tcW w:w="1158" w:type="pct"/>
            <w:vAlign w:val="bottom"/>
          </w:tcPr>
          <w:p w:rsidR="00AC7AD2" w:rsidRPr="00AC7AD2" w:rsidRDefault="00AC7AD2" w:rsidP="00AC7AD2">
            <w:pPr>
              <w:pStyle w:val="tableteksttab"/>
            </w:pPr>
            <w:r w:rsidRPr="00AC7AD2">
              <w:t>318112,1</w:t>
            </w:r>
          </w:p>
        </w:tc>
        <w:tc>
          <w:tcPr>
            <w:tcW w:w="1026" w:type="pct"/>
            <w:vAlign w:val="bottom"/>
          </w:tcPr>
          <w:p w:rsidR="00AC7AD2" w:rsidRPr="00AC7AD2" w:rsidRDefault="00AC7AD2" w:rsidP="00AC7AD2">
            <w:pPr>
              <w:pStyle w:val="tableteksttab"/>
            </w:pPr>
            <w:r w:rsidRPr="00AC7AD2">
              <w:t>335266,0</w:t>
            </w:r>
          </w:p>
        </w:tc>
      </w:tr>
      <w:tr w:rsidR="00AC7AD2" w:rsidRPr="000A5C57" w:rsidTr="00E87D64">
        <w:trPr>
          <w:trHeight w:val="255"/>
          <w:jc w:val="center"/>
        </w:trPr>
        <w:tc>
          <w:tcPr>
            <w:tcW w:w="2816" w:type="pct"/>
            <w:vAlign w:val="bottom"/>
          </w:tcPr>
          <w:p w:rsidR="00AC7AD2" w:rsidRPr="000A2521" w:rsidRDefault="00AC7AD2" w:rsidP="00AC7AD2">
            <w:pPr>
              <w:pStyle w:val="boczek2"/>
            </w:pPr>
            <w:r w:rsidRPr="0029679F">
              <w:t>w tym koszt</w:t>
            </w:r>
            <w:r>
              <w:t>y</w:t>
            </w:r>
            <w:r w:rsidRPr="0029679F">
              <w:t xml:space="preserve"> sprzedanych produktów</w:t>
            </w:r>
            <w:r>
              <w:t>,</w:t>
            </w:r>
            <w:r w:rsidRPr="0029679F">
              <w:t xml:space="preserve"> towarów i materiałów</w:t>
            </w:r>
          </w:p>
        </w:tc>
        <w:tc>
          <w:tcPr>
            <w:tcW w:w="1158" w:type="pct"/>
            <w:vAlign w:val="bottom"/>
          </w:tcPr>
          <w:p w:rsidR="00AC7AD2" w:rsidRPr="00AC7AD2" w:rsidRDefault="00AC7AD2" w:rsidP="00AC7AD2">
            <w:pPr>
              <w:pStyle w:val="tableteksttab"/>
            </w:pPr>
            <w:r w:rsidRPr="00AC7AD2">
              <w:t>311079,3</w:t>
            </w:r>
          </w:p>
        </w:tc>
        <w:tc>
          <w:tcPr>
            <w:tcW w:w="1026" w:type="pct"/>
            <w:vAlign w:val="bottom"/>
          </w:tcPr>
          <w:p w:rsidR="00AC7AD2" w:rsidRPr="00AC7AD2" w:rsidRDefault="00AC7AD2" w:rsidP="00AC7AD2">
            <w:pPr>
              <w:pStyle w:val="tableteksttab"/>
            </w:pPr>
            <w:r w:rsidRPr="00AC7AD2">
              <w:t>327984,6</w:t>
            </w:r>
          </w:p>
        </w:tc>
      </w:tr>
      <w:tr w:rsidR="00AC7AD2" w:rsidRPr="000A5C57" w:rsidTr="00E87D64">
        <w:trPr>
          <w:trHeight w:val="255"/>
          <w:jc w:val="center"/>
        </w:trPr>
        <w:tc>
          <w:tcPr>
            <w:tcW w:w="2816" w:type="pct"/>
            <w:vAlign w:val="bottom"/>
          </w:tcPr>
          <w:p w:rsidR="00AC7AD2" w:rsidRPr="000A2521" w:rsidRDefault="00AC7AD2" w:rsidP="00AC7AD2">
            <w:pPr>
              <w:pStyle w:val="boczek1"/>
            </w:pPr>
            <w:r w:rsidRPr="000A2521">
              <w:t>Wynik ze sprzedaży produktów, towarów i materiałów</w:t>
            </w:r>
          </w:p>
        </w:tc>
        <w:tc>
          <w:tcPr>
            <w:tcW w:w="1158" w:type="pct"/>
            <w:vAlign w:val="bottom"/>
          </w:tcPr>
          <w:p w:rsidR="00AC7AD2" w:rsidRPr="00AC7AD2" w:rsidRDefault="00AC7AD2" w:rsidP="00AC7AD2">
            <w:pPr>
              <w:pStyle w:val="tableteksttab"/>
            </w:pPr>
            <w:r w:rsidRPr="00AC7AD2">
              <w:t>20051,9</w:t>
            </w:r>
          </w:p>
        </w:tc>
        <w:tc>
          <w:tcPr>
            <w:tcW w:w="1026" w:type="pct"/>
            <w:vAlign w:val="bottom"/>
          </w:tcPr>
          <w:p w:rsidR="00AC7AD2" w:rsidRPr="00AC7AD2" w:rsidRDefault="00AC7AD2" w:rsidP="00AC7AD2">
            <w:pPr>
              <w:pStyle w:val="tableteksttab"/>
            </w:pPr>
            <w:r w:rsidRPr="00AC7AD2">
              <w:t>18128,7</w:t>
            </w:r>
          </w:p>
        </w:tc>
      </w:tr>
      <w:tr w:rsidR="00AC7AD2" w:rsidRPr="000A5C57" w:rsidTr="00E87D64">
        <w:trPr>
          <w:trHeight w:val="255"/>
          <w:jc w:val="center"/>
        </w:trPr>
        <w:tc>
          <w:tcPr>
            <w:tcW w:w="2816" w:type="pct"/>
            <w:vAlign w:val="bottom"/>
          </w:tcPr>
          <w:p w:rsidR="00AC7AD2" w:rsidRPr="000A2521" w:rsidRDefault="00AC7AD2" w:rsidP="00AC7AD2">
            <w:pPr>
              <w:pStyle w:val="boczek1"/>
            </w:pPr>
            <w:r w:rsidRPr="000A2521">
              <w:t>Wynik na pozostałej działalności operacyjnej</w:t>
            </w:r>
          </w:p>
        </w:tc>
        <w:tc>
          <w:tcPr>
            <w:tcW w:w="1158" w:type="pct"/>
            <w:vAlign w:val="bottom"/>
          </w:tcPr>
          <w:p w:rsidR="00AC7AD2" w:rsidRPr="00AC7AD2" w:rsidRDefault="00AC7AD2" w:rsidP="00AC7AD2">
            <w:pPr>
              <w:pStyle w:val="tableteksttab"/>
            </w:pPr>
            <w:r w:rsidRPr="00AC7AD2">
              <w:t>-63,6</w:t>
            </w:r>
          </w:p>
        </w:tc>
        <w:tc>
          <w:tcPr>
            <w:tcW w:w="1026" w:type="pct"/>
            <w:vAlign w:val="bottom"/>
          </w:tcPr>
          <w:p w:rsidR="00AC7AD2" w:rsidRPr="00AC7AD2" w:rsidRDefault="00AC7AD2" w:rsidP="00AC7AD2">
            <w:pPr>
              <w:pStyle w:val="tableteksttab"/>
            </w:pPr>
            <w:r w:rsidRPr="00AC7AD2">
              <w:t>-208,8</w:t>
            </w:r>
          </w:p>
        </w:tc>
      </w:tr>
      <w:tr w:rsidR="00AC7AD2" w:rsidRPr="000A5C57" w:rsidTr="00E87D64">
        <w:trPr>
          <w:trHeight w:val="255"/>
          <w:jc w:val="center"/>
        </w:trPr>
        <w:tc>
          <w:tcPr>
            <w:tcW w:w="2816" w:type="pct"/>
            <w:vAlign w:val="bottom"/>
          </w:tcPr>
          <w:p w:rsidR="00AC7AD2" w:rsidRPr="000A2521" w:rsidRDefault="00AC7AD2" w:rsidP="00AC7AD2">
            <w:pPr>
              <w:pStyle w:val="boczek1"/>
            </w:pPr>
            <w:r w:rsidRPr="000A2521">
              <w:t>Wynik na operacjach finansowych</w:t>
            </w:r>
          </w:p>
        </w:tc>
        <w:tc>
          <w:tcPr>
            <w:tcW w:w="1158" w:type="pct"/>
            <w:vAlign w:val="bottom"/>
          </w:tcPr>
          <w:p w:rsidR="00AC7AD2" w:rsidRPr="00AC7AD2" w:rsidRDefault="00AC7AD2" w:rsidP="00AC7AD2">
            <w:pPr>
              <w:pStyle w:val="tableteksttab"/>
            </w:pPr>
            <w:r w:rsidRPr="00AC7AD2">
              <w:t>-381,8</w:t>
            </w:r>
          </w:p>
        </w:tc>
        <w:tc>
          <w:tcPr>
            <w:tcW w:w="1026" w:type="pct"/>
            <w:vAlign w:val="bottom"/>
          </w:tcPr>
          <w:p w:rsidR="00AC7AD2" w:rsidRPr="00AC7AD2" w:rsidRDefault="00AC7AD2" w:rsidP="00AC7AD2">
            <w:pPr>
              <w:pStyle w:val="tableteksttab"/>
            </w:pPr>
            <w:r w:rsidRPr="00AC7AD2">
              <w:t>222,5</w:t>
            </w:r>
          </w:p>
        </w:tc>
      </w:tr>
      <w:tr w:rsidR="00AC7AD2" w:rsidRPr="000A5C57" w:rsidTr="00E87D64">
        <w:trPr>
          <w:trHeight w:val="255"/>
          <w:jc w:val="center"/>
        </w:trPr>
        <w:tc>
          <w:tcPr>
            <w:tcW w:w="2816" w:type="pct"/>
            <w:vAlign w:val="bottom"/>
          </w:tcPr>
          <w:p w:rsidR="00AC7AD2" w:rsidRPr="000A2521" w:rsidRDefault="00AC7AD2" w:rsidP="00AC7AD2">
            <w:pPr>
              <w:pStyle w:val="boczek1"/>
            </w:pPr>
            <w:r w:rsidRPr="000A2521">
              <w:t>Wynik finansowy brutto</w:t>
            </w:r>
          </w:p>
        </w:tc>
        <w:tc>
          <w:tcPr>
            <w:tcW w:w="1158" w:type="pct"/>
            <w:vAlign w:val="bottom"/>
          </w:tcPr>
          <w:p w:rsidR="00AC7AD2" w:rsidRPr="00AC7AD2" w:rsidRDefault="00AC7AD2" w:rsidP="00AC7AD2">
            <w:pPr>
              <w:pStyle w:val="tableteksttab"/>
            </w:pPr>
            <w:r w:rsidRPr="00AC7AD2">
              <w:t>19606,5</w:t>
            </w:r>
          </w:p>
        </w:tc>
        <w:tc>
          <w:tcPr>
            <w:tcW w:w="1026" w:type="pct"/>
            <w:vAlign w:val="bottom"/>
          </w:tcPr>
          <w:p w:rsidR="00AC7AD2" w:rsidRPr="00AC7AD2" w:rsidRDefault="00AC7AD2" w:rsidP="00AC7AD2">
            <w:pPr>
              <w:pStyle w:val="tableteksttab"/>
            </w:pPr>
            <w:r w:rsidRPr="00AC7AD2">
              <w:t>18142,4</w:t>
            </w:r>
          </w:p>
        </w:tc>
      </w:tr>
      <w:tr w:rsidR="00AC7AD2" w:rsidRPr="000A5C57" w:rsidTr="00E87D64">
        <w:trPr>
          <w:trHeight w:val="255"/>
          <w:jc w:val="center"/>
        </w:trPr>
        <w:tc>
          <w:tcPr>
            <w:tcW w:w="2816" w:type="pct"/>
            <w:vAlign w:val="bottom"/>
          </w:tcPr>
          <w:p w:rsidR="00AC7AD2" w:rsidRPr="000A2521" w:rsidRDefault="00AC7AD2" w:rsidP="00AC7AD2">
            <w:pPr>
              <w:pStyle w:val="boczek1"/>
            </w:pPr>
            <w:r w:rsidRPr="000A2521">
              <w:t>Wynik finansowy netto</w:t>
            </w:r>
          </w:p>
        </w:tc>
        <w:tc>
          <w:tcPr>
            <w:tcW w:w="1158" w:type="pct"/>
            <w:vAlign w:val="bottom"/>
          </w:tcPr>
          <w:p w:rsidR="00AC7AD2" w:rsidRPr="00AC7AD2" w:rsidRDefault="00AC7AD2" w:rsidP="00AC7AD2">
            <w:pPr>
              <w:pStyle w:val="tableteksttab"/>
            </w:pPr>
            <w:r w:rsidRPr="00AC7AD2">
              <w:t>16353,2</w:t>
            </w:r>
          </w:p>
        </w:tc>
        <w:tc>
          <w:tcPr>
            <w:tcW w:w="1026" w:type="pct"/>
            <w:vAlign w:val="bottom"/>
          </w:tcPr>
          <w:p w:rsidR="00AC7AD2" w:rsidRPr="00AC7AD2" w:rsidRDefault="00AC7AD2" w:rsidP="00AC7AD2">
            <w:pPr>
              <w:pStyle w:val="tableteksttab"/>
            </w:pPr>
            <w:r w:rsidRPr="00AC7AD2">
              <w:t>14779,0</w:t>
            </w:r>
          </w:p>
        </w:tc>
      </w:tr>
      <w:tr w:rsidR="00AC7AD2" w:rsidRPr="000A5C57" w:rsidTr="00E87D64">
        <w:trPr>
          <w:trHeight w:val="255"/>
          <w:jc w:val="center"/>
        </w:trPr>
        <w:tc>
          <w:tcPr>
            <w:tcW w:w="2816" w:type="pct"/>
            <w:tcBorders>
              <w:bottom w:val="single" w:sz="4" w:space="0" w:color="522398"/>
            </w:tcBorders>
            <w:vAlign w:val="bottom"/>
          </w:tcPr>
          <w:p w:rsidR="00AC7AD2" w:rsidRPr="000A2521" w:rsidRDefault="00AC7AD2" w:rsidP="00AC7AD2">
            <w:pPr>
              <w:pStyle w:val="boczek2"/>
            </w:pPr>
            <w:r w:rsidRPr="000A2521">
              <w:t>zysk netto</w:t>
            </w:r>
          </w:p>
        </w:tc>
        <w:tc>
          <w:tcPr>
            <w:tcW w:w="1158" w:type="pct"/>
            <w:tcBorders>
              <w:bottom w:val="single" w:sz="4" w:space="0" w:color="522398"/>
            </w:tcBorders>
            <w:vAlign w:val="bottom"/>
          </w:tcPr>
          <w:p w:rsidR="00AC7AD2" w:rsidRPr="00AC7AD2" w:rsidRDefault="00AC7AD2" w:rsidP="00AC7AD2">
            <w:pPr>
              <w:pStyle w:val="tableteksttab"/>
            </w:pPr>
            <w:r w:rsidRPr="00AC7AD2">
              <w:t>18955,4</w:t>
            </w:r>
          </w:p>
        </w:tc>
        <w:tc>
          <w:tcPr>
            <w:tcW w:w="1026" w:type="pct"/>
            <w:tcBorders>
              <w:bottom w:val="single" w:sz="4" w:space="0" w:color="522398"/>
            </w:tcBorders>
            <w:vAlign w:val="bottom"/>
          </w:tcPr>
          <w:p w:rsidR="00AC7AD2" w:rsidRPr="00AC7AD2" w:rsidRDefault="00AC7AD2" w:rsidP="00AC7AD2">
            <w:pPr>
              <w:pStyle w:val="tableteksttab"/>
            </w:pPr>
            <w:r w:rsidRPr="00AC7AD2">
              <w:t>17004,0</w:t>
            </w:r>
          </w:p>
        </w:tc>
      </w:tr>
      <w:tr w:rsidR="00AC7AD2" w:rsidRPr="000A5C57" w:rsidTr="00E87D64">
        <w:trPr>
          <w:trHeight w:val="255"/>
          <w:jc w:val="center"/>
        </w:trPr>
        <w:tc>
          <w:tcPr>
            <w:tcW w:w="2816" w:type="pct"/>
            <w:tcBorders>
              <w:bottom w:val="nil"/>
            </w:tcBorders>
            <w:vAlign w:val="bottom"/>
          </w:tcPr>
          <w:p w:rsidR="00AC7AD2" w:rsidRPr="000A2521" w:rsidRDefault="00AC7AD2" w:rsidP="00AC7AD2">
            <w:pPr>
              <w:pStyle w:val="boczek2"/>
            </w:pPr>
            <w:r w:rsidRPr="000A2521">
              <w:t>strata netto</w:t>
            </w:r>
          </w:p>
        </w:tc>
        <w:tc>
          <w:tcPr>
            <w:tcW w:w="1158" w:type="pct"/>
            <w:tcBorders>
              <w:bottom w:val="nil"/>
            </w:tcBorders>
            <w:vAlign w:val="bottom"/>
          </w:tcPr>
          <w:p w:rsidR="00AC7AD2" w:rsidRPr="00AC7AD2" w:rsidRDefault="00AC7AD2" w:rsidP="00AC7AD2">
            <w:pPr>
              <w:pStyle w:val="tableteksttab"/>
            </w:pPr>
            <w:r w:rsidRPr="00AC7AD2">
              <w:t>2602,2</w:t>
            </w:r>
          </w:p>
        </w:tc>
        <w:tc>
          <w:tcPr>
            <w:tcW w:w="1026" w:type="pct"/>
            <w:tcBorders>
              <w:bottom w:val="nil"/>
            </w:tcBorders>
            <w:vAlign w:val="bottom"/>
          </w:tcPr>
          <w:p w:rsidR="00AC7AD2" w:rsidRPr="00AC7AD2" w:rsidRDefault="00AC7AD2" w:rsidP="00AC7AD2">
            <w:pPr>
              <w:pStyle w:val="tableteksttab"/>
            </w:pPr>
            <w:r w:rsidRPr="00AC7AD2">
              <w:t>2225,0</w:t>
            </w:r>
          </w:p>
        </w:tc>
      </w:tr>
    </w:tbl>
    <w:p w:rsidR="00F46F95" w:rsidRPr="00784445" w:rsidRDefault="00F46F95" w:rsidP="00F46F95">
      <w:pPr>
        <w:pStyle w:val="tekst"/>
        <w:spacing w:before="360" w:after="240"/>
      </w:pPr>
      <w:r w:rsidRPr="00784445">
        <w:rPr>
          <w:b/>
        </w:rPr>
        <w:t>Wynik finansowy brutto</w:t>
      </w:r>
      <w:r w:rsidRPr="00784445">
        <w:t xml:space="preserve"> w 1 półroczu br. ukształtował się na poziomie 1</w:t>
      </w:r>
      <w:r w:rsidR="00CA2EF5" w:rsidRPr="00784445">
        <w:t>8142,4</w:t>
      </w:r>
      <w:r w:rsidRPr="00784445">
        <w:t xml:space="preserve"> mln zł, tj. o </w:t>
      </w:r>
      <w:r w:rsidR="00CA2EF5" w:rsidRPr="00784445">
        <w:t>7,5</w:t>
      </w:r>
      <w:r w:rsidRPr="00784445">
        <w:t>% niżej niż przed rokiem. Po odliczeniu podatku dochodowego (33</w:t>
      </w:r>
      <w:r w:rsidR="00CA2EF5" w:rsidRPr="00784445">
        <w:t>63</w:t>
      </w:r>
      <w:r w:rsidR="00784445" w:rsidRPr="00784445">
        <w:t>,4</w:t>
      </w:r>
      <w:r w:rsidRPr="00784445">
        <w:t xml:space="preserve"> mln zł) </w:t>
      </w:r>
      <w:r w:rsidRPr="00784445">
        <w:rPr>
          <w:b/>
        </w:rPr>
        <w:t>wynik finansowy netto</w:t>
      </w:r>
      <w:r w:rsidRPr="00784445">
        <w:t xml:space="preserve"> wyniósł 1</w:t>
      </w:r>
      <w:r w:rsidR="00784445" w:rsidRPr="00784445">
        <w:t>4779</w:t>
      </w:r>
      <w:r w:rsidRPr="00784445">
        <w:t>,</w:t>
      </w:r>
      <w:r w:rsidR="00784445" w:rsidRPr="00784445">
        <w:t xml:space="preserve">0 mln zł, tj. </w:t>
      </w:r>
      <w:r w:rsidRPr="00784445">
        <w:t>9,</w:t>
      </w:r>
      <w:r w:rsidR="00784445" w:rsidRPr="00784445">
        <w:t>6</w:t>
      </w:r>
      <w:r w:rsidRPr="00784445">
        <w:t>% mniej niż przed rokiem. Zysk netto w ciągu roku zmniejszył się o 1</w:t>
      </w:r>
      <w:r w:rsidR="00784445" w:rsidRPr="00784445">
        <w:t>0,3</w:t>
      </w:r>
      <w:r w:rsidRPr="00784445">
        <w:t xml:space="preserve">%, natomiast strata netto </w:t>
      </w:r>
      <w:r w:rsidR="00784445" w:rsidRPr="00784445">
        <w:t>–</w:t>
      </w:r>
      <w:r w:rsidRPr="00784445">
        <w:t xml:space="preserve"> o </w:t>
      </w:r>
      <w:r w:rsidR="00784445" w:rsidRPr="00784445">
        <w:t>14,5</w:t>
      </w:r>
      <w:r w:rsidRPr="00784445">
        <w:t>%. Zysk netto wykazało 7</w:t>
      </w:r>
      <w:r w:rsidR="00784445" w:rsidRPr="00784445">
        <w:t>3,0</w:t>
      </w:r>
      <w:r w:rsidRPr="00784445">
        <w:t xml:space="preserve">% przedsiębiorstw </w:t>
      </w:r>
      <w:r w:rsidR="00784445" w:rsidRPr="00784445">
        <w:t>(72,5</w:t>
      </w:r>
      <w:r w:rsidRPr="00784445">
        <w:t>% w 1 półroczu ub. roku). Przychody uzyskane przez te przedsiębiorstwa stanowiły 8</w:t>
      </w:r>
      <w:r w:rsidR="00784445" w:rsidRPr="00784445">
        <w:t>1,9</w:t>
      </w:r>
      <w:r w:rsidRPr="00784445">
        <w:t xml:space="preserve">% całkowitych przychodów z całokształtu działalności (wobec </w:t>
      </w:r>
      <w:r w:rsidR="00784445" w:rsidRPr="00784445">
        <w:t>88,7</w:t>
      </w:r>
      <w:r w:rsidRPr="00784445">
        <w:t>% przed rokiem). W przetwórstwie przemysłowym zysk netto wykazało 72,</w:t>
      </w:r>
      <w:r w:rsidR="00784445" w:rsidRPr="00784445">
        <w:t>0</w:t>
      </w:r>
      <w:r w:rsidRPr="00784445">
        <w:t>% przedsiębiorstw (</w:t>
      </w:r>
      <w:r w:rsidR="00784445" w:rsidRPr="00784445">
        <w:t>72,4</w:t>
      </w:r>
      <w:r w:rsidRPr="00784445">
        <w:t>% w 1 półroczu ub. roku), a ich udział w przychodach tej sekcji wyniósł 8</w:t>
      </w:r>
      <w:r w:rsidR="00784445" w:rsidRPr="00784445">
        <w:t>2,8</w:t>
      </w:r>
      <w:r w:rsidRPr="00784445">
        <w:t xml:space="preserve">% (wobec </w:t>
      </w:r>
      <w:r w:rsidR="00784445" w:rsidRPr="00784445">
        <w:t>85,5</w:t>
      </w:r>
      <w:r w:rsidRPr="00784445">
        <w:t xml:space="preserve">% przed rokiem). </w:t>
      </w:r>
    </w:p>
    <w:p w:rsidR="00F46F95" w:rsidRPr="00784445" w:rsidRDefault="00F46F95" w:rsidP="00F46F95">
      <w:pPr>
        <w:pStyle w:val="tekst"/>
        <w:spacing w:before="360" w:after="240"/>
      </w:pPr>
      <w:r>
        <w:rPr>
          <w:color w:val="FF0000"/>
        </w:rPr>
        <w:br w:type="page"/>
      </w:r>
    </w:p>
    <w:p w:rsidR="00F46F95" w:rsidRPr="007D22D0" w:rsidRDefault="00F46F95" w:rsidP="00F46F95">
      <w:pPr>
        <w:pStyle w:val="Tytultabeli"/>
        <w:tabs>
          <w:tab w:val="clear" w:pos="170"/>
          <w:tab w:val="clear" w:pos="340"/>
          <w:tab w:val="clear" w:pos="510"/>
          <w:tab w:val="clear" w:pos="680"/>
          <w:tab w:val="clear" w:pos="964"/>
          <w:tab w:val="clear" w:pos="1021"/>
          <w:tab w:val="clear" w:pos="1191"/>
          <w:tab w:val="clear" w:pos="1361"/>
          <w:tab w:val="clear" w:pos="1531"/>
          <w:tab w:val="clear" w:pos="1701"/>
          <w:tab w:val="clear" w:pos="1871"/>
          <w:tab w:val="clear" w:pos="2041"/>
          <w:tab w:val="clear" w:pos="2211"/>
          <w:tab w:val="clear" w:pos="2381"/>
          <w:tab w:val="clear" w:pos="2551"/>
          <w:tab w:val="clear" w:pos="2721"/>
          <w:tab w:val="left" w:pos="992"/>
          <w:tab w:val="left" w:pos="1134"/>
        </w:tabs>
        <w:spacing w:before="0" w:after="0"/>
        <w:ind w:left="0" w:firstLine="0"/>
      </w:pPr>
      <w:r>
        <w:lastRenderedPageBreak/>
        <w:t>Tablica 13.</w:t>
      </w:r>
      <w:r>
        <w:tab/>
      </w:r>
      <w:r w:rsidRPr="007D22D0">
        <w:t>Podstawowe wskaźniki ekonomiczno-finansowe</w:t>
      </w:r>
    </w:p>
    <w:tbl>
      <w:tblPr>
        <w:tblW w:w="5000" w:type="pct"/>
        <w:jc w:val="center"/>
        <w:tblBorders>
          <w:top w:val="single" w:sz="4" w:space="0" w:color="522398"/>
          <w:bottom w:val="single" w:sz="4" w:space="0" w:color="522398"/>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ezentuje podstawowe wskaźniki ekonomiczno-finansowe uzyskane przez przedsiębiorstwa niefinansowe w okresie styczeń-czerwiec w latach 2024&#10; i 2025"/>
      </w:tblPr>
      <w:tblGrid>
        <w:gridCol w:w="6030"/>
        <w:gridCol w:w="2274"/>
        <w:gridCol w:w="2175"/>
      </w:tblGrid>
      <w:tr w:rsidR="00F46F95" w:rsidRPr="000A5C57" w:rsidTr="00F533EA">
        <w:trPr>
          <w:trHeight w:val="227"/>
          <w:jc w:val="center"/>
        </w:trPr>
        <w:tc>
          <w:tcPr>
            <w:tcW w:w="2877" w:type="pct"/>
            <w:vMerge w:val="restart"/>
            <w:tcBorders>
              <w:top w:val="nil"/>
            </w:tcBorders>
            <w:vAlign w:val="center"/>
          </w:tcPr>
          <w:p w:rsidR="00F46F95" w:rsidRPr="007D22D0" w:rsidRDefault="00F46F95" w:rsidP="00F533EA">
            <w:pPr>
              <w:pStyle w:val="glowka1"/>
            </w:pPr>
            <w:r w:rsidRPr="007D22D0">
              <w:t>Wyszczególnienie</w:t>
            </w:r>
          </w:p>
        </w:tc>
        <w:tc>
          <w:tcPr>
            <w:tcW w:w="1085" w:type="pct"/>
            <w:tcBorders>
              <w:top w:val="nil"/>
            </w:tcBorders>
            <w:vAlign w:val="center"/>
          </w:tcPr>
          <w:p w:rsidR="00F46F95" w:rsidRPr="000A2521" w:rsidRDefault="00F46F95" w:rsidP="00F533EA">
            <w:pPr>
              <w:pStyle w:val="glowka1"/>
            </w:pPr>
            <w:r>
              <w:t>01</w:t>
            </w:r>
            <w:r w:rsidRPr="000A2521">
              <w:t>-</w:t>
            </w:r>
            <w:r>
              <w:t>06</w:t>
            </w:r>
            <w:r w:rsidRPr="000A2521">
              <w:t xml:space="preserve"> 20</w:t>
            </w:r>
            <w:r>
              <w:t>24</w:t>
            </w:r>
          </w:p>
        </w:tc>
        <w:tc>
          <w:tcPr>
            <w:tcW w:w="1038" w:type="pct"/>
            <w:tcBorders>
              <w:top w:val="nil"/>
            </w:tcBorders>
            <w:vAlign w:val="center"/>
          </w:tcPr>
          <w:p w:rsidR="00F46F95" w:rsidRPr="000A2521" w:rsidRDefault="00F46F95" w:rsidP="00F533EA">
            <w:pPr>
              <w:pStyle w:val="glowka1"/>
            </w:pPr>
            <w:r>
              <w:t>01</w:t>
            </w:r>
            <w:r w:rsidRPr="000A2521">
              <w:t>-</w:t>
            </w:r>
            <w:r>
              <w:t>06</w:t>
            </w:r>
            <w:r w:rsidRPr="000A2521">
              <w:t xml:space="preserve"> 20</w:t>
            </w:r>
            <w:r>
              <w:t>25</w:t>
            </w:r>
          </w:p>
        </w:tc>
      </w:tr>
      <w:tr w:rsidR="00F46F95" w:rsidRPr="000A5C57" w:rsidTr="00F533EA">
        <w:trPr>
          <w:trHeight w:val="227"/>
          <w:jc w:val="center"/>
        </w:trPr>
        <w:tc>
          <w:tcPr>
            <w:tcW w:w="2877" w:type="pct"/>
            <w:vMerge/>
            <w:tcBorders>
              <w:bottom w:val="single" w:sz="12" w:space="0" w:color="522398"/>
            </w:tcBorders>
            <w:vAlign w:val="center"/>
          </w:tcPr>
          <w:p w:rsidR="00F46F95" w:rsidRPr="007D22D0" w:rsidRDefault="00F46F95" w:rsidP="00F533EA">
            <w:pPr>
              <w:pStyle w:val="glowka1"/>
            </w:pPr>
          </w:p>
        </w:tc>
        <w:tc>
          <w:tcPr>
            <w:tcW w:w="2123" w:type="pct"/>
            <w:gridSpan w:val="2"/>
            <w:tcBorders>
              <w:bottom w:val="single" w:sz="12" w:space="0" w:color="522398"/>
            </w:tcBorders>
            <w:vAlign w:val="center"/>
          </w:tcPr>
          <w:p w:rsidR="00F46F95" w:rsidRPr="007D22D0" w:rsidRDefault="00F46F95" w:rsidP="00F533EA">
            <w:pPr>
              <w:pStyle w:val="glowka1"/>
            </w:pPr>
            <w:r w:rsidRPr="007D22D0">
              <w:t>w %</w:t>
            </w:r>
          </w:p>
        </w:tc>
      </w:tr>
      <w:tr w:rsidR="00D74D92" w:rsidRPr="000A5C57" w:rsidTr="00E87D64">
        <w:trPr>
          <w:trHeight w:val="227"/>
          <w:jc w:val="center"/>
        </w:trPr>
        <w:tc>
          <w:tcPr>
            <w:tcW w:w="2877" w:type="pct"/>
            <w:tcBorders>
              <w:top w:val="single" w:sz="12" w:space="0" w:color="522398"/>
            </w:tcBorders>
            <w:vAlign w:val="center"/>
          </w:tcPr>
          <w:p w:rsidR="00D74D92" w:rsidRPr="007D22D0" w:rsidRDefault="00D74D92" w:rsidP="00D74D92">
            <w:pPr>
              <w:pStyle w:val="boczek1"/>
            </w:pPr>
            <w:r w:rsidRPr="007D22D0">
              <w:t>Wskaźnik poziomu kosztów</w:t>
            </w:r>
          </w:p>
        </w:tc>
        <w:tc>
          <w:tcPr>
            <w:tcW w:w="1085" w:type="pct"/>
            <w:tcBorders>
              <w:top w:val="single" w:sz="12" w:space="0" w:color="522398"/>
            </w:tcBorders>
            <w:vAlign w:val="bottom"/>
          </w:tcPr>
          <w:p w:rsidR="00D74D92" w:rsidRDefault="00D74D92" w:rsidP="00D74D92">
            <w:pPr>
              <w:pStyle w:val="tableteksttab"/>
            </w:pPr>
            <w:r>
              <w:t>94,2</w:t>
            </w:r>
          </w:p>
        </w:tc>
        <w:tc>
          <w:tcPr>
            <w:tcW w:w="1038" w:type="pct"/>
            <w:tcBorders>
              <w:top w:val="single" w:sz="12" w:space="0" w:color="522398"/>
            </w:tcBorders>
            <w:vAlign w:val="bottom"/>
          </w:tcPr>
          <w:p w:rsidR="00D74D92" w:rsidRDefault="00D74D92" w:rsidP="00D74D92">
            <w:pPr>
              <w:pStyle w:val="tableteksttab"/>
            </w:pPr>
            <w:r>
              <w:t>94,9</w:t>
            </w:r>
          </w:p>
        </w:tc>
      </w:tr>
      <w:tr w:rsidR="00D74D92" w:rsidRPr="000A5C57" w:rsidTr="00E87D64">
        <w:trPr>
          <w:trHeight w:val="227"/>
          <w:jc w:val="center"/>
        </w:trPr>
        <w:tc>
          <w:tcPr>
            <w:tcW w:w="2877" w:type="pct"/>
            <w:vAlign w:val="center"/>
          </w:tcPr>
          <w:p w:rsidR="00D74D92" w:rsidRPr="007D22D0" w:rsidRDefault="00D74D92" w:rsidP="00D74D92">
            <w:pPr>
              <w:pStyle w:val="boczek1"/>
            </w:pPr>
            <w:r w:rsidRPr="007D22D0">
              <w:t>Wskaźnik rentowności ze sprzedaży produktów, towarów i materiałów</w:t>
            </w:r>
          </w:p>
        </w:tc>
        <w:tc>
          <w:tcPr>
            <w:tcW w:w="1085" w:type="pct"/>
            <w:vAlign w:val="bottom"/>
          </w:tcPr>
          <w:p w:rsidR="00D74D92" w:rsidRDefault="00D74D92" w:rsidP="00D74D92">
            <w:pPr>
              <w:pStyle w:val="tableteksttab"/>
            </w:pPr>
            <w:r>
              <w:t>6,1</w:t>
            </w:r>
          </w:p>
        </w:tc>
        <w:tc>
          <w:tcPr>
            <w:tcW w:w="1038" w:type="pct"/>
            <w:vAlign w:val="bottom"/>
          </w:tcPr>
          <w:p w:rsidR="00D74D92" w:rsidRDefault="00D74D92" w:rsidP="00D74D92">
            <w:pPr>
              <w:pStyle w:val="tableteksttab"/>
            </w:pPr>
            <w:r>
              <w:t>5,2</w:t>
            </w:r>
          </w:p>
        </w:tc>
      </w:tr>
      <w:tr w:rsidR="00D74D92" w:rsidRPr="000A5C57" w:rsidTr="00E87D64">
        <w:trPr>
          <w:trHeight w:val="227"/>
          <w:jc w:val="center"/>
        </w:trPr>
        <w:tc>
          <w:tcPr>
            <w:tcW w:w="2877" w:type="pct"/>
            <w:vAlign w:val="center"/>
          </w:tcPr>
          <w:p w:rsidR="00D74D92" w:rsidRPr="007D22D0" w:rsidRDefault="00D74D92" w:rsidP="00D74D92">
            <w:pPr>
              <w:pStyle w:val="boczek1"/>
            </w:pPr>
            <w:r w:rsidRPr="007D22D0">
              <w:t>Wskaźnik rentowności obrotu brutto</w:t>
            </w:r>
          </w:p>
        </w:tc>
        <w:tc>
          <w:tcPr>
            <w:tcW w:w="1085" w:type="pct"/>
            <w:vAlign w:val="bottom"/>
          </w:tcPr>
          <w:p w:rsidR="00D74D92" w:rsidRDefault="00D74D92" w:rsidP="00D74D92">
            <w:pPr>
              <w:pStyle w:val="tableteksttab"/>
            </w:pPr>
            <w:r>
              <w:t>5,8</w:t>
            </w:r>
          </w:p>
        </w:tc>
        <w:tc>
          <w:tcPr>
            <w:tcW w:w="1038" w:type="pct"/>
            <w:vAlign w:val="bottom"/>
          </w:tcPr>
          <w:p w:rsidR="00D74D92" w:rsidRDefault="00D74D92" w:rsidP="00D74D92">
            <w:pPr>
              <w:pStyle w:val="tableteksttab"/>
            </w:pPr>
            <w:r>
              <w:t>5,1</w:t>
            </w:r>
          </w:p>
        </w:tc>
      </w:tr>
      <w:tr w:rsidR="00D74D92" w:rsidRPr="000A5C57" w:rsidTr="00E87D64">
        <w:trPr>
          <w:trHeight w:val="227"/>
          <w:jc w:val="center"/>
        </w:trPr>
        <w:tc>
          <w:tcPr>
            <w:tcW w:w="2877" w:type="pct"/>
            <w:vAlign w:val="center"/>
          </w:tcPr>
          <w:p w:rsidR="00D74D92" w:rsidRPr="007D22D0" w:rsidRDefault="00D74D92" w:rsidP="00D74D92">
            <w:pPr>
              <w:pStyle w:val="boczek1"/>
            </w:pPr>
            <w:r w:rsidRPr="007D22D0">
              <w:t>Wskaźnik rentowności obrotu netto</w:t>
            </w:r>
          </w:p>
        </w:tc>
        <w:tc>
          <w:tcPr>
            <w:tcW w:w="1085" w:type="pct"/>
            <w:vAlign w:val="bottom"/>
          </w:tcPr>
          <w:p w:rsidR="00D74D92" w:rsidRDefault="00D74D92" w:rsidP="00D74D92">
            <w:pPr>
              <w:pStyle w:val="tableteksttab"/>
            </w:pPr>
            <w:r>
              <w:t>4,8</w:t>
            </w:r>
          </w:p>
        </w:tc>
        <w:tc>
          <w:tcPr>
            <w:tcW w:w="1038" w:type="pct"/>
            <w:vAlign w:val="bottom"/>
          </w:tcPr>
          <w:p w:rsidR="00D74D92" w:rsidRDefault="00D74D92" w:rsidP="00D74D92">
            <w:pPr>
              <w:pStyle w:val="tableteksttab"/>
            </w:pPr>
            <w:r>
              <w:t>4,2</w:t>
            </w:r>
          </w:p>
        </w:tc>
      </w:tr>
      <w:tr w:rsidR="00D74D92" w:rsidRPr="000A5C57" w:rsidTr="00E87D64">
        <w:trPr>
          <w:trHeight w:val="227"/>
          <w:jc w:val="center"/>
        </w:trPr>
        <w:tc>
          <w:tcPr>
            <w:tcW w:w="2877" w:type="pct"/>
            <w:vAlign w:val="center"/>
          </w:tcPr>
          <w:p w:rsidR="00D74D92" w:rsidRPr="007D22D0" w:rsidRDefault="00D74D92" w:rsidP="00D74D92">
            <w:pPr>
              <w:pStyle w:val="boczek1"/>
            </w:pPr>
            <w:r w:rsidRPr="007D22D0">
              <w:t>Wskaźnik płynności finansowej I stopnia</w:t>
            </w:r>
          </w:p>
        </w:tc>
        <w:tc>
          <w:tcPr>
            <w:tcW w:w="1085" w:type="pct"/>
            <w:vAlign w:val="bottom"/>
          </w:tcPr>
          <w:p w:rsidR="00D74D92" w:rsidRDefault="00D74D92" w:rsidP="003D1089">
            <w:pPr>
              <w:pStyle w:val="tableteksttab"/>
            </w:pPr>
            <w:r>
              <w:t>41,4</w:t>
            </w:r>
          </w:p>
        </w:tc>
        <w:tc>
          <w:tcPr>
            <w:tcW w:w="1038" w:type="pct"/>
            <w:vAlign w:val="bottom"/>
          </w:tcPr>
          <w:p w:rsidR="00D74D92" w:rsidRDefault="00D74D92" w:rsidP="00D74D92">
            <w:pPr>
              <w:pStyle w:val="tableteksttab"/>
            </w:pPr>
            <w:r>
              <w:t>36,4</w:t>
            </w:r>
          </w:p>
        </w:tc>
      </w:tr>
      <w:tr w:rsidR="00D74D92" w:rsidRPr="000A5C57" w:rsidTr="00E87D64">
        <w:trPr>
          <w:trHeight w:val="227"/>
          <w:jc w:val="center"/>
        </w:trPr>
        <w:tc>
          <w:tcPr>
            <w:tcW w:w="2877" w:type="pct"/>
            <w:tcBorders>
              <w:bottom w:val="nil"/>
            </w:tcBorders>
            <w:vAlign w:val="center"/>
          </w:tcPr>
          <w:p w:rsidR="00D74D92" w:rsidRPr="007D22D0" w:rsidRDefault="00D74D92" w:rsidP="00D74D92">
            <w:pPr>
              <w:pStyle w:val="boczek1"/>
            </w:pPr>
            <w:r w:rsidRPr="007D22D0">
              <w:t>Wskaźnik płynności finansowej II stopnia</w:t>
            </w:r>
          </w:p>
        </w:tc>
        <w:tc>
          <w:tcPr>
            <w:tcW w:w="1085" w:type="pct"/>
            <w:tcBorders>
              <w:bottom w:val="nil"/>
            </w:tcBorders>
            <w:vAlign w:val="bottom"/>
          </w:tcPr>
          <w:p w:rsidR="00D74D92" w:rsidRPr="00D74D92" w:rsidRDefault="00D74D92" w:rsidP="003D1089">
            <w:pPr>
              <w:pStyle w:val="tableteksttab"/>
            </w:pPr>
            <w:r>
              <w:t>96,6</w:t>
            </w:r>
          </w:p>
        </w:tc>
        <w:tc>
          <w:tcPr>
            <w:tcW w:w="1038" w:type="pct"/>
            <w:tcBorders>
              <w:bottom w:val="nil"/>
            </w:tcBorders>
            <w:vAlign w:val="bottom"/>
          </w:tcPr>
          <w:p w:rsidR="00D74D92" w:rsidRDefault="00D74D92" w:rsidP="00D74D92">
            <w:pPr>
              <w:pStyle w:val="tableteksttab"/>
            </w:pPr>
            <w:r>
              <w:t>81,0</w:t>
            </w:r>
          </w:p>
        </w:tc>
      </w:tr>
    </w:tbl>
    <w:p w:rsidR="00F46F95" w:rsidRPr="00DD19E5" w:rsidRDefault="00F46F95" w:rsidP="00F46F95">
      <w:pPr>
        <w:pStyle w:val="tekst"/>
        <w:spacing w:before="360"/>
      </w:pPr>
      <w:r w:rsidRPr="00DD19E5">
        <w:t>W przedsiębiorstwach objętych badaniem w 1 półroczu br. odnotowano pogorszenie podstawowych wskaźników ekonomiczno-finansowych. Wskaźnik poziomu kosztów dla ogółu podmiotów wyniósł 94,</w:t>
      </w:r>
      <w:r w:rsidR="005C01F9" w:rsidRPr="00DD19E5">
        <w:t>9</w:t>
      </w:r>
      <w:r w:rsidRPr="00DD19E5">
        <w:t>% wobec 9</w:t>
      </w:r>
      <w:r w:rsidR="005C01F9" w:rsidRPr="00DD19E5">
        <w:t>4,2</w:t>
      </w:r>
      <w:r w:rsidRPr="00DD19E5">
        <w:t xml:space="preserve">% przed rokiem. Wskaźnik rentowności sprzedaży produktów, towarów i materiałów w ciągu roku obniżył się z 6,1% </w:t>
      </w:r>
      <w:r w:rsidR="005C01F9" w:rsidRPr="00DD19E5">
        <w:t xml:space="preserve">do 5,2%. </w:t>
      </w:r>
      <w:r w:rsidRPr="00DD19E5">
        <w:t>Wskaźnik rentowności obrotu brutto wyniósł 5,</w:t>
      </w:r>
      <w:r w:rsidR="005C01F9" w:rsidRPr="00DD19E5">
        <w:t>1</w:t>
      </w:r>
      <w:r w:rsidRPr="00DD19E5">
        <w:t xml:space="preserve">% wobec </w:t>
      </w:r>
      <w:r w:rsidR="005C01F9" w:rsidRPr="00DD19E5">
        <w:t>5,8</w:t>
      </w:r>
      <w:r w:rsidRPr="00DD19E5">
        <w:t xml:space="preserve">% w 1 półroczu ub. roku, a netto spadł w tym czasie z </w:t>
      </w:r>
      <w:r w:rsidR="005C01F9" w:rsidRPr="00DD19E5">
        <w:t>4,8</w:t>
      </w:r>
      <w:r w:rsidRPr="00DD19E5">
        <w:t>% do 4,</w:t>
      </w:r>
      <w:r w:rsidR="005C01F9" w:rsidRPr="00DD19E5">
        <w:t>2</w:t>
      </w:r>
      <w:r w:rsidRPr="00DD19E5">
        <w:t>%.</w:t>
      </w:r>
    </w:p>
    <w:p w:rsidR="00F46F95" w:rsidRPr="00DD19E5" w:rsidRDefault="00F46F95" w:rsidP="00B707F7">
      <w:pPr>
        <w:pStyle w:val="tekst"/>
      </w:pPr>
      <w:r w:rsidRPr="00DD19E5">
        <w:t>W skali roku wskaźniki ekonomiczno-finansowe pogorszyły się m.in. w sekcjach:</w:t>
      </w:r>
      <w:r w:rsidR="0027524C" w:rsidRPr="00DD19E5">
        <w:t xml:space="preserve"> przetwórstwo przemysłowe</w:t>
      </w:r>
      <w:r w:rsidRPr="00DD19E5">
        <w:t xml:space="preserve">, handel; naprawa pojazdów samochodowych, </w:t>
      </w:r>
      <w:r w:rsidR="0027524C" w:rsidRPr="00DD19E5">
        <w:t xml:space="preserve">transport i gospodarka magazynowa, </w:t>
      </w:r>
      <w:r w:rsidR="00DB36A6" w:rsidRPr="00DD19E5">
        <w:t>obsługa rynku nieruchomości</w:t>
      </w:r>
      <w:r w:rsidR="00B707F7">
        <w:t>, administrowanie i </w:t>
      </w:r>
      <w:r w:rsidRPr="00DD19E5">
        <w:t>działalność wspierająca</w:t>
      </w:r>
      <w:r w:rsidR="00DB36A6" w:rsidRPr="00DD19E5">
        <w:t xml:space="preserve"> oraz edukacja</w:t>
      </w:r>
      <w:r w:rsidRPr="00DD19E5">
        <w:t>,</w:t>
      </w:r>
      <w:r w:rsidR="00DB36A6" w:rsidRPr="00DD19E5">
        <w:t xml:space="preserve"> a wyłączając wskaźnik rentowności sprzedaży</w:t>
      </w:r>
      <w:r w:rsidR="00DD19E5" w:rsidRPr="00DD19E5">
        <w:t>,</w:t>
      </w:r>
      <w:r w:rsidR="00DB36A6" w:rsidRPr="00DD19E5">
        <w:t xml:space="preserve"> także w sekcji</w:t>
      </w:r>
      <w:r w:rsidRPr="00DD19E5">
        <w:t xml:space="preserve"> </w:t>
      </w:r>
      <w:r w:rsidR="00DB36A6" w:rsidRPr="00DD19E5">
        <w:t>dostawa wody; gospodarowanie ściekami i odpadami; rekultywacja. Poprawę wskaźników odnotowały m.in. przedsiębiorstwa zajmujące się: wytwarzaniem i zaopatrywaniem w energię elektryczną, gaz, parę wodną i gorącą wodę, budownictwem, zakwaterowaniem i gastronomią, działalnością profesjonalną, naukową i techniczną, o</w:t>
      </w:r>
      <w:r w:rsidRPr="00DD19E5">
        <w:t>piek</w:t>
      </w:r>
      <w:r w:rsidR="00DB36A6" w:rsidRPr="00DD19E5">
        <w:t>ą zdrowotną</w:t>
      </w:r>
      <w:r w:rsidRPr="00DD19E5">
        <w:t xml:space="preserve"> i pomoc</w:t>
      </w:r>
      <w:r w:rsidR="00DB36A6" w:rsidRPr="00DD19E5">
        <w:t>ą</w:t>
      </w:r>
      <w:r w:rsidRPr="00DD19E5">
        <w:t xml:space="preserve"> społeczn</w:t>
      </w:r>
      <w:r w:rsidR="00DB36A6" w:rsidRPr="00DD19E5">
        <w:t>ą</w:t>
      </w:r>
      <w:r w:rsidRPr="00DD19E5">
        <w:t xml:space="preserve"> oraz działalnoś</w:t>
      </w:r>
      <w:r w:rsidR="00DB36A6" w:rsidRPr="00DD19E5">
        <w:t>cią</w:t>
      </w:r>
      <w:r w:rsidRPr="00DD19E5">
        <w:t xml:space="preserve"> związan</w:t>
      </w:r>
      <w:r w:rsidR="00DB36A6" w:rsidRPr="00DD19E5">
        <w:t>ą</w:t>
      </w:r>
      <w:r w:rsidRPr="00DD19E5">
        <w:t xml:space="preserve"> z kulturą, rozrywką i rekreacją, a </w:t>
      </w:r>
      <w:r w:rsidR="00DD19E5" w:rsidRPr="00DD19E5">
        <w:t>pomijając</w:t>
      </w:r>
      <w:r w:rsidRPr="00DD19E5">
        <w:t xml:space="preserve"> wskaźnik rentowności sprzedaży</w:t>
      </w:r>
      <w:r w:rsidR="00DD19E5" w:rsidRPr="00DD19E5">
        <w:t>,</w:t>
      </w:r>
      <w:r w:rsidRPr="00DD19E5">
        <w:t xml:space="preserve"> także w sekcji </w:t>
      </w:r>
      <w:r w:rsidR="00DD19E5" w:rsidRPr="00DD19E5">
        <w:t>informacja i komunikacja.</w:t>
      </w:r>
    </w:p>
    <w:p w:rsidR="00F46F95" w:rsidRPr="006536B7" w:rsidRDefault="00F46F95" w:rsidP="00F46F95">
      <w:pPr>
        <w:pStyle w:val="tekst"/>
      </w:pPr>
      <w:r w:rsidRPr="006536B7">
        <w:t xml:space="preserve">Biorąc pod uwagę tylko wskaźnik rentowności obrotu netto, </w:t>
      </w:r>
      <w:r w:rsidR="00DD7067" w:rsidRPr="006536B7">
        <w:t xml:space="preserve">do </w:t>
      </w:r>
      <w:r w:rsidRPr="006536B7">
        <w:t>najbardziej ren</w:t>
      </w:r>
      <w:r w:rsidR="00DD19E5" w:rsidRPr="006536B7">
        <w:t>t</w:t>
      </w:r>
      <w:r w:rsidRPr="006536B7">
        <w:t>owny</w:t>
      </w:r>
      <w:r w:rsidR="00DD7067" w:rsidRPr="006536B7">
        <w:t>ch</w:t>
      </w:r>
      <w:r w:rsidRPr="006536B7">
        <w:t xml:space="preserve"> rodzaj</w:t>
      </w:r>
      <w:r w:rsidR="00DD7067" w:rsidRPr="006536B7">
        <w:t xml:space="preserve">ów </w:t>
      </w:r>
      <w:r w:rsidRPr="006536B7">
        <w:t xml:space="preserve">działalności </w:t>
      </w:r>
      <w:r w:rsidR="00DD19E5" w:rsidRPr="006536B7">
        <w:t>w 1 półroczu br.</w:t>
      </w:r>
      <w:r w:rsidR="00DD7067" w:rsidRPr="006536B7">
        <w:t xml:space="preserve"> w wielkopolskim należały</w:t>
      </w:r>
      <w:r w:rsidRPr="006536B7">
        <w:t xml:space="preserve"> m.in. </w:t>
      </w:r>
      <w:r w:rsidR="00DD7067" w:rsidRPr="006536B7">
        <w:t xml:space="preserve">wytwarzanie i zaopatrywanie w energię elektryczną, gaz, parę wodną i gorącą wodę (wskaźnik na poziomie 17,7%), </w:t>
      </w:r>
      <w:r w:rsidRPr="006536B7">
        <w:t>informacja i komunikacja (1</w:t>
      </w:r>
      <w:r w:rsidR="00DD7067" w:rsidRPr="006536B7">
        <w:t>5,0</w:t>
      </w:r>
      <w:r w:rsidRPr="006536B7">
        <w:t>%) oraz działalność profesjonalna, naukowa i techniczna (1</w:t>
      </w:r>
      <w:r w:rsidR="00DD7067" w:rsidRPr="006536B7">
        <w:t>4,9</w:t>
      </w:r>
      <w:r w:rsidRPr="006536B7">
        <w:t xml:space="preserve">%). </w:t>
      </w:r>
      <w:r w:rsidR="00DD7067" w:rsidRPr="006536B7">
        <w:t>Ujemn</w:t>
      </w:r>
      <w:r w:rsidR="006536B7" w:rsidRPr="006536B7">
        <w:t>y</w:t>
      </w:r>
      <w:r w:rsidR="00DD7067" w:rsidRPr="006536B7">
        <w:t xml:space="preserve"> wskaźnik rentowności</w:t>
      </w:r>
      <w:r w:rsidR="006536B7" w:rsidRPr="006536B7">
        <w:t>, pomimo</w:t>
      </w:r>
      <w:r w:rsidR="00DD7067" w:rsidRPr="006536B7">
        <w:t xml:space="preserve"> </w:t>
      </w:r>
      <w:r w:rsidR="006536B7" w:rsidRPr="006536B7">
        <w:t xml:space="preserve">znacznej poprawy (wzrost o 10,4 p.proc.), </w:t>
      </w:r>
      <w:r w:rsidR="00DD7067" w:rsidRPr="006536B7">
        <w:t>wykazały</w:t>
      </w:r>
      <w:r w:rsidR="006536B7" w:rsidRPr="006536B7">
        <w:t xml:space="preserve"> </w:t>
      </w:r>
      <w:r w:rsidRPr="006536B7">
        <w:t xml:space="preserve">przedsiębiorstwa </w:t>
      </w:r>
      <w:r w:rsidR="006536B7" w:rsidRPr="006536B7">
        <w:t>związane z kulturą, rozrywką i rekreacją</w:t>
      </w:r>
      <w:r w:rsidRPr="006536B7">
        <w:t xml:space="preserve"> (-1,</w:t>
      </w:r>
      <w:r w:rsidR="006536B7" w:rsidRPr="006536B7">
        <w:t>5</w:t>
      </w:r>
      <w:r w:rsidRPr="006536B7">
        <w:t xml:space="preserve">%). </w:t>
      </w:r>
    </w:p>
    <w:p w:rsidR="00F46F95" w:rsidRPr="00F30594" w:rsidRDefault="00836113" w:rsidP="00F46F95">
      <w:pPr>
        <w:pStyle w:val="tytuwykresu"/>
        <w:spacing w:before="360"/>
      </w:pPr>
      <w:r w:rsidRPr="00836113">
        <w:rPr>
          <w:noProof/>
          <w:lang w:eastAsia="pl-PL"/>
        </w:rPr>
        <w:drawing>
          <wp:anchor distT="0" distB="0" distL="114300" distR="114300" simplePos="0" relativeHeight="253039104" behindDoc="0" locked="0" layoutInCell="1" allowOverlap="1">
            <wp:simplePos x="0" y="0"/>
            <wp:positionH relativeFrom="margin">
              <wp:align>center</wp:align>
            </wp:positionH>
            <wp:positionV relativeFrom="paragraph">
              <wp:posOffset>499110</wp:posOffset>
            </wp:positionV>
            <wp:extent cx="5286375" cy="2362200"/>
            <wp:effectExtent l="0" t="0" r="9525" b="0"/>
            <wp:wrapTopAndBottom/>
            <wp:docPr id="50" name="Obraz 50" descr="Podwójny wykres kolumnowy (Polska i województwo wielkopolskie) dla kolejnych kwartałów (okresów narastających) w latach 2022–2025 na osi poziomej. Na osi pionowej wartości wskaźnika rentowności obrotu netto z przedziału od 0 do 7%.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6375" cy="2362200"/>
                    </a:xfrm>
                    <a:prstGeom prst="rect">
                      <a:avLst/>
                    </a:prstGeom>
                    <a:noFill/>
                    <a:ln>
                      <a:noFill/>
                    </a:ln>
                  </pic:spPr>
                </pic:pic>
              </a:graphicData>
            </a:graphic>
          </wp:anchor>
        </w:drawing>
      </w:r>
      <w:r w:rsidR="00F46F95" w:rsidRPr="00B4057C">
        <w:t>Wykres 1</w:t>
      </w:r>
      <w:r w:rsidR="00F46F95">
        <w:t>0.</w:t>
      </w:r>
      <w:r w:rsidR="00F46F95">
        <w:tab/>
      </w:r>
      <w:r w:rsidR="00F46F95" w:rsidRPr="00B4057C">
        <w:t xml:space="preserve">Wskaźnik rentowności </w:t>
      </w:r>
      <w:r w:rsidR="00F46F95" w:rsidRPr="006B4319">
        <w:t>obrotu netto</w:t>
      </w:r>
    </w:p>
    <w:p w:rsidR="00F46F95" w:rsidRDefault="00F46F95" w:rsidP="00F46F95">
      <w:pPr>
        <w:spacing w:before="360"/>
      </w:pPr>
      <w:r w:rsidRPr="00CB0A1C">
        <w:t xml:space="preserve">W 1 półroczu br. obserwowano pogorszenie płynności finansowej badanych przedsiębiorstw związane ze spadkiem wskaźnika I stopnia o </w:t>
      </w:r>
      <w:r w:rsidR="00472C2C" w:rsidRPr="00CB0A1C">
        <w:t>5</w:t>
      </w:r>
      <w:r w:rsidRPr="00CB0A1C">
        <w:t xml:space="preserve">,0 p.proc. do </w:t>
      </w:r>
      <w:r w:rsidR="00472C2C" w:rsidRPr="00CB0A1C">
        <w:t>36,4%</w:t>
      </w:r>
      <w:r w:rsidRPr="00CB0A1C">
        <w:t xml:space="preserve"> oraz II stopnia – o </w:t>
      </w:r>
      <w:r w:rsidR="00472C2C" w:rsidRPr="00CB0A1C">
        <w:t>15,</w:t>
      </w:r>
      <w:r w:rsidRPr="00CB0A1C">
        <w:t>6 p.proc. do 8</w:t>
      </w:r>
      <w:r w:rsidR="00472C2C" w:rsidRPr="00CB0A1C">
        <w:t>1,0</w:t>
      </w:r>
      <w:r w:rsidRPr="00CB0A1C">
        <w:t xml:space="preserve">%. Zmniejszyła się m.in. płynność finansowa jednostek w sekcjach: handel; naprawa pojazdów samochodowych, </w:t>
      </w:r>
      <w:r w:rsidR="00CB0A1C" w:rsidRPr="00CB0A1C">
        <w:t>informacja i komunikacja</w:t>
      </w:r>
      <w:r w:rsidR="00472C2C" w:rsidRPr="00CB0A1C">
        <w:t xml:space="preserve">, obsługa rynku nieruchomości, </w:t>
      </w:r>
      <w:r w:rsidRPr="00CB0A1C">
        <w:t xml:space="preserve">działalność profesjonalna, naukowa i techniczna oraz </w:t>
      </w:r>
      <w:r w:rsidR="00472C2C" w:rsidRPr="00CB0A1C">
        <w:t xml:space="preserve">edukacja. </w:t>
      </w:r>
      <w:r w:rsidRPr="00CB0A1C">
        <w:t xml:space="preserve">Poprawa płynności finansowej dotyczyła m.in. przedsiębiorstw </w:t>
      </w:r>
      <w:r w:rsidR="00472C2C" w:rsidRPr="00CB0A1C">
        <w:t xml:space="preserve">przetwórstwa </w:t>
      </w:r>
      <w:r w:rsidRPr="00CB0A1C">
        <w:t>przemysłow</w:t>
      </w:r>
      <w:r w:rsidR="00472C2C" w:rsidRPr="00CB0A1C">
        <w:t>ego</w:t>
      </w:r>
      <w:r w:rsidRPr="00CB0A1C">
        <w:t xml:space="preserve">, a także podmiotów zajmujących się </w:t>
      </w:r>
      <w:r w:rsidR="00472C2C" w:rsidRPr="00CB0A1C">
        <w:t>dostawą wody; gospodarowaniem ściekami i odpadami</w:t>
      </w:r>
      <w:r w:rsidR="00CB0A1C" w:rsidRPr="00CB0A1C">
        <w:t xml:space="preserve">; rekultywacją, budownictwem, transportem i gospodarką magazynową, zakwaterowaniem i gastronomią, </w:t>
      </w:r>
      <w:r w:rsidRPr="00CB0A1C">
        <w:t>opieką zdrowotną i pomocą społeczną</w:t>
      </w:r>
      <w:r w:rsidR="00CB0A1C" w:rsidRPr="00CB0A1C">
        <w:t xml:space="preserve"> oraz działalnością związaną z kulturą, rozrywką i rekreacją.</w:t>
      </w:r>
    </w:p>
    <w:p w:rsidR="00D30C92" w:rsidRDefault="00D30C92" w:rsidP="00F46F95">
      <w:pPr>
        <w:spacing w:before="360"/>
      </w:pPr>
      <w:r>
        <w:br w:type="page"/>
      </w:r>
    </w:p>
    <w:p w:rsidR="00F46F95" w:rsidRPr="006B3BEC" w:rsidRDefault="00F46F95" w:rsidP="00F46F95">
      <w:pPr>
        <w:pStyle w:val="tekst"/>
      </w:pPr>
      <w:r w:rsidRPr="006B3BEC">
        <w:lastRenderedPageBreak/>
        <w:t xml:space="preserve">Według stanu na koniec czerwca br., </w:t>
      </w:r>
      <w:r w:rsidRPr="006B3BEC">
        <w:rPr>
          <w:b/>
        </w:rPr>
        <w:t>aktywa obrotowe</w:t>
      </w:r>
      <w:r w:rsidRPr="006B3BEC">
        <w:t xml:space="preserve"> przedsiębiorstw objętych badaniem wyniosły </w:t>
      </w:r>
      <w:r w:rsidR="00D30C92" w:rsidRPr="006B3BEC">
        <w:t>201703</w:t>
      </w:r>
      <w:r w:rsidRPr="006B3BEC">
        <w:t>,</w:t>
      </w:r>
      <w:r w:rsidR="00D30C92" w:rsidRPr="006B3BEC">
        <w:t>6</w:t>
      </w:r>
      <w:r w:rsidRPr="006B3BEC">
        <w:t xml:space="preserve"> mln zł, tj. o </w:t>
      </w:r>
      <w:r w:rsidR="00D30C92" w:rsidRPr="006B3BEC">
        <w:t>6,7</w:t>
      </w:r>
      <w:r w:rsidRPr="006B3BEC">
        <w:t>% więcej niż przed rokiem. Wartość zapasów w ciągu roku z</w:t>
      </w:r>
      <w:r w:rsidR="00D30C92" w:rsidRPr="006B3BEC">
        <w:t>większ</w:t>
      </w:r>
      <w:r w:rsidRPr="006B3BEC">
        <w:t xml:space="preserve">yła się o </w:t>
      </w:r>
      <w:r w:rsidR="00D30C92" w:rsidRPr="006B3BEC">
        <w:t>4</w:t>
      </w:r>
      <w:r w:rsidRPr="006B3BEC">
        <w:t>,6%, a ich udział w aktywach spadł o </w:t>
      </w:r>
      <w:r w:rsidR="00D30C92" w:rsidRPr="006B3BEC">
        <w:t>0,7</w:t>
      </w:r>
      <w:r w:rsidRPr="006B3BEC">
        <w:t> p.proc. do 3</w:t>
      </w:r>
      <w:r w:rsidR="00D30C92" w:rsidRPr="006B3BEC">
        <w:t>0,7</w:t>
      </w:r>
      <w:r w:rsidRPr="006B3BEC">
        <w:t>%. Największą część aktywów obrotowych stanowiły należności krótkoterminowe, których udział w końcu czerwca br. wynosił 3</w:t>
      </w:r>
      <w:r w:rsidR="00285F78" w:rsidRPr="006B3BEC">
        <w:t>6,1</w:t>
      </w:r>
      <w:r w:rsidRPr="006B3BEC">
        <w:t xml:space="preserve">%, tj. o </w:t>
      </w:r>
      <w:r w:rsidR="00285F78" w:rsidRPr="006B3BEC">
        <w:t>1,4</w:t>
      </w:r>
      <w:r w:rsidRPr="006B3BEC">
        <w:t xml:space="preserve"> p.proc. mniej niż przed rokiem. Wartość należności w skali roku wzrosła o </w:t>
      </w:r>
      <w:r w:rsidR="00B707F7">
        <w:t>2,9</w:t>
      </w:r>
      <w:r w:rsidRPr="006B3BEC">
        <w:t xml:space="preserve">%. Udział inwestycji krótkoterminowych zwiększył się w tym czasie o </w:t>
      </w:r>
      <w:r w:rsidR="00285F78" w:rsidRPr="006B3BEC">
        <w:t>1</w:t>
      </w:r>
      <w:r w:rsidRPr="006B3BEC">
        <w:t>,3 p.proc. do 2</w:t>
      </w:r>
      <w:r w:rsidR="00285F78" w:rsidRPr="006B3BEC">
        <w:t>9,4</w:t>
      </w:r>
      <w:r w:rsidRPr="006B3BEC">
        <w:t xml:space="preserve">%, a ich wartość zwiększyła się o </w:t>
      </w:r>
      <w:r w:rsidR="00285F78" w:rsidRPr="006B3BEC">
        <w:t>11,5</w:t>
      </w:r>
      <w:r w:rsidRPr="006B3BEC">
        <w:t>%.</w:t>
      </w:r>
    </w:p>
    <w:p w:rsidR="00F46F95" w:rsidRPr="00F93C8A" w:rsidRDefault="00F46F95" w:rsidP="00F46F95">
      <w:pPr>
        <w:pStyle w:val="tekst"/>
      </w:pPr>
      <w:r w:rsidRPr="00F93C8A">
        <w:t>Według stanu na koniec czerwca br., zobowiązania przedsiębiorstw niefinansowych wyniosły łącznie 2</w:t>
      </w:r>
      <w:r w:rsidR="00F93C8A" w:rsidRPr="00F93C8A">
        <w:t>19948,5</w:t>
      </w:r>
      <w:r w:rsidRPr="00F93C8A">
        <w:t xml:space="preserve"> mln zł, przy czym zobowiązania długoterminowe w ciągu roku zwiększyły się o </w:t>
      </w:r>
      <w:r w:rsidR="00F93C8A" w:rsidRPr="00F93C8A">
        <w:t>2,5</w:t>
      </w:r>
      <w:r w:rsidRPr="00F93C8A">
        <w:t xml:space="preserve">%, a krótkoterminowe wzrosły o </w:t>
      </w:r>
      <w:r w:rsidR="00F93C8A" w:rsidRPr="00F93C8A">
        <w:t>27,0</w:t>
      </w:r>
      <w:r w:rsidRPr="00F93C8A">
        <w:t xml:space="preserve">%. W ogólnej kwocie zobowiązań krótkoterminowych </w:t>
      </w:r>
      <w:r w:rsidR="00F93C8A" w:rsidRPr="00F93C8A">
        <w:t>12,1</w:t>
      </w:r>
      <w:r w:rsidRPr="00F93C8A">
        <w:t>% stanowiły kredyty i pożyczki (przed rokiem 1</w:t>
      </w:r>
      <w:r w:rsidR="00F93C8A" w:rsidRPr="00F93C8A">
        <w:t>5,0</w:t>
      </w:r>
      <w:r w:rsidRPr="00F93C8A">
        <w:t xml:space="preserve">%), </w:t>
      </w:r>
      <w:r w:rsidR="00F93C8A" w:rsidRPr="00F93C8A">
        <w:t>a 50,3</w:t>
      </w:r>
      <w:r w:rsidRPr="00F93C8A">
        <w:t>% – zobowiązania z tytułu dostaw i usług (prz</w:t>
      </w:r>
      <w:r w:rsidR="00F93C8A" w:rsidRPr="00F93C8A">
        <w:t xml:space="preserve">ed rokiem </w:t>
      </w:r>
      <w:r w:rsidRPr="00F93C8A">
        <w:t>6</w:t>
      </w:r>
      <w:r w:rsidR="00F93C8A" w:rsidRPr="00F93C8A">
        <w:t>0,8</w:t>
      </w:r>
      <w:r w:rsidRPr="00F93C8A">
        <w:t>%). Relacja zobowiązań krótkoterminowych do należności krótkoterminowych wyniosła 2</w:t>
      </w:r>
      <w:r w:rsidR="00F93C8A" w:rsidRPr="00F93C8A">
        <w:t>23</w:t>
      </w:r>
      <w:r w:rsidRPr="00F93C8A">
        <w:t>,</w:t>
      </w:r>
      <w:r w:rsidR="00F93C8A" w:rsidRPr="00F93C8A">
        <w:t>7</w:t>
      </w:r>
      <w:r w:rsidRPr="00F93C8A">
        <w:t>% (w czerwcu ub. roku – 18</w:t>
      </w:r>
      <w:r w:rsidR="00F93C8A" w:rsidRPr="00F93C8A">
        <w:t>1,2</w:t>
      </w:r>
      <w:r w:rsidRPr="00F93C8A">
        <w:t xml:space="preserve">%), natomiast relacja do inwestycji krótkoterminowych kształtowała się na poziomie </w:t>
      </w:r>
      <w:r w:rsidR="00F93C8A" w:rsidRPr="00F93C8A">
        <w:t xml:space="preserve">275,1% (przed rokiem </w:t>
      </w:r>
      <w:r w:rsidRPr="00F93C8A">
        <w:t>2</w:t>
      </w:r>
      <w:r w:rsidR="00F93C8A" w:rsidRPr="00F93C8A">
        <w:t>41,4</w:t>
      </w:r>
      <w:r w:rsidRPr="00F93C8A">
        <w:t>%).</w:t>
      </w:r>
    </w:p>
    <w:p w:rsidR="00F46F95" w:rsidRPr="008D7C10" w:rsidRDefault="00F46F95" w:rsidP="00F46F95">
      <w:pPr>
        <w:pStyle w:val="Nagwek1"/>
      </w:pPr>
      <w:bookmarkStart w:id="45" w:name="_Toc80797453"/>
      <w:bookmarkStart w:id="46" w:name="_Toc112139094"/>
      <w:bookmarkStart w:id="47" w:name="_Toc143597947"/>
      <w:bookmarkStart w:id="48" w:name="_Toc175515953"/>
      <w:bookmarkStart w:id="49" w:name="_Toc205383519"/>
      <w:r w:rsidRPr="008D7C10">
        <w:t>Nakłady inwestycyjne</w:t>
      </w:r>
      <w:bookmarkEnd w:id="45"/>
      <w:bookmarkEnd w:id="46"/>
      <w:bookmarkEnd w:id="47"/>
      <w:bookmarkEnd w:id="48"/>
      <w:bookmarkEnd w:id="49"/>
    </w:p>
    <w:p w:rsidR="006508A3" w:rsidRPr="008F1D5A" w:rsidRDefault="006508A3" w:rsidP="006508A3">
      <w:pPr>
        <w:pStyle w:val="tekst"/>
      </w:pPr>
      <w:r w:rsidRPr="008F1D5A">
        <w:rPr>
          <w:b/>
        </w:rPr>
        <w:t>Nakłady inwestycyjne</w:t>
      </w:r>
      <w:r w:rsidRPr="008F1D5A">
        <w:t xml:space="preserve"> poniesione w 1 półroczu br. przez przedsiębiorstwa mające siedzibę na terenie województwa wielkopolskiego zamknęły się kwotą </w:t>
      </w:r>
      <w:r w:rsidRPr="0090387F">
        <w:t>8713,3</w:t>
      </w:r>
      <w:r w:rsidRPr="008F1D5A">
        <w:t xml:space="preserve"> mln zł (w cenach bieżących), tj. o </w:t>
      </w:r>
      <w:r>
        <w:t>2,0</w:t>
      </w:r>
      <w:r w:rsidRPr="008F1D5A">
        <w:t>% mniejszą niż w analogicznym okresie ub. roku. Na roboty budowlano-</w:t>
      </w:r>
      <w:r w:rsidRPr="006508A3">
        <w:t>montażowe</w:t>
      </w:r>
      <w:r w:rsidRPr="008F1D5A">
        <w:t xml:space="preserve"> przypadało </w:t>
      </w:r>
      <w:r w:rsidRPr="0090387F">
        <w:t>1492,9</w:t>
      </w:r>
      <w:r>
        <w:t xml:space="preserve"> </w:t>
      </w:r>
      <w:r w:rsidRPr="008F1D5A">
        <w:t>mln zł, czyli 17,1% nakładów ogółem (</w:t>
      </w:r>
      <w:r>
        <w:t>podobnie przed rokiem</w:t>
      </w:r>
      <w:r w:rsidRPr="008F1D5A">
        <w:t xml:space="preserve">). Nakłady na środki transportu w ciągu roku </w:t>
      </w:r>
      <w:r>
        <w:t>obniżyły się</w:t>
      </w:r>
      <w:r w:rsidRPr="008F1D5A">
        <w:t xml:space="preserve"> o</w:t>
      </w:r>
      <w:r>
        <w:t xml:space="preserve"> </w:t>
      </w:r>
      <w:r w:rsidRPr="008F1D5A">
        <w:t>1</w:t>
      </w:r>
      <w:r>
        <w:t>0</w:t>
      </w:r>
      <w:r w:rsidRPr="008F1D5A">
        <w:t xml:space="preserve">,2%, </w:t>
      </w:r>
      <w:r>
        <w:t>a</w:t>
      </w:r>
      <w:r w:rsidRPr="008F1D5A">
        <w:t xml:space="preserve"> nakłady na budynki i budowle były niższe o </w:t>
      </w:r>
      <w:r>
        <w:t>5,1</w:t>
      </w:r>
      <w:r w:rsidRPr="008F1D5A">
        <w:t xml:space="preserve">%, </w:t>
      </w:r>
      <w:r>
        <w:t>natomiast</w:t>
      </w:r>
      <w:r w:rsidRPr="008F1D5A">
        <w:t xml:space="preserve"> nakłady na maszyny, urządzenia techniczne, narzędzia i wyposażenie </w:t>
      </w:r>
      <w:r>
        <w:t>zwiększyły</w:t>
      </w:r>
      <w:r w:rsidRPr="008F1D5A">
        <w:t xml:space="preserve"> się o </w:t>
      </w:r>
      <w:r>
        <w:t>1,6</w:t>
      </w:r>
      <w:r w:rsidRPr="008F1D5A">
        <w:t>%. Udział zakupów w nakładach ogółem zwiększył się z</w:t>
      </w:r>
      <w:r>
        <w:t xml:space="preserve"> 64,6</w:t>
      </w:r>
      <w:r w:rsidRPr="008F1D5A">
        <w:t>% przed rokiem do 6</w:t>
      </w:r>
      <w:r>
        <w:t>5</w:t>
      </w:r>
      <w:r w:rsidRPr="008F1D5A">
        <w:t>,6%.</w:t>
      </w:r>
    </w:p>
    <w:p w:rsidR="00F46F95" w:rsidRPr="008558CB" w:rsidRDefault="00836113" w:rsidP="00F46F95">
      <w:pPr>
        <w:pStyle w:val="tytuwykresu"/>
      </w:pPr>
      <w:r w:rsidRPr="00836113">
        <w:rPr>
          <w:noProof/>
          <w:lang w:eastAsia="pl-PL"/>
        </w:rPr>
        <w:drawing>
          <wp:anchor distT="107950" distB="144145" distL="114300" distR="114300" simplePos="0" relativeHeight="253040128" behindDoc="0" locked="0" layoutInCell="1" allowOverlap="1">
            <wp:simplePos x="0" y="0"/>
            <wp:positionH relativeFrom="margin">
              <wp:posOffset>583565</wp:posOffset>
            </wp:positionH>
            <wp:positionV relativeFrom="paragraph">
              <wp:posOffset>685090</wp:posOffset>
            </wp:positionV>
            <wp:extent cx="5482800" cy="2732400"/>
            <wp:effectExtent l="0" t="0" r="3810" b="0"/>
            <wp:wrapTopAndBottom/>
            <wp:docPr id="51" name="Obraz 51" descr="Poczwórny wykres kolumnowy (rodzaje środków trwałych) dla okresów 01–06 w latach 2022–2025 na osi poziomej. Oś pionowa – wzrost/spadek wielkości nakładów w stosunku do poprzedniego roku, wartości z przedziału od -20 do 7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2800" cy="27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6F95">
        <w:t>Wykres 11.</w:t>
      </w:r>
      <w:r w:rsidR="00F46F95">
        <w:tab/>
      </w:r>
      <w:r w:rsidR="00F46F95" w:rsidRPr="008558CB">
        <w:t xml:space="preserve">Nakłady inwestycyjne </w:t>
      </w:r>
      <w:r w:rsidR="00F46F95">
        <w:br/>
      </w:r>
      <w:r w:rsidR="00F46F95">
        <w:tab/>
      </w:r>
      <w:r w:rsidR="00F46F95" w:rsidRPr="008558CB">
        <w:t xml:space="preserve">(ceny bieżące; </w:t>
      </w:r>
      <w:r w:rsidR="00F46F95" w:rsidRPr="008558CB">
        <w:rPr>
          <w:shd w:val="clear" w:color="auto" w:fill="FFFFFF"/>
        </w:rPr>
        <w:t>wzrost/spadek w stosunku do analogicznego okresu roku poprzedniego</w:t>
      </w:r>
      <w:r w:rsidR="00F46F95" w:rsidRPr="008558CB">
        <w:t>)</w:t>
      </w:r>
      <w:r w:rsidR="00F46F95" w:rsidRPr="003E68BA">
        <w:rPr>
          <w:b w:val="0"/>
        </w:rPr>
        <w:t xml:space="preserve"> </w:t>
      </w:r>
    </w:p>
    <w:p w:rsidR="006508A3" w:rsidRPr="008F1D5A" w:rsidRDefault="006508A3" w:rsidP="006508A3">
      <w:pPr>
        <w:pStyle w:val="tekst"/>
      </w:pPr>
      <w:r w:rsidRPr="008F1D5A">
        <w:t>W porównaniu z 1 półroczem ub. roku wzrost nakładów inwestycyjnych odnotowano m.in. w przedsiębiorstwach związanych z transportem i gospodarką magazynową (</w:t>
      </w:r>
      <w:r>
        <w:t xml:space="preserve">ponad 2-krotny wzrost), informacją i komunikacją (o 61,2%) oraz </w:t>
      </w:r>
      <w:r w:rsidRPr="00522D27">
        <w:t>wytwarzanie</w:t>
      </w:r>
      <w:r>
        <w:t>m</w:t>
      </w:r>
      <w:r w:rsidRPr="00522D27">
        <w:t xml:space="preserve"> i zaopatrywanie</w:t>
      </w:r>
      <w:r>
        <w:t>m</w:t>
      </w:r>
      <w:r w:rsidRPr="00522D27">
        <w:t xml:space="preserve"> w energię elektryczną, gaz, parę wodną i gorącą wodę</w:t>
      </w:r>
      <w:r w:rsidRPr="008F1D5A">
        <w:t xml:space="preserve"> (o 1</w:t>
      </w:r>
      <w:r>
        <w:t>7</w:t>
      </w:r>
      <w:r w:rsidRPr="008F1D5A">
        <w:t xml:space="preserve">,1%). Spadek nakładów wystąpił m.in. w jednostkach zajmujących się </w:t>
      </w:r>
      <w:r>
        <w:t>przetwórstwem przemysłowym (o 15,7</w:t>
      </w:r>
      <w:r w:rsidRPr="008F1D5A">
        <w:t>%)</w:t>
      </w:r>
      <w:r w:rsidRPr="00CF59C5">
        <w:t xml:space="preserve"> </w:t>
      </w:r>
      <w:r w:rsidRPr="008F1D5A">
        <w:t xml:space="preserve">oraz handlem; naprawą pojazdów samochodowych (o </w:t>
      </w:r>
      <w:r>
        <w:t>2,0</w:t>
      </w:r>
      <w:r w:rsidRPr="008F1D5A">
        <w:t>%).</w:t>
      </w:r>
    </w:p>
    <w:p w:rsidR="006508A3" w:rsidRPr="008F1D5A" w:rsidRDefault="006508A3" w:rsidP="006508A3">
      <w:pPr>
        <w:pStyle w:val="tekst"/>
      </w:pPr>
      <w:r w:rsidRPr="008F1D5A">
        <w:t>W 1 półroczu br. najwięcej inwestowały przedsiębiorstwa z sekcji handel; naprawa pojazdów samochodowych (4</w:t>
      </w:r>
      <w:r>
        <w:t>0,5% ogółu poniesionych nakładów, tj. podobnie jak przed rokiem</w:t>
      </w:r>
      <w:r w:rsidRPr="008F1D5A">
        <w:t>) i przetwórstwo przemysłowe (</w:t>
      </w:r>
      <w:r>
        <w:t>29,3</w:t>
      </w:r>
      <w:r w:rsidRPr="008F1D5A">
        <w:t xml:space="preserve">% wobec </w:t>
      </w:r>
      <w:r w:rsidRPr="009852EA">
        <w:t>34,1</w:t>
      </w:r>
      <w:r w:rsidRPr="008F1D5A">
        <w:t>%), a w dalszej kolejności wytwarzanie i zaopatrywanie w energię elektryczną, gaz, parę wodną i gorącą wodę (</w:t>
      </w:r>
      <w:r>
        <w:t>11,5</w:t>
      </w:r>
      <w:r w:rsidRPr="008F1D5A">
        <w:t xml:space="preserve">% wobec </w:t>
      </w:r>
      <w:r w:rsidRPr="009852EA">
        <w:t>9,6</w:t>
      </w:r>
      <w:r w:rsidRPr="008F1D5A">
        <w:t>%), transport i gospodarka magazynowa (</w:t>
      </w:r>
      <w:r>
        <w:t>7,9</w:t>
      </w:r>
      <w:r w:rsidRPr="008F1D5A">
        <w:t xml:space="preserve">% wobec </w:t>
      </w:r>
      <w:r w:rsidRPr="009852EA">
        <w:t>3,7</w:t>
      </w:r>
      <w:r w:rsidRPr="008F1D5A">
        <w:t xml:space="preserve">%) oraz </w:t>
      </w:r>
      <w:r>
        <w:t>informacja i komunikacja</w:t>
      </w:r>
      <w:r w:rsidRPr="008F1D5A">
        <w:t xml:space="preserve"> (</w:t>
      </w:r>
      <w:r>
        <w:t>2,9</w:t>
      </w:r>
      <w:r w:rsidRPr="008F1D5A">
        <w:t xml:space="preserve">% wobec </w:t>
      </w:r>
      <w:r>
        <w:t>1,8%).</w:t>
      </w:r>
    </w:p>
    <w:p w:rsidR="00976783" w:rsidRDefault="006508A3" w:rsidP="006508A3">
      <w:pPr>
        <w:pStyle w:val="tekst"/>
      </w:pPr>
      <w:r w:rsidRPr="008F1D5A">
        <w:t xml:space="preserve">Na zakup używanych środków trwałych w 1 półroczu br. przedsiębiorstwa przeznaczyły łącznie </w:t>
      </w:r>
      <w:r w:rsidRPr="003A50E6">
        <w:t>511,8</w:t>
      </w:r>
      <w:r w:rsidRPr="008F1D5A">
        <w:t xml:space="preserve"> mln zł (o </w:t>
      </w:r>
      <w:r>
        <w:t>3</w:t>
      </w:r>
      <w:r w:rsidRPr="008F1D5A">
        <w:t xml:space="preserve">,5% </w:t>
      </w:r>
      <w:r>
        <w:t>mniej</w:t>
      </w:r>
      <w:r w:rsidRPr="008F1D5A">
        <w:t xml:space="preserve"> niż przed rokiem), z tego najwięcej na zakup gruntów (</w:t>
      </w:r>
      <w:r w:rsidRPr="003A50E6">
        <w:t>71,7</w:t>
      </w:r>
      <w:r w:rsidRPr="008F1D5A">
        <w:t>%). Takich inwestycji dokonano głównie w sekcjach handel; naprawa pojazdów samochodowych (</w:t>
      </w:r>
      <w:r>
        <w:t>56,5</w:t>
      </w:r>
      <w:r w:rsidRPr="008F1D5A">
        <w:t>% ogólnej kwoty nakładów na zakup używanych środków trwałych) i przetwórstwo przemysłowe (</w:t>
      </w:r>
      <w:r>
        <w:t>19,7</w:t>
      </w:r>
      <w:r w:rsidRPr="008F1D5A">
        <w:t>%).</w:t>
      </w:r>
      <w:r w:rsidR="00976783">
        <w:br w:type="page"/>
      </w:r>
    </w:p>
    <w:p w:rsidR="006508A3" w:rsidRPr="008F1D5A" w:rsidRDefault="006508A3" w:rsidP="006508A3">
      <w:pPr>
        <w:pStyle w:val="tekst"/>
      </w:pPr>
      <w:bookmarkStart w:id="50" w:name="_Toc64884834"/>
      <w:bookmarkStart w:id="51" w:name="_Toc64885003"/>
      <w:bookmarkStart w:id="52" w:name="_Toc64891656"/>
      <w:bookmarkStart w:id="53" w:name="_Toc164413800"/>
      <w:bookmarkStart w:id="54" w:name="_Toc205383520"/>
      <w:r w:rsidRPr="008F1D5A">
        <w:lastRenderedPageBreak/>
        <w:t xml:space="preserve">W 1 półroczu br. rozpoczęto </w:t>
      </w:r>
      <w:r w:rsidRPr="000F13A8">
        <w:t>13234</w:t>
      </w:r>
      <w:r>
        <w:t xml:space="preserve"> inwestycje</w:t>
      </w:r>
      <w:r w:rsidRPr="008F1D5A">
        <w:t xml:space="preserve">, tj. o </w:t>
      </w:r>
      <w:r>
        <w:t>blisko 80</w:t>
      </w:r>
      <w:r w:rsidRPr="008F1D5A">
        <w:t xml:space="preserve">% więcej niż przed rokiem. Łączna wartość kosztorysowa inwestycji rozpoczętych wyniosła </w:t>
      </w:r>
      <w:r w:rsidRPr="009D73A7">
        <w:t>2167,0</w:t>
      </w:r>
      <w:r w:rsidRPr="008F1D5A">
        <w:t xml:space="preserve"> mln zł i była o </w:t>
      </w:r>
      <w:r>
        <w:t>31,1</w:t>
      </w:r>
      <w:r w:rsidRPr="008F1D5A">
        <w:t xml:space="preserve">% </w:t>
      </w:r>
      <w:r>
        <w:t>mniejsza</w:t>
      </w:r>
      <w:r w:rsidRPr="008F1D5A">
        <w:t xml:space="preserve"> niż rok wcześniej. Na modernizację istniejących środków trwałych przypadało </w:t>
      </w:r>
      <w:r>
        <w:t>27,9</w:t>
      </w:r>
      <w:r w:rsidRPr="008F1D5A">
        <w:t xml:space="preserve">% wartości kosztorysowej inwestycji rozpoczętych (wobec </w:t>
      </w:r>
      <w:r>
        <w:t>39,5</w:t>
      </w:r>
      <w:r w:rsidRPr="008F1D5A">
        <w:t>% przed rokiem</w:t>
      </w:r>
      <w:r w:rsidRPr="00581FCC">
        <w:t xml:space="preserve">). Najwięcej inwestycji dotyczyło sekcji wytwarzanie i zaopatrywanie w energię elektryczną, gaz, parę wodną i gorącą wodę (11318 inwestycji, tj. </w:t>
      </w:r>
      <w:r>
        <w:t>85,5</w:t>
      </w:r>
      <w:r w:rsidRPr="00581FCC">
        <w:t xml:space="preserve">% ogólnej liczby zadań, o wartości kosztorysowej stanowiącej tylko </w:t>
      </w:r>
      <w:r>
        <w:t>16,0</w:t>
      </w:r>
      <w:r w:rsidRPr="00581FCC">
        <w:t>% ogółu inwestycji nowo rozpoczynanych). Najw</w:t>
      </w:r>
      <w:r w:rsidRPr="008F1D5A">
        <w:t>iększą wartość kosztorysową miały natomiast inwestycje przedsiębiorstw z sekcji handel; naprawa pojazdów samochodowych (</w:t>
      </w:r>
      <w:r>
        <w:t>46,8</w:t>
      </w:r>
      <w:r w:rsidRPr="008F1D5A">
        <w:t>% wartości kosztorysowej wszystkich inwestycji nowo rozpoczynanych w województwie) oraz przetwórstwo przemysłowe (</w:t>
      </w:r>
      <w:r>
        <w:t>31,6</w:t>
      </w:r>
      <w:r w:rsidRPr="008F1D5A">
        <w:t>%), przy czym ich udział w ogólnej lic</w:t>
      </w:r>
      <w:r>
        <w:t>zbie zadań wynosił odpowiednio 6</w:t>
      </w:r>
      <w:r w:rsidRPr="008F1D5A">
        <w:t xml:space="preserve">,9% i </w:t>
      </w:r>
      <w:r>
        <w:t>5,5</w:t>
      </w:r>
      <w:r w:rsidRPr="008F1D5A">
        <w:t>%.</w:t>
      </w:r>
    </w:p>
    <w:p w:rsidR="005928D2" w:rsidRDefault="005928D2" w:rsidP="005928D2">
      <w:pPr>
        <w:pStyle w:val="Nagwek1"/>
      </w:pPr>
      <w:r w:rsidRPr="00724771">
        <w:t>Podmioty gospodarki narodow</w:t>
      </w:r>
      <w:r w:rsidRPr="002C60CF">
        <w:rPr>
          <w:rStyle w:val="Nagwek1Znak"/>
        </w:rPr>
        <w:t>e</w:t>
      </w:r>
      <w:r w:rsidRPr="00724771">
        <w:t>j</w:t>
      </w:r>
      <w:bookmarkEnd w:id="50"/>
      <w:bookmarkEnd w:id="51"/>
      <w:bookmarkEnd w:id="52"/>
      <w:bookmarkEnd w:id="53"/>
      <w:bookmarkEnd w:id="54"/>
    </w:p>
    <w:p w:rsidR="0091619A" w:rsidRPr="00AD78B3" w:rsidRDefault="0091619A" w:rsidP="0091619A">
      <w:pPr>
        <w:pStyle w:val="tekst"/>
      </w:pPr>
      <w:r w:rsidRPr="00AD78B3">
        <w:t xml:space="preserve">Według stanu na koniec </w:t>
      </w:r>
      <w:r>
        <w:t>lipca</w:t>
      </w:r>
      <w:r w:rsidRPr="00AD78B3">
        <w:t xml:space="preserve"> </w:t>
      </w:r>
      <w:r>
        <w:t>br.</w:t>
      </w:r>
      <w:r w:rsidRPr="00AD78B3">
        <w:t xml:space="preserve"> w rejestrze REGON dla województwa wielkopolskiego ujętych było </w:t>
      </w:r>
      <w:r w:rsidRPr="000C209F">
        <w:t>52</w:t>
      </w:r>
      <w:r>
        <w:t xml:space="preserve">5,6 </w:t>
      </w:r>
      <w:r w:rsidRPr="00AD78B3">
        <w:t xml:space="preserve">tys. </w:t>
      </w:r>
      <w:r w:rsidRPr="00AD78B3">
        <w:rPr>
          <w:b/>
        </w:rPr>
        <w:t>podmiotów gospodarki narodowej</w:t>
      </w:r>
      <w:r w:rsidRPr="00AD78B3">
        <w:rPr>
          <w:rStyle w:val="Odwoanieprzypisudolnego"/>
          <w:rFonts w:cs="FiraSans-Regular"/>
          <w:szCs w:val="19"/>
        </w:rPr>
        <w:footnoteReference w:id="5"/>
      </w:r>
      <w:r w:rsidRPr="00AD78B3">
        <w:t xml:space="preserve">, </w:t>
      </w:r>
      <w:r>
        <w:t xml:space="preserve">tj. </w:t>
      </w:r>
      <w:r w:rsidRPr="00D243A4">
        <w:t>o 0,</w:t>
      </w:r>
      <w:r>
        <w:t>2</w:t>
      </w:r>
      <w:r w:rsidRPr="00D243A4">
        <w:t xml:space="preserve">% więcej niż </w:t>
      </w:r>
      <w:r>
        <w:t>w czerwcu br.</w:t>
      </w:r>
      <w:r w:rsidRPr="00D243A4">
        <w:t xml:space="preserve"> i o </w:t>
      </w:r>
      <w:r>
        <w:t>2,5</w:t>
      </w:r>
      <w:r w:rsidRPr="00D243A4">
        <w:t>% więcej niż przed rokiem</w:t>
      </w:r>
      <w:r>
        <w:t>.</w:t>
      </w:r>
      <w:r w:rsidRPr="00AD78B3">
        <w:t xml:space="preserve"> Liczba zarejestrowanych </w:t>
      </w:r>
      <w:r w:rsidRPr="00AD78B3">
        <w:rPr>
          <w:b/>
        </w:rPr>
        <w:t>osób fizycznych</w:t>
      </w:r>
      <w:r w:rsidRPr="00AD78B3">
        <w:t xml:space="preserve"> prowadzących dzi</w:t>
      </w:r>
      <w:r>
        <w:t xml:space="preserve">ałalność gospodarczą wyniosła </w:t>
      </w:r>
      <w:r w:rsidRPr="000C209F">
        <w:t>3</w:t>
      </w:r>
      <w:r>
        <w:t xml:space="preserve">83,0 </w:t>
      </w:r>
      <w:r w:rsidRPr="00AD78B3">
        <w:t>tys.</w:t>
      </w:r>
      <w:r>
        <w:t xml:space="preserve">, co w </w:t>
      </w:r>
      <w:r w:rsidRPr="00AD78B3">
        <w:t xml:space="preserve">porównaniu </w:t>
      </w:r>
      <w:r>
        <w:t>z lipcem</w:t>
      </w:r>
      <w:r w:rsidRPr="00AD78B3">
        <w:t xml:space="preserve"> </w:t>
      </w:r>
      <w:r>
        <w:t>ub. roku</w:t>
      </w:r>
      <w:r w:rsidRPr="00AD78B3">
        <w:t xml:space="preserve"> </w:t>
      </w:r>
      <w:r>
        <w:t>oznacza przyrost</w:t>
      </w:r>
      <w:r w:rsidRPr="00AD78B3">
        <w:t xml:space="preserve"> o 2,</w:t>
      </w:r>
      <w:r>
        <w:t>5</w:t>
      </w:r>
      <w:r w:rsidRPr="00AD78B3">
        <w:t xml:space="preserve">%. Do rejestru REGON wpisanych było ponadto </w:t>
      </w:r>
      <w:r w:rsidRPr="009A3597">
        <w:t>9</w:t>
      </w:r>
      <w:r>
        <w:t>4</w:t>
      </w:r>
      <w:r w:rsidRPr="009A3597">
        <w:t>,</w:t>
      </w:r>
      <w:r>
        <w:t xml:space="preserve">1 </w:t>
      </w:r>
      <w:r w:rsidRPr="00AD78B3">
        <w:t xml:space="preserve">tys. </w:t>
      </w:r>
      <w:r w:rsidRPr="00AD78B3">
        <w:rPr>
          <w:b/>
        </w:rPr>
        <w:t>spółek</w:t>
      </w:r>
      <w:r w:rsidRPr="00AD78B3">
        <w:t xml:space="preserve">, w tym </w:t>
      </w:r>
      <w:r w:rsidRPr="009A3597">
        <w:t>67,</w:t>
      </w:r>
      <w:r>
        <w:t>8 tys. spółek handlowych (w </w:t>
      </w:r>
      <w:r w:rsidRPr="00AD78B3">
        <w:t xml:space="preserve">skali roku liczba tych podmiotów wzrosła odpowiednio o </w:t>
      </w:r>
      <w:r>
        <w:t>2,3</w:t>
      </w:r>
      <w:r w:rsidRPr="00AD78B3">
        <w:t xml:space="preserve">% i o </w:t>
      </w:r>
      <w:r>
        <w:t>3,3</w:t>
      </w:r>
      <w:r w:rsidRPr="00AD78B3">
        <w:t xml:space="preserve">%) oraz </w:t>
      </w:r>
      <w:r w:rsidRPr="009A3597">
        <w:t>26,2</w:t>
      </w:r>
      <w:r>
        <w:t xml:space="preserve"> tys. spółek cywilnych (spadek o </w:t>
      </w:r>
      <w:r w:rsidRPr="00AD78B3">
        <w:t>0</w:t>
      </w:r>
      <w:r>
        <w:t>,2</w:t>
      </w:r>
      <w:r w:rsidRPr="00AD78B3">
        <w:t>%).</w:t>
      </w:r>
    </w:p>
    <w:p w:rsidR="0091619A" w:rsidRPr="00AD78B3" w:rsidRDefault="0091619A" w:rsidP="0091619A">
      <w:pPr>
        <w:pStyle w:val="tekst"/>
      </w:pPr>
      <w:r w:rsidRPr="00AD78B3">
        <w:t>W ujęciu</w:t>
      </w:r>
      <w:r w:rsidRPr="00AD78B3">
        <w:rPr>
          <w:b/>
        </w:rPr>
        <w:t xml:space="preserve"> </w:t>
      </w:r>
      <w:r w:rsidRPr="00AD78B3">
        <w:t>według</w:t>
      </w:r>
      <w:r w:rsidRPr="00AD78B3">
        <w:rPr>
          <w:b/>
        </w:rPr>
        <w:t xml:space="preserve"> przewidywanej liczby pracujących</w:t>
      </w:r>
      <w:r w:rsidRPr="00AD78B3">
        <w:t xml:space="preserve"> przeważały podmioty o liczbie pracujących poniżej 10 (96,</w:t>
      </w:r>
      <w:r>
        <w:t>9</w:t>
      </w:r>
      <w:r w:rsidRPr="00AD78B3">
        <w:t xml:space="preserve">% ogółu jednostek ujętych w rejestrze). W skali roku liczba podmiotów z tego przedziału zwiększyła się o </w:t>
      </w:r>
      <w:r>
        <w:t>2,6</w:t>
      </w:r>
      <w:r w:rsidRPr="00AD78B3">
        <w:t>%. Udział podmiotów o przewidywanej liczbie pracujących 10–49 wyniósł 2,</w:t>
      </w:r>
      <w:r>
        <w:t>6</w:t>
      </w:r>
      <w:r w:rsidRPr="00AD78B3">
        <w:t xml:space="preserve">%, a ich liczba w porównaniu </w:t>
      </w:r>
      <w:r>
        <w:t>z lipcem</w:t>
      </w:r>
      <w:r w:rsidRPr="00AD78B3">
        <w:t xml:space="preserve"> </w:t>
      </w:r>
      <w:r>
        <w:t>ub. roku</w:t>
      </w:r>
      <w:r w:rsidRPr="00AD78B3">
        <w:t xml:space="preserve"> zmniejszyła się o</w:t>
      </w:r>
      <w:r>
        <w:t> 2,2</w:t>
      </w:r>
      <w:r w:rsidRPr="00AD78B3">
        <w:t>%. Podmioty powyżej 49 pracujących stanowiły 0,</w:t>
      </w:r>
      <w:r>
        <w:t>6</w:t>
      </w:r>
      <w:r w:rsidRPr="00AD78B3">
        <w:t xml:space="preserve">% wszystkich jednostek wpisanych do rejestru REGON, a ich liczba </w:t>
      </w:r>
      <w:r>
        <w:t xml:space="preserve">spadła </w:t>
      </w:r>
      <w:r w:rsidRPr="00AD78B3">
        <w:t xml:space="preserve">w ciągu roku o </w:t>
      </w:r>
      <w:r>
        <w:t>1,7</w:t>
      </w:r>
      <w:r w:rsidRPr="00AD78B3">
        <w:t>%.</w:t>
      </w:r>
    </w:p>
    <w:p w:rsidR="0091619A" w:rsidRDefault="0091619A" w:rsidP="0091619A">
      <w:pPr>
        <w:pStyle w:val="tekst"/>
      </w:pPr>
      <w:r w:rsidRPr="00AD78B3">
        <w:t xml:space="preserve">Ze względu na rodzaj działalności w analizowanym okresie największy wzrost liczby podmiotów </w:t>
      </w:r>
      <w:r>
        <w:t>ponownie odnotowano w </w:t>
      </w:r>
      <w:r w:rsidRPr="00AD78B3">
        <w:t>sekcja</w:t>
      </w:r>
      <w:r>
        <w:t xml:space="preserve">ch: </w:t>
      </w:r>
      <w:r w:rsidRPr="00AD78B3">
        <w:t>wytwarzanie i zaopatrywanie w energię elektryczną, gaz, parę wodną i gorącą wodę (o</w:t>
      </w:r>
      <w:r>
        <w:t xml:space="preserve"> 10,2</w:t>
      </w:r>
      <w:r w:rsidRPr="00AD78B3">
        <w:t xml:space="preserve">%), administrowanie i działalność wspierająca (o </w:t>
      </w:r>
      <w:r>
        <w:t>10,0</w:t>
      </w:r>
      <w:r w:rsidRPr="00AD78B3">
        <w:t>%)</w:t>
      </w:r>
      <w:r>
        <w:t>,</w:t>
      </w:r>
      <w:r w:rsidRPr="00E73ADF">
        <w:t xml:space="preserve"> </w:t>
      </w:r>
      <w:r w:rsidRPr="00D243A4">
        <w:t xml:space="preserve">edukacja (o </w:t>
      </w:r>
      <w:r>
        <w:t>5,8</w:t>
      </w:r>
      <w:r w:rsidRPr="00D243A4">
        <w:t>%)</w:t>
      </w:r>
      <w:r>
        <w:t xml:space="preserve">, </w:t>
      </w:r>
      <w:r w:rsidRPr="004E2F44">
        <w:t xml:space="preserve">opieka zdrowotna i pomoc społeczna </w:t>
      </w:r>
      <w:r>
        <w:t xml:space="preserve">(o </w:t>
      </w:r>
      <w:r w:rsidRPr="00D243A4">
        <w:t>4,</w:t>
      </w:r>
      <w:r>
        <w:t>6</w:t>
      </w:r>
      <w:r w:rsidRPr="00D243A4">
        <w:t>%)</w:t>
      </w:r>
      <w:r w:rsidRPr="007F5361">
        <w:t xml:space="preserve"> </w:t>
      </w:r>
      <w:r w:rsidRPr="00D243A4">
        <w:t>oraz</w:t>
      </w:r>
      <w:r>
        <w:t xml:space="preserve"> informacja i komunikacja (o </w:t>
      </w:r>
      <w:r w:rsidRPr="00E73ADF">
        <w:t>4,</w:t>
      </w:r>
      <w:r>
        <w:t>3%)</w:t>
      </w:r>
      <w:r w:rsidRPr="00AD78B3">
        <w:t xml:space="preserve">. </w:t>
      </w:r>
    </w:p>
    <w:p w:rsidR="0091619A" w:rsidRPr="00AD78B3" w:rsidRDefault="0091619A" w:rsidP="0091619A">
      <w:pPr>
        <w:pStyle w:val="tekst"/>
      </w:pPr>
      <w:r>
        <w:t>W lipcu</w:t>
      </w:r>
      <w:r w:rsidRPr="00AD78B3">
        <w:t xml:space="preserve"> </w:t>
      </w:r>
      <w:r>
        <w:t>br.</w:t>
      </w:r>
      <w:r w:rsidRPr="00AD78B3">
        <w:t xml:space="preserve"> do rejestru REGON wpisano </w:t>
      </w:r>
      <w:r>
        <w:t>2689</w:t>
      </w:r>
      <w:r w:rsidRPr="00AD78B3">
        <w:t xml:space="preserve"> </w:t>
      </w:r>
      <w:r w:rsidRPr="00AD78B3">
        <w:rPr>
          <w:b/>
        </w:rPr>
        <w:t>now</w:t>
      </w:r>
      <w:r>
        <w:rPr>
          <w:b/>
        </w:rPr>
        <w:t>ych</w:t>
      </w:r>
      <w:r w:rsidRPr="00AD78B3">
        <w:rPr>
          <w:b/>
        </w:rPr>
        <w:t xml:space="preserve"> podmiot</w:t>
      </w:r>
      <w:r>
        <w:rPr>
          <w:b/>
        </w:rPr>
        <w:t>ów</w:t>
      </w:r>
      <w:r w:rsidRPr="00AD78B3">
        <w:t xml:space="preserve">, </w:t>
      </w:r>
      <w:r>
        <w:t xml:space="preserve">tj. </w:t>
      </w:r>
      <w:r w:rsidRPr="00AD78B3">
        <w:t xml:space="preserve">o </w:t>
      </w:r>
      <w:r>
        <w:t>118</w:t>
      </w:r>
      <w:r w:rsidRPr="00AD78B3">
        <w:t xml:space="preserve"> (o </w:t>
      </w:r>
      <w:r>
        <w:t>4,6</w:t>
      </w:r>
      <w:r w:rsidRPr="00AD78B3">
        <w:t xml:space="preserve">%) </w:t>
      </w:r>
      <w:r>
        <w:t>więcej</w:t>
      </w:r>
      <w:r w:rsidRPr="00AD78B3">
        <w:t xml:space="preserve"> niż w poprzednim miesiącu. Wśród nowo zarejestrowanych jednostek przeważały</w:t>
      </w:r>
      <w:r>
        <w:t xml:space="preserve"> </w:t>
      </w:r>
      <w:r w:rsidRPr="00AD78B3">
        <w:t>osoby fizyczne prowadzące działalność gospodarczą (</w:t>
      </w:r>
      <w:r>
        <w:t>2003</w:t>
      </w:r>
      <w:r w:rsidRPr="00AD78B3">
        <w:t xml:space="preserve">; o </w:t>
      </w:r>
      <w:r>
        <w:t>13</w:t>
      </w:r>
      <w:r w:rsidRPr="00546140">
        <w:t xml:space="preserve"> </w:t>
      </w:r>
      <w:r w:rsidRPr="00AD78B3">
        <w:t>jednost</w:t>
      </w:r>
      <w:r>
        <w:t>e</w:t>
      </w:r>
      <w:r w:rsidRPr="00AD78B3">
        <w:t xml:space="preserve">k, tj. o </w:t>
      </w:r>
      <w:r>
        <w:t>0,6</w:t>
      </w:r>
      <w:r w:rsidRPr="00AD78B3">
        <w:t xml:space="preserve">%, </w:t>
      </w:r>
      <w:r>
        <w:t>mni</w:t>
      </w:r>
      <w:r w:rsidRPr="00AD78B3">
        <w:t xml:space="preserve">ej niż </w:t>
      </w:r>
      <w:r>
        <w:t>w czerwcu br.</w:t>
      </w:r>
      <w:r w:rsidRPr="00AD78B3">
        <w:t xml:space="preserve">). Ponadto </w:t>
      </w:r>
      <w:r>
        <w:t>w lipcu</w:t>
      </w:r>
      <w:r w:rsidRPr="00AD78B3">
        <w:t xml:space="preserve"> </w:t>
      </w:r>
      <w:r>
        <w:t>br.</w:t>
      </w:r>
      <w:r w:rsidRPr="00AD78B3">
        <w:t xml:space="preserve"> zarejestrowano </w:t>
      </w:r>
      <w:r>
        <w:t>477 nowych spółek handlowych (o 106 więcej</w:t>
      </w:r>
      <w:r w:rsidRPr="00AD78B3">
        <w:t xml:space="preserve"> niż przed miesiącem), w tym </w:t>
      </w:r>
      <w:r>
        <w:t>452</w:t>
      </w:r>
      <w:r w:rsidRPr="00AD78B3">
        <w:t xml:space="preserve"> spół</w:t>
      </w:r>
      <w:r>
        <w:t>ki</w:t>
      </w:r>
      <w:r w:rsidRPr="00AD78B3">
        <w:t xml:space="preserve"> z ograniczoną odpowiedzialnością (o </w:t>
      </w:r>
      <w:r>
        <w:t>95 więcej</w:t>
      </w:r>
      <w:r w:rsidRPr="00AD78B3">
        <w:t>).</w:t>
      </w:r>
    </w:p>
    <w:p w:rsidR="0091619A" w:rsidRDefault="0091619A" w:rsidP="0091619A">
      <w:pPr>
        <w:pStyle w:val="tekst"/>
      </w:pPr>
      <w:r>
        <w:t>W lipcu</w:t>
      </w:r>
      <w:r w:rsidRPr="00AD78B3">
        <w:t xml:space="preserve"> </w:t>
      </w:r>
      <w:r>
        <w:t>br.</w:t>
      </w:r>
      <w:r w:rsidRPr="00AD78B3">
        <w:t xml:space="preserve"> z rejestru REGON </w:t>
      </w:r>
      <w:r w:rsidRPr="00AD78B3">
        <w:rPr>
          <w:b/>
        </w:rPr>
        <w:t>wykreślono</w:t>
      </w:r>
      <w:r w:rsidRPr="00AD78B3">
        <w:t xml:space="preserve"> </w:t>
      </w:r>
      <w:r w:rsidRPr="00FA2B7C">
        <w:t>1</w:t>
      </w:r>
      <w:r>
        <w:t xml:space="preserve">683 </w:t>
      </w:r>
      <w:r w:rsidRPr="00AD78B3">
        <w:t>podmiot</w:t>
      </w:r>
      <w:r>
        <w:t>y</w:t>
      </w:r>
      <w:r w:rsidRPr="00AD78B3">
        <w:t xml:space="preserve">, tj. o </w:t>
      </w:r>
      <w:r>
        <w:t>129 (o 8,3</w:t>
      </w:r>
      <w:r w:rsidRPr="00AD78B3">
        <w:t>%</w:t>
      </w:r>
      <w:r>
        <w:t>)</w:t>
      </w:r>
      <w:r w:rsidRPr="00AD78B3">
        <w:t xml:space="preserve"> </w:t>
      </w:r>
      <w:r>
        <w:t>więce</w:t>
      </w:r>
      <w:r w:rsidRPr="00AD78B3">
        <w:t xml:space="preserve">j niż </w:t>
      </w:r>
      <w:r>
        <w:t>w czerwcu br.</w:t>
      </w:r>
      <w:r w:rsidRPr="00AD78B3">
        <w:t xml:space="preserve">, w tym </w:t>
      </w:r>
      <w:r w:rsidRPr="00FA2B7C">
        <w:t>1</w:t>
      </w:r>
      <w:r>
        <w:t>358 osób</w:t>
      </w:r>
      <w:r w:rsidRPr="00AD78B3">
        <w:t xml:space="preserve"> fizyczn</w:t>
      </w:r>
      <w:r>
        <w:t>ych</w:t>
      </w:r>
      <w:r w:rsidRPr="00AD78B3">
        <w:t xml:space="preserve"> prowadząc</w:t>
      </w:r>
      <w:r>
        <w:t>ych</w:t>
      </w:r>
      <w:r w:rsidRPr="00AD78B3">
        <w:t xml:space="preserve"> działalność gospodarczą, o </w:t>
      </w:r>
      <w:r>
        <w:t>107 (o 8,6</w:t>
      </w:r>
      <w:r w:rsidRPr="00AD78B3">
        <w:t>%</w:t>
      </w:r>
      <w:r>
        <w:t>) więcej</w:t>
      </w:r>
      <w:r w:rsidRPr="00AD78B3">
        <w:t xml:space="preserve"> niż przed miesiącem.</w:t>
      </w:r>
    </w:p>
    <w:p w:rsidR="00976783" w:rsidRDefault="00976783" w:rsidP="0091619A">
      <w:pPr>
        <w:pStyle w:val="tekst"/>
      </w:pPr>
      <w:r>
        <w:br w:type="page"/>
      </w:r>
    </w:p>
    <w:p w:rsidR="005928D2" w:rsidRPr="007F73D2" w:rsidRDefault="00E83410" w:rsidP="005928D2">
      <w:pPr>
        <w:pStyle w:val="tytuwykresu"/>
        <w:spacing w:before="240"/>
        <w:rPr>
          <w:b w:val="0"/>
        </w:rPr>
      </w:pPr>
      <w:r w:rsidRPr="00E83410">
        <w:rPr>
          <w:noProof/>
          <w:lang w:eastAsia="pl-PL"/>
        </w:rPr>
        <w:lastRenderedPageBreak/>
        <w:drawing>
          <wp:anchor distT="0" distB="0" distL="114300" distR="114300" simplePos="0" relativeHeight="253051392" behindDoc="0" locked="0" layoutInCell="1" allowOverlap="1">
            <wp:simplePos x="0" y="0"/>
            <wp:positionH relativeFrom="column">
              <wp:posOffset>1180922</wp:posOffset>
            </wp:positionH>
            <wp:positionV relativeFrom="paragraph">
              <wp:posOffset>329184</wp:posOffset>
            </wp:positionV>
            <wp:extent cx="3591560" cy="6378575"/>
            <wp:effectExtent l="0" t="0" r="8890" b="3175"/>
            <wp:wrapTopAndBottom/>
            <wp:docPr id="9" name="Obraz 9" descr="Podwójny wykres słupkowy (podmioty nowo zarejestrowane i wyrejestrowane) dla powiatów województwa wielkopolskiego, z wyróżnieniem powiatu poznańskiego i miasta Poznania. Sort według liczby podmiotów nowo zarejestrowa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91560" cy="6378575"/>
                    </a:xfrm>
                    <a:prstGeom prst="rect">
                      <a:avLst/>
                    </a:prstGeom>
                    <a:noFill/>
                    <a:ln>
                      <a:noFill/>
                    </a:ln>
                  </pic:spPr>
                </pic:pic>
              </a:graphicData>
            </a:graphic>
          </wp:anchor>
        </w:drawing>
      </w:r>
      <w:r w:rsidR="001A3599">
        <w:t>Wykres 1</w:t>
      </w:r>
      <w:r w:rsidR="00F46F95">
        <w:t>2</w:t>
      </w:r>
      <w:r w:rsidR="005928D2" w:rsidRPr="00B4057C">
        <w:t>.</w:t>
      </w:r>
      <w:r w:rsidR="005928D2">
        <w:tab/>
        <w:t xml:space="preserve">Podmioty gospodarki narodowej nowo zarejestrowane i wyrejestrowane </w:t>
      </w:r>
      <w:r w:rsidR="00DE0C69">
        <w:t xml:space="preserve">w </w:t>
      </w:r>
      <w:r w:rsidR="00883C75">
        <w:t>lipcu</w:t>
      </w:r>
      <w:r w:rsidR="005928D2">
        <w:t xml:space="preserve"> 2025 r.</w:t>
      </w:r>
      <w:r w:rsidR="005928D2" w:rsidRPr="007C2E61">
        <w:rPr>
          <w:b w:val="0"/>
        </w:rPr>
        <w:t xml:space="preserve"> </w:t>
      </w:r>
    </w:p>
    <w:p w:rsidR="005928D2" w:rsidRDefault="0091619A" w:rsidP="005928D2">
      <w:pPr>
        <w:pStyle w:val="tekst"/>
        <w:spacing w:before="480" w:after="360"/>
      </w:pPr>
      <w:r w:rsidRPr="00AD78B3">
        <w:t xml:space="preserve">Według stanu na koniec </w:t>
      </w:r>
      <w:r>
        <w:t>lipca</w:t>
      </w:r>
      <w:r w:rsidRPr="00AD78B3">
        <w:t xml:space="preserve"> </w:t>
      </w:r>
      <w:r>
        <w:t>br.</w:t>
      </w:r>
      <w:r w:rsidRPr="00AD78B3">
        <w:t xml:space="preserve"> w rejestrze REGON dla województwa wielkopolskiego </w:t>
      </w:r>
      <w:r w:rsidRPr="00FA2B7C">
        <w:t>7</w:t>
      </w:r>
      <w:r>
        <w:t>4,3</w:t>
      </w:r>
      <w:r w:rsidRPr="00FA2B7C">
        <w:t xml:space="preserve"> </w:t>
      </w:r>
      <w:r w:rsidRPr="00AD78B3">
        <w:t xml:space="preserve">tys. podmiotów miało </w:t>
      </w:r>
      <w:r w:rsidRPr="00AD78B3">
        <w:rPr>
          <w:b/>
        </w:rPr>
        <w:t xml:space="preserve">zawieszoną działalność </w:t>
      </w:r>
      <w:r w:rsidRPr="00AD78B3">
        <w:t xml:space="preserve">(o </w:t>
      </w:r>
      <w:r>
        <w:t>2,2</w:t>
      </w:r>
      <w:r w:rsidRPr="00AD78B3">
        <w:t xml:space="preserve">% </w:t>
      </w:r>
      <w:r>
        <w:t>więcej</w:t>
      </w:r>
      <w:r w:rsidRPr="00AD78B3">
        <w:t xml:space="preserve"> niż </w:t>
      </w:r>
      <w:r>
        <w:t>w końcu czerwca br.</w:t>
      </w:r>
      <w:r w:rsidRPr="00AD78B3">
        <w:t>). Zdecydowaną większość stanowiły osoby fizyczne prowad</w:t>
      </w:r>
      <w:r>
        <w:t>zące działalność gospodarczą (71</w:t>
      </w:r>
      <w:r w:rsidRPr="00FA2B7C">
        <w:t>,</w:t>
      </w:r>
      <w:r>
        <w:t xml:space="preserve">6 </w:t>
      </w:r>
      <w:r w:rsidRPr="00AD78B3">
        <w:t xml:space="preserve">tys., tj. </w:t>
      </w:r>
      <w:r w:rsidRPr="00FA2B7C">
        <w:t>9</w:t>
      </w:r>
      <w:r>
        <w:t>6</w:t>
      </w:r>
      <w:r w:rsidRPr="00FA2B7C">
        <w:t>,</w:t>
      </w:r>
      <w:r>
        <w:t>3</w:t>
      </w:r>
      <w:r w:rsidRPr="00AD78B3">
        <w:t>%).</w:t>
      </w:r>
    </w:p>
    <w:p w:rsidR="00976783" w:rsidRDefault="00976783" w:rsidP="005928D2">
      <w:pPr>
        <w:pStyle w:val="tytuwykresu"/>
        <w:rPr>
          <w:noProof/>
          <w:lang w:eastAsia="pl-PL"/>
        </w:rPr>
      </w:pPr>
      <w:r>
        <w:rPr>
          <w:noProof/>
          <w:lang w:eastAsia="pl-PL"/>
        </w:rPr>
        <w:br w:type="page"/>
      </w:r>
    </w:p>
    <w:p w:rsidR="005928D2" w:rsidRPr="006359B9" w:rsidRDefault="009D7667" w:rsidP="005928D2">
      <w:pPr>
        <w:pStyle w:val="tytuwykresu"/>
        <w:rPr>
          <w:b w:val="0"/>
        </w:rPr>
      </w:pPr>
      <w:r w:rsidRPr="009D7667">
        <w:rPr>
          <w:noProof/>
          <w:lang w:eastAsia="pl-PL"/>
        </w:rPr>
        <w:lastRenderedPageBreak/>
        <w:drawing>
          <wp:anchor distT="0" distB="0" distL="114300" distR="114300" simplePos="0" relativeHeight="253042176" behindDoc="0" locked="0" layoutInCell="1" allowOverlap="1">
            <wp:simplePos x="0" y="0"/>
            <wp:positionH relativeFrom="margin">
              <wp:align>center</wp:align>
            </wp:positionH>
            <wp:positionV relativeFrom="paragraph">
              <wp:posOffset>542925</wp:posOffset>
            </wp:positionV>
            <wp:extent cx="4161155" cy="5230495"/>
            <wp:effectExtent l="0" t="0" r="0" b="8255"/>
            <wp:wrapTopAndBottom/>
            <wp:docPr id="54" name="Obraz 54" descr="Mapa statystyczna – podmioty gospodarki narodowej z zawieszoną działalnością – na którą składa się kartogram i kartodiagram. Kartogram – dla powiatów województwa wielkopolskiego –prezentuje zmianę (wzrost/spadek w %) w relacji do poprzedniego miesiąca liczby podmiotów ogółem. Cieniowanie – 5 przedziałów według wielkości zmian. Kartodiagram słupkowy przedstawia wzrost (w %) liczby osób fizycznych w poszczególnych powiatach. Dodatkowo wartości dla Polski (1,6% tak dla podmiotów ogółem, jak i osób fizycznych) oraz dla województwa wielkopolskiego (w obu przypadkach 2,2%).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61600" cy="523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Mapa 3</w:t>
      </w:r>
      <w:r w:rsidR="005928D2" w:rsidRPr="00E26EA7">
        <w:t>.</w:t>
      </w:r>
      <w:r w:rsidR="005928D2">
        <w:tab/>
        <w:t>Podmioty gospodarki narodowej z zawieszoną działalnością w 2025 r.</w:t>
      </w:r>
      <w:r w:rsidR="005928D2">
        <w:br/>
      </w:r>
      <w:r w:rsidR="005928D2" w:rsidRPr="00E85AA5">
        <w:tab/>
        <w:t xml:space="preserve">Stan w </w:t>
      </w:r>
      <w:r w:rsidR="005928D2">
        <w:t xml:space="preserve">końcu </w:t>
      </w:r>
      <w:r w:rsidR="00883C75">
        <w:t>lip</w:t>
      </w:r>
      <w:r w:rsidR="005612D4">
        <w:t>ca</w:t>
      </w:r>
      <w:r w:rsidR="005928D2" w:rsidRPr="0007251B">
        <w:rPr>
          <w:b w:val="0"/>
        </w:rPr>
        <w:t xml:space="preserve"> </w:t>
      </w:r>
    </w:p>
    <w:p w:rsidR="005928D2" w:rsidRPr="000B35C5" w:rsidRDefault="005928D2" w:rsidP="005928D2">
      <w:pPr>
        <w:pStyle w:val="Nagwek1"/>
      </w:pPr>
      <w:bookmarkStart w:id="55" w:name="_Toc64884835"/>
      <w:bookmarkStart w:id="56" w:name="_Toc64885004"/>
      <w:bookmarkStart w:id="57" w:name="_Toc64891657"/>
      <w:bookmarkStart w:id="58" w:name="_Toc164413801"/>
      <w:bookmarkStart w:id="59" w:name="_Toc205383521"/>
      <w:r w:rsidRPr="006C0BE2">
        <w:t>Koniunktura gospodarcza</w:t>
      </w:r>
      <w:bookmarkEnd w:id="55"/>
      <w:bookmarkEnd w:id="56"/>
      <w:bookmarkEnd w:id="57"/>
      <w:bookmarkEnd w:id="58"/>
      <w:bookmarkEnd w:id="59"/>
    </w:p>
    <w:p w:rsidR="00A42D87" w:rsidRDefault="00C636E1" w:rsidP="00242DD3">
      <w:pPr>
        <w:pStyle w:val="tekst"/>
      </w:pPr>
      <w:r w:rsidRPr="00E839A0">
        <w:t>W sierpniu br. wskaźnik ogólnego klimatu koniunktury wskazuje poprawę koniunktury gospodarczej jedynie w przetwórstwie przemysłowym oraz zakwaterowaniu i gastronomii. W porównaniu z poprzednim miesiącem największy wzrost wskaźnika odnotowano</w:t>
      </w:r>
      <w:r>
        <w:t xml:space="preserve"> w zakwaterowaniu i gastronomii,</w:t>
      </w:r>
      <w:r w:rsidRPr="00E839A0">
        <w:t xml:space="preserve"> </w:t>
      </w:r>
      <w:r>
        <w:t>n</w:t>
      </w:r>
      <w:r w:rsidRPr="00E839A0">
        <w:t xml:space="preserve">atomiast największe pogorszenie koniunktury wystąpiło w informacji komunikacji. </w:t>
      </w:r>
      <w:r w:rsidRPr="005D078A">
        <w:t>Najbardziej korzystne oceny formułują podmioty z sekcji zakwaterowanie i gastronomia, a wartość wskaźnika jest wyż</w:t>
      </w:r>
      <w:r>
        <w:t>sza od</w:t>
      </w:r>
      <w:r w:rsidRPr="005D078A">
        <w:t xml:space="preserve"> średniej długookresowej. Jednostki zajmujące się przetwórstwem przemysłowym oceniają koniunkturę najbardziej pesymistycznie, a wartość wskaźnika </w:t>
      </w:r>
      <w:r>
        <w:t>kształtuje się</w:t>
      </w:r>
      <w:r w:rsidRPr="005D078A">
        <w:t xml:space="preserve"> poniżej średniej.</w:t>
      </w:r>
    </w:p>
    <w:p w:rsidR="000A4ACE" w:rsidRDefault="000A4ACE" w:rsidP="00242DD3">
      <w:pPr>
        <w:pStyle w:val="tekst"/>
      </w:pPr>
      <w:r>
        <w:br w:type="page"/>
      </w:r>
    </w:p>
    <w:p w:rsidR="005928D2" w:rsidRPr="00BE3C18" w:rsidRDefault="009E0635" w:rsidP="005928D2">
      <w:pPr>
        <w:pStyle w:val="tytuwykresu"/>
      </w:pPr>
      <w:r w:rsidRPr="009E0635">
        <w:rPr>
          <w:noProof/>
          <w:lang w:eastAsia="pl-PL"/>
        </w:rPr>
        <w:lastRenderedPageBreak/>
        <w:drawing>
          <wp:anchor distT="0" distB="0" distL="114300" distR="114300" simplePos="0" relativeHeight="253050368" behindDoc="0" locked="0" layoutInCell="1" allowOverlap="1">
            <wp:simplePos x="0" y="0"/>
            <wp:positionH relativeFrom="margin">
              <wp:align>center</wp:align>
            </wp:positionH>
            <wp:positionV relativeFrom="paragraph">
              <wp:posOffset>381000</wp:posOffset>
            </wp:positionV>
            <wp:extent cx="5581650" cy="3514725"/>
            <wp:effectExtent l="0" t="0" r="0" b="9525"/>
            <wp:wrapTopAndBottom/>
            <wp:docPr id="2" name="Obraz 2" descr="Dwa podwójne, dwustronne wykresy słupkowe. Lewy , główny – pogorszenie / poprawa wskaźników ogólnego klimatu koniunktury: oś pozioma od -30 do 30%. Prawy, dodatkowy – saldo: oś pozioma od -20 do 30%. Na osi pionowej 7 sekcji PKD w 3 okresach: miesiąc badania (sierpień 2025 r.), poprzedni miesiąc i analogiczny miesiąc ub. roku.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1650" cy="3514725"/>
                    </a:xfrm>
                    <a:prstGeom prst="rect">
                      <a:avLst/>
                    </a:prstGeom>
                    <a:noFill/>
                    <a:ln>
                      <a:noFill/>
                    </a:ln>
                  </pic:spPr>
                </pic:pic>
              </a:graphicData>
            </a:graphic>
          </wp:anchor>
        </w:drawing>
      </w:r>
      <w:r w:rsidR="005928D2" w:rsidRPr="00BE3C18">
        <w:t xml:space="preserve">Wykres </w:t>
      </w:r>
      <w:r w:rsidR="001A3599">
        <w:t>1</w:t>
      </w:r>
      <w:r w:rsidR="005E1139">
        <w:t>3</w:t>
      </w:r>
      <w:r w:rsidR="005928D2">
        <w:t>.</w:t>
      </w:r>
      <w:r w:rsidR="005928D2">
        <w:tab/>
      </w:r>
      <w:r w:rsidR="005928D2" w:rsidRPr="00BE3C18">
        <w:t>Wskaźniki ogólnego klimatu koniunktury według rodzaju działalności (sekcje i działy PKD 2007)</w:t>
      </w:r>
      <w:r w:rsidR="005928D2" w:rsidRPr="00BD48E2">
        <w:t xml:space="preserve"> </w:t>
      </w:r>
    </w:p>
    <w:p w:rsidR="00880B2B" w:rsidRDefault="00880B2B" w:rsidP="00880B2B">
      <w:pPr>
        <w:pStyle w:val="pytkoniunkt"/>
        <w:spacing w:before="240"/>
        <w:rPr>
          <w:rFonts w:cstheme="minorBidi"/>
          <w:b/>
          <w:i w:val="0"/>
          <w:spacing w:val="-2"/>
          <w:szCs w:val="22"/>
        </w:rPr>
      </w:pPr>
      <w:r w:rsidRPr="001E751F">
        <w:rPr>
          <w:rFonts w:cstheme="minorBidi"/>
          <w:b/>
          <w:i w:val="0"/>
          <w:spacing w:val="-2"/>
          <w:szCs w:val="22"/>
        </w:rPr>
        <w:t xml:space="preserve">Wyniki badania dot. </w:t>
      </w:r>
      <w:r>
        <w:rPr>
          <w:rFonts w:cstheme="minorBidi"/>
          <w:b/>
          <w:i w:val="0"/>
          <w:spacing w:val="-2"/>
          <w:szCs w:val="22"/>
        </w:rPr>
        <w:t>inwestycji</w:t>
      </w:r>
      <w:r w:rsidRPr="00264F57">
        <w:rPr>
          <w:rStyle w:val="Odwoanieprzypisudolnego"/>
        </w:rPr>
        <w:footnoteReference w:id="6"/>
      </w:r>
    </w:p>
    <w:p w:rsidR="00152F36" w:rsidRPr="00C9295D" w:rsidRDefault="00953FCB" w:rsidP="00880B2B">
      <w:pPr>
        <w:pStyle w:val="pytkoniunkt"/>
      </w:pPr>
      <w:r w:rsidRPr="00953FCB">
        <w:rPr>
          <w:noProof/>
          <w:lang w:eastAsia="pl-PL"/>
        </w:rPr>
        <w:drawing>
          <wp:anchor distT="0" distB="144145" distL="114300" distR="114300" simplePos="0" relativeHeight="253049344" behindDoc="0" locked="0" layoutInCell="1" allowOverlap="1">
            <wp:simplePos x="0" y="0"/>
            <wp:positionH relativeFrom="margin">
              <wp:align>center</wp:align>
            </wp:positionH>
            <wp:positionV relativeFrom="paragraph">
              <wp:posOffset>695325</wp:posOffset>
            </wp:positionV>
            <wp:extent cx="5212800" cy="1944000"/>
            <wp:effectExtent l="0" t="0" r="6985" b="0"/>
            <wp:wrapTopAndBottom/>
            <wp:docPr id="13" name="Obraz 13" descr="Wykres kolumnowy strukturalny (100%), dla 5 sekcji PKD (kolumny) i przewidywań, co do poziomu inwestycji (struktura).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2800" cy="19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0B2B">
        <w:t>Pyt. 1</w:t>
      </w:r>
      <w:r w:rsidR="00880B2B" w:rsidRPr="004B6EC7">
        <w:t>.</w:t>
      </w:r>
      <w:r w:rsidR="00880B2B" w:rsidRPr="0081292A">
        <w:t xml:space="preserve"> </w:t>
      </w:r>
      <w:r w:rsidR="00880B2B" w:rsidRPr="006D561A">
        <w:t xml:space="preserve">Jakie są Państwa aktualne przewidywania, co do poziomu inwestycji Państwa firmy w </w:t>
      </w:r>
      <w:r w:rsidR="00880B2B">
        <w:t>2025 r.</w:t>
      </w:r>
      <w:r w:rsidR="00880B2B" w:rsidRPr="006D561A">
        <w:t xml:space="preserve"> w odniesieniu do </w:t>
      </w:r>
      <w:r w:rsidR="00880B2B">
        <w:br/>
      </w:r>
      <w:r w:rsidR="00880B2B" w:rsidRPr="006D561A">
        <w:t xml:space="preserve">inwestycji zrealizowanych w </w:t>
      </w:r>
      <w:r w:rsidR="00880B2B">
        <w:t>2024 r.?</w:t>
      </w:r>
      <w:r w:rsidR="00152F36" w:rsidRPr="00C9295D">
        <w:t xml:space="preserve"> </w:t>
      </w:r>
    </w:p>
    <w:p w:rsidR="00C636E1" w:rsidRDefault="00C636E1" w:rsidP="00C636E1">
      <w:pPr>
        <w:spacing w:before="240"/>
      </w:pPr>
      <w:r w:rsidRPr="006D561A">
        <w:t>W większości badanych branż przedsiębiorcy przewid</w:t>
      </w:r>
      <w:r>
        <w:t>ują</w:t>
      </w:r>
      <w:r w:rsidRPr="006D561A">
        <w:t xml:space="preserve">, że w </w:t>
      </w:r>
      <w:r>
        <w:t>2025</w:t>
      </w:r>
      <w:r w:rsidRPr="006D561A">
        <w:t xml:space="preserve"> r.</w:t>
      </w:r>
      <w:r w:rsidRPr="00092605">
        <w:t xml:space="preserve"> inwestycje</w:t>
      </w:r>
      <w:r w:rsidRPr="00A95B9E">
        <w:rPr>
          <w:b/>
        </w:rPr>
        <w:t xml:space="preserve"> </w:t>
      </w:r>
      <w:r w:rsidRPr="006D561A">
        <w:t xml:space="preserve">utrzymają się na poziomie z poprzedniego roku. </w:t>
      </w:r>
      <w:r w:rsidRPr="00BF5364">
        <w:t xml:space="preserve">Największy odsetek takich odpowiedzi notuje się wśród firm z obszaru usług (64,8%) oraz handlu hurtowego (63,0%). Natomiast spadku inwestycji w relacji do 2024 r. oczekuje 34,1% przedsiębiorstw budowlanych (przy </w:t>
      </w:r>
      <w:r>
        <w:t>54,9</w:t>
      </w:r>
      <w:r w:rsidRPr="00BF5364">
        <w:t xml:space="preserve">% wskazujących na utrzymanie ich poziomu) i </w:t>
      </w:r>
      <w:r>
        <w:t xml:space="preserve">31,8% </w:t>
      </w:r>
      <w:r w:rsidRPr="00BF5364">
        <w:t xml:space="preserve">przemysłowych </w:t>
      </w:r>
      <w:r>
        <w:t>(</w:t>
      </w:r>
      <w:r w:rsidRPr="00BF5364">
        <w:t xml:space="preserve">wobec </w:t>
      </w:r>
      <w:r>
        <w:t>47,2</w:t>
      </w:r>
      <w:r w:rsidRPr="00BF5364">
        <w:t xml:space="preserve">%). </w:t>
      </w:r>
      <w:r w:rsidRPr="00465126">
        <w:t xml:space="preserve">Najmniej podmiotów spodziewa się wzrostu nakładów inwestycyjnych (m.in. </w:t>
      </w:r>
      <w:r>
        <w:t>21,0</w:t>
      </w:r>
      <w:r w:rsidRPr="00465126">
        <w:t>% jednostek prowadzących działalność w zakresie przetwórstwa przemysłowego i 1</w:t>
      </w:r>
      <w:r>
        <w:t>6</w:t>
      </w:r>
      <w:r w:rsidRPr="00465126">
        <w:t>,1% – handlu detalicznego)</w:t>
      </w:r>
      <w:r w:rsidRPr="00465126">
        <w:rPr>
          <w:rFonts w:cs="Fira Sans"/>
          <w:color w:val="000000"/>
          <w:szCs w:val="19"/>
        </w:rPr>
        <w:t>.</w:t>
      </w:r>
    </w:p>
    <w:p w:rsidR="00A51B89" w:rsidRDefault="00A51B89" w:rsidP="005928D2">
      <w:pPr>
        <w:pStyle w:val="pytkoniunkt"/>
      </w:pPr>
      <w:r>
        <w:br w:type="page"/>
      </w:r>
    </w:p>
    <w:p w:rsidR="005928D2" w:rsidRPr="00C9295D" w:rsidRDefault="00CA68D0" w:rsidP="005928D2">
      <w:pPr>
        <w:pStyle w:val="pytkoniunkt"/>
      </w:pPr>
      <w:r w:rsidRPr="00CA68D0">
        <w:rPr>
          <w:noProof/>
          <w:lang w:eastAsia="pl-PL"/>
        </w:rPr>
        <w:lastRenderedPageBreak/>
        <w:drawing>
          <wp:anchor distT="36195" distB="107950" distL="114300" distR="114300" simplePos="0" relativeHeight="253046272" behindDoc="0" locked="0" layoutInCell="1" allowOverlap="1">
            <wp:simplePos x="0" y="0"/>
            <wp:positionH relativeFrom="margin">
              <wp:align>center</wp:align>
            </wp:positionH>
            <wp:positionV relativeFrom="paragraph">
              <wp:posOffset>304800</wp:posOffset>
            </wp:positionV>
            <wp:extent cx="5094000" cy="2984400"/>
            <wp:effectExtent l="0" t="0" r="0" b="6985"/>
            <wp:wrapTopAndBottom/>
            <wp:docPr id="3" name="Obraz 3" descr="Na wykresie kolumnowym zaprezentowano odsetek odpowiedzi (główne kierunki inwestycji) dla sekcji PKD – na osi poziomej. Oś pionowa w zakresie od 0 do 8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4000" cy="298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0B2B">
        <w:t>Pyt. 2</w:t>
      </w:r>
      <w:r w:rsidR="00152F36" w:rsidRPr="00C9295D">
        <w:t xml:space="preserve">. </w:t>
      </w:r>
      <w:r w:rsidR="00880B2B" w:rsidRPr="004565DC">
        <w:rPr>
          <w:rFonts w:cs="FiraSans-Bold"/>
          <w:bCs/>
        </w:rPr>
        <w:t>Jakie są główne kierunki inwestowania Państwa firmy w bieżącym roku</w:t>
      </w:r>
      <w:r w:rsidR="00880B2B">
        <w:rPr>
          <w:rFonts w:cs="FiraSans-Bold"/>
          <w:bCs/>
        </w:rPr>
        <w:t>?</w:t>
      </w:r>
      <w:r w:rsidR="00EE4DBE" w:rsidRPr="00EE4DBE">
        <w:rPr>
          <w:i w:val="0"/>
        </w:rPr>
        <w:t xml:space="preserve"> </w:t>
      </w:r>
    </w:p>
    <w:p w:rsidR="00C636E1" w:rsidRDefault="00C636E1" w:rsidP="00C636E1">
      <w:pPr>
        <w:rPr>
          <w:szCs w:val="19"/>
        </w:rPr>
      </w:pPr>
      <w:r w:rsidRPr="00AE4E90">
        <w:rPr>
          <w:szCs w:val="19"/>
        </w:rPr>
        <w:t xml:space="preserve">Wśród głównych kierunków inwestowania przedsiębiorcy prowadzący działalność gospodarczą w </w:t>
      </w:r>
      <w:r>
        <w:rPr>
          <w:szCs w:val="19"/>
        </w:rPr>
        <w:t xml:space="preserve">zakresie </w:t>
      </w:r>
      <w:r w:rsidRPr="00AE4E90">
        <w:rPr>
          <w:szCs w:val="19"/>
        </w:rPr>
        <w:t>przetwórstw</w:t>
      </w:r>
      <w:r>
        <w:rPr>
          <w:szCs w:val="19"/>
        </w:rPr>
        <w:t>a</w:t>
      </w:r>
      <w:r w:rsidRPr="00AE4E90">
        <w:rPr>
          <w:szCs w:val="19"/>
        </w:rPr>
        <w:t xml:space="preserve"> przemysłow</w:t>
      </w:r>
      <w:r>
        <w:rPr>
          <w:szCs w:val="19"/>
        </w:rPr>
        <w:t xml:space="preserve">ego </w:t>
      </w:r>
      <w:r w:rsidRPr="00AE4E90">
        <w:rPr>
          <w:szCs w:val="19"/>
        </w:rPr>
        <w:t>najczęściej wymieniają nakłady na maszyny, urządzen</w:t>
      </w:r>
      <w:r>
        <w:rPr>
          <w:szCs w:val="19"/>
        </w:rPr>
        <w:t>ia techniczne i narzędzia (74,3%).</w:t>
      </w:r>
      <w:r w:rsidRPr="00AE4E90">
        <w:rPr>
          <w:szCs w:val="19"/>
        </w:rPr>
        <w:t xml:space="preserve"> </w:t>
      </w:r>
      <w:r w:rsidRPr="009A23F9">
        <w:rPr>
          <w:szCs w:val="19"/>
        </w:rPr>
        <w:t>W podmiotach działających w budownictwie, handlu hurtowym i detalicznym oraz usługach najwięcej jest respondentów deklarujących brak planów inwestycyjnych (odpowiednio</w:t>
      </w:r>
      <w:r>
        <w:rPr>
          <w:szCs w:val="19"/>
        </w:rPr>
        <w:t>: 43,8%,</w:t>
      </w:r>
      <w:r w:rsidRPr="009A23F9">
        <w:rPr>
          <w:szCs w:val="19"/>
        </w:rPr>
        <w:t xml:space="preserve"> 40,</w:t>
      </w:r>
      <w:r>
        <w:rPr>
          <w:szCs w:val="19"/>
        </w:rPr>
        <w:t>0%,</w:t>
      </w:r>
      <w:r w:rsidRPr="009A23F9">
        <w:rPr>
          <w:szCs w:val="19"/>
        </w:rPr>
        <w:t xml:space="preserve"> </w:t>
      </w:r>
      <w:r>
        <w:rPr>
          <w:szCs w:val="19"/>
        </w:rPr>
        <w:t>35,2</w:t>
      </w:r>
      <w:r w:rsidRPr="009A23F9">
        <w:rPr>
          <w:szCs w:val="19"/>
        </w:rPr>
        <w:t>%</w:t>
      </w:r>
      <w:r>
        <w:rPr>
          <w:szCs w:val="19"/>
        </w:rPr>
        <w:t xml:space="preserve"> i 38,5</w:t>
      </w:r>
      <w:r w:rsidRPr="00146044">
        <w:rPr>
          <w:szCs w:val="19"/>
        </w:rPr>
        <w:t>%). Ponadto inwest</w:t>
      </w:r>
      <w:r>
        <w:rPr>
          <w:szCs w:val="19"/>
        </w:rPr>
        <w:t>ycje</w:t>
      </w:r>
      <w:r w:rsidRPr="00146044">
        <w:rPr>
          <w:szCs w:val="19"/>
        </w:rPr>
        <w:t xml:space="preserve"> w</w:t>
      </w:r>
      <w:r>
        <w:rPr>
          <w:szCs w:val="19"/>
        </w:rPr>
        <w:t xml:space="preserve"> </w:t>
      </w:r>
      <w:r w:rsidRPr="00146044">
        <w:rPr>
          <w:szCs w:val="19"/>
        </w:rPr>
        <w:t xml:space="preserve">maszyny, urządzenia techniczne i narzędzia są planowane </w:t>
      </w:r>
      <w:r>
        <w:rPr>
          <w:szCs w:val="19"/>
        </w:rPr>
        <w:t xml:space="preserve">w 36,8% </w:t>
      </w:r>
      <w:r w:rsidRPr="002A475B">
        <w:rPr>
          <w:szCs w:val="19"/>
        </w:rPr>
        <w:t>podmiotów budow</w:t>
      </w:r>
      <w:r>
        <w:rPr>
          <w:szCs w:val="19"/>
        </w:rPr>
        <w:t xml:space="preserve">lanych, 31,9% </w:t>
      </w:r>
      <w:r w:rsidRPr="002A475B">
        <w:rPr>
          <w:szCs w:val="19"/>
        </w:rPr>
        <w:t>przedsiębiorstw handlu detalicznego</w:t>
      </w:r>
      <w:r>
        <w:rPr>
          <w:szCs w:val="19"/>
        </w:rPr>
        <w:t xml:space="preserve">, a także w 24,0% jednostek handlu hurtowego. </w:t>
      </w:r>
      <w:r w:rsidRPr="002A475B">
        <w:rPr>
          <w:szCs w:val="19"/>
        </w:rPr>
        <w:t xml:space="preserve">W sprzęt komputerowy i telekomunikacyjny </w:t>
      </w:r>
      <w:r>
        <w:rPr>
          <w:szCs w:val="19"/>
        </w:rPr>
        <w:t>zamierza inwestować 28,6</w:t>
      </w:r>
      <w:r w:rsidRPr="002A475B">
        <w:rPr>
          <w:szCs w:val="19"/>
        </w:rPr>
        <w:t xml:space="preserve">% firm </w:t>
      </w:r>
      <w:r>
        <w:rPr>
          <w:szCs w:val="19"/>
        </w:rPr>
        <w:t>handlu detalicznego, a w środki transportu – 25,1% podmiotów budowlanych.</w:t>
      </w:r>
    </w:p>
    <w:p w:rsidR="00216731" w:rsidRPr="00EE4DBE" w:rsidRDefault="007D780E" w:rsidP="00880B2B">
      <w:pPr>
        <w:pStyle w:val="pytkoniunkt"/>
      </w:pPr>
      <w:r w:rsidRPr="00CA68D0">
        <w:rPr>
          <w:noProof/>
          <w:lang w:eastAsia="pl-PL"/>
        </w:rPr>
        <w:drawing>
          <wp:anchor distT="36195" distB="107950" distL="114300" distR="114300" simplePos="0" relativeHeight="253047296" behindDoc="0" locked="0" layoutInCell="1" allowOverlap="1">
            <wp:simplePos x="0" y="0"/>
            <wp:positionH relativeFrom="margin">
              <wp:posOffset>770890</wp:posOffset>
            </wp:positionH>
            <wp:positionV relativeFrom="paragraph">
              <wp:posOffset>544270</wp:posOffset>
            </wp:positionV>
            <wp:extent cx="5112000" cy="3168000"/>
            <wp:effectExtent l="0" t="0" r="0" b="0"/>
            <wp:wrapTopAndBottom/>
            <wp:docPr id="5" name="Obraz 5" descr="Na wykresie kolumnowym zaprezentowano odsetek odpowiedzi (bariery ograniczające skalę inwestycji) dla sekcji PKD – na osi poziomej. Oś pionowa w zakresie od 0 do 6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12000" cy="31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0B2B">
        <w:t>Pyt. 3</w:t>
      </w:r>
      <w:r w:rsidR="00216731" w:rsidRPr="00C9295D">
        <w:t xml:space="preserve">. </w:t>
      </w:r>
      <w:r w:rsidR="00880B2B" w:rsidRPr="004565DC">
        <w:t>Które z poniższych barier w największym stopniu wpływają na skalę inwestycji Państwa firmy w bieżącym roku</w:t>
      </w:r>
      <w:r w:rsidR="00880B2B">
        <w:t>?</w:t>
      </w:r>
      <w:r w:rsidR="00216731" w:rsidRPr="00C9295D">
        <w:t xml:space="preserve"> </w:t>
      </w:r>
    </w:p>
    <w:p w:rsidR="007E7A7B" w:rsidRPr="00131083" w:rsidRDefault="00131083" w:rsidP="00D1758A">
      <w:pPr>
        <w:pStyle w:val="tekst"/>
      </w:pPr>
      <w:r>
        <w:rPr>
          <w:szCs w:val="19"/>
        </w:rPr>
        <w:t xml:space="preserve">Przedsiębiorcy objęci badaniem uznali, że </w:t>
      </w:r>
      <w:r>
        <w:t>n</w:t>
      </w:r>
      <w:r w:rsidRPr="00800220">
        <w:t xml:space="preserve">a ograniczenie skali inwestycji </w:t>
      </w:r>
      <w:r>
        <w:t>ich firm</w:t>
      </w:r>
      <w:r w:rsidRPr="00800220">
        <w:t xml:space="preserve"> w </w:t>
      </w:r>
      <w:r>
        <w:t>2025</w:t>
      </w:r>
      <w:r w:rsidRPr="00800220">
        <w:t xml:space="preserve"> r. </w:t>
      </w:r>
      <w:r>
        <w:t>największy</w:t>
      </w:r>
      <w:r w:rsidRPr="002E0A97">
        <w:t xml:space="preserve"> </w:t>
      </w:r>
      <w:r>
        <w:t>wpływ mają</w:t>
      </w:r>
      <w:r w:rsidRPr="00800220">
        <w:t xml:space="preserve"> wysoki</w:t>
      </w:r>
      <w:r>
        <w:t>e</w:t>
      </w:r>
      <w:r w:rsidRPr="00800220">
        <w:t xml:space="preserve"> koszt</w:t>
      </w:r>
      <w:r>
        <w:t>y realizacji nakładów</w:t>
      </w:r>
      <w:r w:rsidRPr="00800220">
        <w:t xml:space="preserve">. Dotyczy to </w:t>
      </w:r>
      <w:r>
        <w:t>przede wszystkim</w:t>
      </w:r>
      <w:r w:rsidRPr="00800220">
        <w:t xml:space="preserve"> </w:t>
      </w:r>
      <w:r>
        <w:t>58,2</w:t>
      </w:r>
      <w:r w:rsidRPr="00800220">
        <w:t>%</w:t>
      </w:r>
      <w:r>
        <w:t xml:space="preserve"> jednostek handlu detalicznego, </w:t>
      </w:r>
      <w:r w:rsidRPr="00145697">
        <w:t>5</w:t>
      </w:r>
      <w:r>
        <w:t>2</w:t>
      </w:r>
      <w:r w:rsidRPr="00145697">
        <w:t>,7</w:t>
      </w:r>
      <w:r>
        <w:t>%</w:t>
      </w:r>
      <w:r w:rsidRPr="00BE1C9F">
        <w:t xml:space="preserve"> </w:t>
      </w:r>
      <w:r>
        <w:t>podmiotów przetwórstwa przemysłowego i 50,4% firm budowlanych</w:t>
      </w:r>
      <w:r w:rsidRPr="00DB0C0D">
        <w:t xml:space="preserve">. Ponadto przedsiębiorcy wskazywali na niepewną sytuację makro-ekonomiczną (najczęściej w przetwórstwie przemysłowym – 34,1%), </w:t>
      </w:r>
      <w:r w:rsidRPr="0008024A">
        <w:t>niespójne i niestabilne przepisy prawnych (w handlu detalicznym – 2</w:t>
      </w:r>
      <w:r>
        <w:t>8</w:t>
      </w:r>
      <w:r w:rsidRPr="0008024A">
        <w:t>,0</w:t>
      </w:r>
      <w:r w:rsidRPr="00A12495">
        <w:t xml:space="preserve">%), niedostateczny popyt na produkty/usługi oferowane przez firmę (w handlu hurtowym – 21,2%) oraz </w:t>
      </w:r>
      <w:r w:rsidRPr="00712A3D">
        <w:t>problemy z zatrudnieniem pracowników</w:t>
      </w:r>
      <w:r w:rsidRPr="00A12495">
        <w:t xml:space="preserve"> (w </w:t>
      </w:r>
      <w:r>
        <w:t>budownictwie</w:t>
      </w:r>
      <w:r w:rsidRPr="00A12495">
        <w:t xml:space="preserve"> – </w:t>
      </w:r>
      <w:r>
        <w:t>18,6</w:t>
      </w:r>
      <w:r w:rsidRPr="00131083">
        <w:t>%).</w:t>
      </w:r>
    </w:p>
    <w:p w:rsidR="00880B2B" w:rsidRDefault="007D780E" w:rsidP="00880B2B">
      <w:pPr>
        <w:pStyle w:val="pytkoniunkt"/>
      </w:pPr>
      <w:r w:rsidRPr="00CA68D0">
        <w:rPr>
          <w:noProof/>
          <w:lang w:eastAsia="pl-PL"/>
        </w:rPr>
        <w:lastRenderedPageBreak/>
        <w:drawing>
          <wp:anchor distT="0" distB="215900" distL="114300" distR="114300" simplePos="0" relativeHeight="253048320" behindDoc="0" locked="0" layoutInCell="1" allowOverlap="1">
            <wp:simplePos x="0" y="0"/>
            <wp:positionH relativeFrom="margin">
              <wp:posOffset>812165</wp:posOffset>
            </wp:positionH>
            <wp:positionV relativeFrom="paragraph">
              <wp:posOffset>472365</wp:posOffset>
            </wp:positionV>
            <wp:extent cx="5025390" cy="1875155"/>
            <wp:effectExtent l="0" t="0" r="3810" b="0"/>
            <wp:wrapTopAndBottom/>
            <wp:docPr id="11" name="Obraz 11" descr="Wykres kolumnowy strukturalny (100%), dla 5 sekcji PKD (kolumny) i wpływu zmian w sytuacji firmy i otoczenia rynkowego na skłonność do podejmowania decyzji o inwestowaniu.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5390"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0B2B">
        <w:t>Pyt.4. J</w:t>
      </w:r>
      <w:r w:rsidR="00880B2B" w:rsidRPr="00880B2B">
        <w:t>ak bieżące zmiany sytuacji Państwa firmy oraz otoczenia rynkowego wpływają na skłonność do podejmowania inwestycji?</w:t>
      </w:r>
    </w:p>
    <w:p w:rsidR="004F2761" w:rsidRPr="00880B2B" w:rsidRDefault="00CA68D0" w:rsidP="004F2761">
      <w:pPr>
        <w:pStyle w:val="tekst"/>
      </w:pPr>
      <w:r>
        <w:t>Z</w:t>
      </w:r>
      <w:r w:rsidR="004F2761" w:rsidRPr="00AE2F9D">
        <w:t xml:space="preserve">daniem większości przedsiębiorców bieżące zmiany sytuacji ich firmy oraz jej otoczenia rynkowego nie wpływają na podejmowanie przez nich decyzji </w:t>
      </w:r>
      <w:r w:rsidR="004F2761" w:rsidRPr="00232F45">
        <w:t>inwestycyjnych. Na neutralny wpływ na ich decyzję wskazało m.in. 8</w:t>
      </w:r>
      <w:r w:rsidR="004F2761">
        <w:t>0</w:t>
      </w:r>
      <w:r w:rsidR="004F2761" w:rsidRPr="00232F45">
        <w:t xml:space="preserve">,2% firm handlu detalicznego, </w:t>
      </w:r>
      <w:r w:rsidR="004F2761">
        <w:t>72,6</w:t>
      </w:r>
      <w:r w:rsidR="004F2761" w:rsidRPr="00232F45">
        <w:t xml:space="preserve">% jednostek usługowych oraz </w:t>
      </w:r>
      <w:r w:rsidR="004F2761">
        <w:t>69,7</w:t>
      </w:r>
      <w:r w:rsidR="004F2761" w:rsidRPr="00232F45">
        <w:t xml:space="preserve">% podmiotów </w:t>
      </w:r>
      <w:r w:rsidR="004F2761">
        <w:t>handlu hurtowego</w:t>
      </w:r>
      <w:r w:rsidR="004F2761" w:rsidRPr="00232F45">
        <w:t>. Negatywny wpływ na skłonność do podejmowania inwestycji sygnalizowali m.in. przedsiębiorcy prowadzący działalność w przetwórstwie przemysłowym (</w:t>
      </w:r>
      <w:r w:rsidR="004F2761">
        <w:t>30,8</w:t>
      </w:r>
      <w:r w:rsidR="004F2761" w:rsidRPr="00232F45">
        <w:t xml:space="preserve">%) oraz </w:t>
      </w:r>
      <w:r w:rsidR="004F2761">
        <w:t>budownictwie</w:t>
      </w:r>
      <w:r w:rsidR="004F2761" w:rsidRPr="00232F45">
        <w:t xml:space="preserve"> (</w:t>
      </w:r>
      <w:r w:rsidR="004F2761">
        <w:t>29,8</w:t>
      </w:r>
      <w:r w:rsidR="004F2761" w:rsidRPr="00232F45">
        <w:t>%).</w:t>
      </w:r>
    </w:p>
    <w:p w:rsidR="005776B2" w:rsidRPr="005776B2" w:rsidRDefault="00817950" w:rsidP="00426222">
      <w:pPr>
        <w:spacing w:before="7000"/>
        <w:sectPr w:rsidR="005776B2" w:rsidRPr="005776B2" w:rsidSect="0022458A">
          <w:headerReference w:type="default" r:id="rId35"/>
          <w:footerReference w:type="default" r:id="rId36"/>
          <w:pgSz w:w="11906" w:h="16838"/>
          <w:pgMar w:top="720" w:right="707" w:bottom="720" w:left="720" w:header="170" w:footer="283" w:gutter="0"/>
          <w:cols w:space="708"/>
          <w:docGrid w:linePitch="360"/>
        </w:sect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r w:rsidRPr="007008BC">
        <w:rPr>
          <w:rStyle w:val="Hipercze"/>
          <w:color w:val="001D77"/>
          <w:szCs w:val="19"/>
        </w:rPr>
        <w:t>https://zielonagora.stat.gov.pl/osrodki/osrodek-badan-koniunktury/obk-dane/</w:t>
      </w:r>
    </w:p>
    <w:tbl>
      <w:tblPr>
        <w:tblW w:w="0" w:type="auto"/>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5 i 2024 r."/>
      </w:tblPr>
      <w:tblGrid>
        <w:gridCol w:w="4253"/>
        <w:gridCol w:w="142"/>
        <w:gridCol w:w="891"/>
        <w:gridCol w:w="892"/>
        <w:gridCol w:w="892"/>
        <w:gridCol w:w="892"/>
        <w:gridCol w:w="892"/>
        <w:gridCol w:w="892"/>
        <w:gridCol w:w="891"/>
        <w:gridCol w:w="892"/>
        <w:gridCol w:w="892"/>
        <w:gridCol w:w="892"/>
        <w:gridCol w:w="892"/>
        <w:gridCol w:w="892"/>
      </w:tblGrid>
      <w:tr w:rsidR="00EC7894" w:rsidRPr="00E87892" w:rsidTr="002D0A49">
        <w:trPr>
          <w:tblHeader/>
        </w:trPr>
        <w:tc>
          <w:tcPr>
            <w:tcW w:w="15097" w:type="dxa"/>
            <w:gridSpan w:val="14"/>
            <w:tcBorders>
              <w:top w:val="nil"/>
              <w:left w:val="nil"/>
              <w:bottom w:val="nil"/>
              <w:right w:val="nil"/>
            </w:tcBorders>
            <w:shd w:val="clear" w:color="auto" w:fill="auto"/>
            <w:vAlign w:val="center"/>
          </w:tcPr>
          <w:p w:rsidR="00465C71" w:rsidRPr="00FD2525" w:rsidRDefault="00465C71" w:rsidP="00AD0694">
            <w:pPr>
              <w:pStyle w:val="tyttab"/>
            </w:pPr>
            <w:bookmarkStart w:id="60" w:name="_Toc120085901"/>
            <w:bookmarkStart w:id="61" w:name="OLE_LINK3"/>
            <w:r w:rsidRPr="00FD2525">
              <w:lastRenderedPageBreak/>
              <w:t>WYBRANE DANE O WOJEWÓDZTWIE WIELKOPOLSKIM</w:t>
            </w:r>
            <w:bookmarkEnd w:id="60"/>
          </w:p>
        </w:tc>
      </w:tr>
      <w:tr w:rsidR="00085097" w:rsidRPr="00E87892" w:rsidTr="002B3124">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0B0E14">
            <w:pPr>
              <w:pStyle w:val="glowka"/>
              <w:spacing w:before="0" w:after="0"/>
              <w:rPr>
                <w:rFonts w:ascii="Fira Sans" w:hAnsi="Fira Sans"/>
              </w:rPr>
            </w:pPr>
            <w:r w:rsidRPr="00754D58">
              <w:rPr>
                <w:rFonts w:ascii="Fira Sans" w:hAnsi="Fira Sans"/>
              </w:rPr>
              <w:t xml:space="preserve">A – </w:t>
            </w:r>
            <w:r w:rsidR="005928D2">
              <w:rPr>
                <w:rFonts w:ascii="Fira Sans" w:hAnsi="Fira Sans"/>
              </w:rPr>
              <w:t>2024</w:t>
            </w:r>
            <w:r w:rsidR="007E6164">
              <w:rPr>
                <w:rFonts w:ascii="Fira Sans" w:hAnsi="Fira Sans"/>
              </w:rPr>
              <w:t xml:space="preserve"> </w:t>
            </w:r>
            <w:r w:rsidR="00565236">
              <w:rPr>
                <w:rFonts w:ascii="Fira Sans" w:hAnsi="Fira Sans"/>
              </w:rPr>
              <w:t>r.</w:t>
            </w:r>
            <w:r>
              <w:rPr>
                <w:rFonts w:ascii="Fira Sans" w:hAnsi="Fira Sans"/>
              </w:rPr>
              <w:t xml:space="preserve">, </w:t>
            </w:r>
            <w:r w:rsidRPr="00754D58">
              <w:rPr>
                <w:rFonts w:ascii="Fira Sans" w:hAnsi="Fira Sans"/>
              </w:rPr>
              <w:t xml:space="preserve">B – </w:t>
            </w:r>
            <w:r w:rsidR="00B9519A">
              <w:rPr>
                <w:rFonts w:ascii="Fira Sans" w:hAnsi="Fira Sans"/>
              </w:rPr>
              <w:t>2025</w:t>
            </w:r>
            <w:r w:rsidR="00071ED9">
              <w:rPr>
                <w:rFonts w:ascii="Fira Sans" w:hAnsi="Fira Sans"/>
              </w:rPr>
              <w:t xml:space="preserve"> r.</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01</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02</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03</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04</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05</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06</w:t>
            </w:r>
          </w:p>
        </w:tc>
        <w:tc>
          <w:tcPr>
            <w:tcW w:w="891" w:type="dxa"/>
            <w:tcBorders>
              <w:top w:val="nil"/>
              <w:left w:val="single" w:sz="4" w:space="0" w:color="522398"/>
              <w:bottom w:val="single" w:sz="12" w:space="0" w:color="522398"/>
              <w:right w:val="single" w:sz="4" w:space="0" w:color="522398"/>
            </w:tcBorders>
            <w:shd w:val="clear" w:color="auto" w:fill="DCD3EA"/>
            <w:vAlign w:val="center"/>
          </w:tcPr>
          <w:p w:rsidR="00085097" w:rsidRPr="00B42E95" w:rsidRDefault="00085097" w:rsidP="00F05F55">
            <w:pPr>
              <w:pStyle w:val="glowka"/>
              <w:rPr>
                <w:rFonts w:ascii="Fira Sans" w:hAnsi="Fira Sans"/>
              </w:rPr>
            </w:pPr>
            <w:r w:rsidRPr="00B42E95">
              <w:rPr>
                <w:rFonts w:ascii="Fira Sans" w:hAnsi="Fira Sans"/>
              </w:rPr>
              <w:t>07</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08</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09</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10</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11</w:t>
            </w:r>
          </w:p>
        </w:tc>
        <w:tc>
          <w:tcPr>
            <w:tcW w:w="892" w:type="dxa"/>
            <w:tcBorders>
              <w:top w:val="nil"/>
              <w:left w:val="single" w:sz="4" w:space="0" w:color="522398"/>
              <w:bottom w:val="single" w:sz="12" w:space="0" w:color="522398"/>
              <w:right w:val="nil"/>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12</w:t>
            </w:r>
          </w:p>
        </w:tc>
      </w:tr>
      <w:tr w:rsidR="00EC7894" w:rsidRPr="00E87892" w:rsidTr="002B3124">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D50110">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75FC9">
            <w:pPr>
              <w:pStyle w:val="TableText"/>
            </w:pPr>
          </w:p>
        </w:tc>
        <w:tc>
          <w:tcPr>
            <w:tcW w:w="891"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2B3124">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D50110">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597F05">
            <w:pPr>
              <w:pStyle w:val="TableText"/>
            </w:pPr>
          </w:p>
        </w:tc>
        <w:tc>
          <w:tcPr>
            <w:tcW w:w="891"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nil"/>
            </w:tcBorders>
            <w:shd w:val="clear" w:color="auto" w:fill="auto"/>
            <w:vAlign w:val="center"/>
          </w:tcPr>
          <w:p w:rsidR="00465C71" w:rsidRPr="00754D58" w:rsidRDefault="00465C71" w:rsidP="00597F05">
            <w:pPr>
              <w:pStyle w:val="TableText"/>
            </w:pPr>
          </w:p>
        </w:tc>
      </w:tr>
      <w:tr w:rsidR="00C724E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D50110">
            <w:pPr>
              <w:pStyle w:val="g3"/>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855,1</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854,7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855,5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856,2</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095966" w:rsidRDefault="00650670" w:rsidP="00D5011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862,0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1A521B">
              <w:t>862,9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0369E">
              <w:t>862,5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862,4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861,4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861,6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860,8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095966" w:rsidRDefault="00650670" w:rsidP="00D50110">
            <w:pPr>
              <w:pStyle w:val="g3"/>
            </w:pPr>
            <w:r w:rsidRPr="00D50110">
              <w:t>poprzedni</w:t>
            </w:r>
            <w:r w:rsidRPr="00095966">
              <w:t xml:space="preserve">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100,1</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100,1</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095966" w:rsidRDefault="00650670" w:rsidP="00D50110">
            <w:pPr>
              <w:pStyle w:val="g6"/>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1A521B">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A7402B">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100,0</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095966" w:rsidRDefault="00650670" w:rsidP="00D50110">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99,9</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095966"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1A521B">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A7402B">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C724E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D50110">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45,6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45,6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46,6</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3"/>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51,0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932E37">
              <w:t>52,0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0369E">
              <w:t>51,2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48,9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47,4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48,6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t>51,1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2,9</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3,0</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3,1</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1"/>
            </w:pPr>
            <w:r w:rsidRPr="00BD4423">
              <w:t xml:space="preserve">Oferty </w:t>
            </w:r>
            <w:r w:rsidRPr="00BD4423">
              <w:rPr>
                <w:rStyle w:val="StylboczekCzarnyZnak"/>
              </w:rPr>
              <w:t>pracy</w:t>
            </w:r>
            <w:r w:rsidRPr="00C2715E">
              <w:rPr>
                <w:rStyle w:val="StylboczekCzarnyZnak"/>
                <w:vertAlign w:val="superscript"/>
              </w:rPr>
              <w:t xml:space="preserve"> c</w:t>
            </w:r>
            <w:r w:rsidRPr="00BD4423">
              <w:t xml:space="preserve"> (</w:t>
            </w:r>
            <w:r>
              <w:t xml:space="preserve">zgłoszone </w:t>
            </w:r>
            <w:r w:rsidRPr="00BD4423">
              <w:t xml:space="preserve">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5652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6650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6372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5025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5553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6805</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5071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5559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5200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5156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4265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4390</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6000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932E37">
              <w:t>5484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0369E">
              <w:t>5628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4750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4584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2446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EC5F08">
              <w:t>3366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15</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3"/>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t>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C724E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D50110">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2B3124">
        <w:trPr>
          <w:trHeight w:val="218"/>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D50110">
            <w:pPr>
              <w:pStyle w:val="g3"/>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7078,29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7096,26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7666,51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7628,21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7322,80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7301,98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7369,48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7361,83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7359,12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7468,37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7576,88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7784,21</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7675,74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932E37">
              <w:t>7749,16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0369E">
              <w:t>8105,56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8291,61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7914,02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7858,57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8001,27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101,5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102,7</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98,6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932E37">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0369E">
              <w:t>104,6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95,4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99,3</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101,8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111,1</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110,1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111,5</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D4423" w:rsidRDefault="00650670" w:rsidP="00D5011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3158B8">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932E37">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0369E">
              <w:t>105,7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107,6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650670" w:rsidRDefault="00650670" w:rsidP="00650670">
            <w:pPr>
              <w:pStyle w:val="TableText"/>
            </w:pPr>
            <w:r w:rsidRPr="00650670">
              <w:t>108,6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7479B1"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7479B1" w:rsidRPr="00BD4423" w:rsidRDefault="007479B1" w:rsidP="00D50110">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7479B1" w:rsidRPr="00754D58" w:rsidRDefault="007479B1" w:rsidP="007479B1">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7479B1" w:rsidRPr="00753264" w:rsidRDefault="007479B1" w:rsidP="008C5500">
            <w:pPr>
              <w:pStyle w:val="TableText"/>
            </w:pPr>
          </w:p>
        </w:tc>
      </w:tr>
      <w:tr w:rsidR="007479B1"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7479B1" w:rsidRPr="00BD4423" w:rsidRDefault="007479B1" w:rsidP="00D50110">
            <w:pPr>
              <w:pStyle w:val="g3"/>
            </w:pPr>
            <w:r w:rsidRPr="00BD4423">
              <w:t>towarów i usług konsumpcyjnych</w:t>
            </w:r>
            <w:r w:rsidRPr="008B61D7">
              <w:rPr>
                <w:vertAlign w:val="superscript"/>
              </w:rPr>
              <w:t xml:space="preserve"> </w:t>
            </w:r>
            <w:r w:rsidR="00C2715E">
              <w:rPr>
                <w:vertAlign w:val="superscript"/>
              </w:rPr>
              <w:t>d</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7479B1" w:rsidRPr="00754D58" w:rsidRDefault="007479B1" w:rsidP="007479B1">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7479B1" w:rsidRPr="00753264" w:rsidRDefault="007479B1" w:rsidP="008C5500">
            <w:pPr>
              <w:pStyle w:val="TableText"/>
            </w:pPr>
          </w:p>
        </w:tc>
      </w:tr>
      <w:tr w:rsidR="000D1B47"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0D1B47" w:rsidRPr="00BD4423" w:rsidRDefault="000D1B47" w:rsidP="00D50110">
            <w:pPr>
              <w:pStyle w:val="g6"/>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D1B47" w:rsidRPr="00754D58" w:rsidRDefault="000D1B47" w:rsidP="000D1B47">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102,9</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105,0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D1B47" w:rsidRPr="00753264" w:rsidRDefault="00675BE3" w:rsidP="008C5500">
            <w:pPr>
              <w:pStyle w:val="TableText"/>
            </w:pPr>
            <w:r>
              <w:t>105,3</w:t>
            </w:r>
          </w:p>
        </w:tc>
      </w:tr>
      <w:tr w:rsidR="000D1B47"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0D1B47" w:rsidRPr="00510FC4" w:rsidRDefault="000D1B47"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D1B47" w:rsidRPr="00754D58" w:rsidRDefault="000D1B47" w:rsidP="000D1B47">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3158B8"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675BE3"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065492" w:rsidRDefault="00C33719" w:rsidP="008C5500">
            <w:pPr>
              <w:pStyle w:val="TableText"/>
            </w:pPr>
            <w:r w:rsidRPr="00065492">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E65CE1"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776529"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CD7A87" w:rsidP="008C5500">
            <w:pPr>
              <w:pStyle w:val="TableText"/>
            </w:pPr>
            <w:r>
              <w:t>.</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D1B47" w:rsidRPr="00753264" w:rsidRDefault="0065067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D1B47" w:rsidRPr="00753264" w:rsidRDefault="000D1B47" w:rsidP="008C5500">
            <w:pPr>
              <w:pStyle w:val="TableText"/>
            </w:pPr>
          </w:p>
        </w:tc>
      </w:tr>
      <w:tr w:rsidR="000D1B47"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0D1B47" w:rsidRPr="00510FC4" w:rsidRDefault="000D1B47" w:rsidP="00D50110">
            <w:pPr>
              <w:pStyle w:val="g3"/>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D1B47" w:rsidRPr="00754D58" w:rsidRDefault="000D1B47" w:rsidP="000D1B47">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065492"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D1B47" w:rsidRPr="00753264" w:rsidRDefault="000D1B47" w:rsidP="008C5500">
            <w:pPr>
              <w:pStyle w:val="TableText"/>
            </w:pPr>
          </w:p>
        </w:tc>
      </w:tr>
      <w:tr w:rsidR="00DA5ED2"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D50110">
            <w:pPr>
              <w:pStyle w:val="g6"/>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89,6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113,7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88,6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101,4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102,8</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100,5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F5CE0">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98,3</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FE1E98">
              <w:t>86,7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6"/>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62,9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63,9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62,5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66,0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94,8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90,3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105,3</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106,3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F5CE0">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124,1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123,9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120,7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104,3</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FE1E98">
              <w:t>102,1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3"/>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6"/>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103,5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101,3</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F5CE0">
              <w:t>106,7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111,9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97,5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118,8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74,8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FE1E98">
              <w:t>141,0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6"/>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93,2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93,9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105,2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110,9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112,3</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111,4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F5CE0">
              <w:t>118,7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132,6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127,7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146,6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109,0</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FE1E98">
              <w:t>154,8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510FC4" w:rsidRDefault="00650670" w:rsidP="00D50110">
            <w:pPr>
              <w:pStyle w:val="g3"/>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6"/>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94,7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100,5</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95,4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102,5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92,3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99,0</w:t>
            </w: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91,0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8F5CE0">
              <w:t>104,9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115,8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t>97,7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FE1E98">
              <w:t>94,5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p>
        </w:tc>
      </w:tr>
      <w:tr w:rsidR="00650670" w:rsidRPr="00E87892" w:rsidTr="002B3124">
        <w:trPr>
          <w:trHeight w:val="20"/>
        </w:trPr>
        <w:tc>
          <w:tcPr>
            <w:tcW w:w="4253" w:type="dxa"/>
            <w:tcBorders>
              <w:top w:val="single" w:sz="4" w:space="0" w:color="522398"/>
              <w:left w:val="nil"/>
              <w:bottom w:val="single" w:sz="4" w:space="0" w:color="522398"/>
              <w:right w:val="nil"/>
            </w:tcBorders>
            <w:shd w:val="clear" w:color="auto" w:fill="auto"/>
            <w:vAlign w:val="center"/>
          </w:tcPr>
          <w:p w:rsidR="00650670" w:rsidRPr="00BC7DB3" w:rsidRDefault="00650670" w:rsidP="00D50110">
            <w:pPr>
              <w:pStyle w:val="g6"/>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53316A" w:rsidRDefault="00650670" w:rsidP="00650670">
            <w:pPr>
              <w:pStyle w:val="TableText"/>
            </w:pPr>
            <w:r w:rsidRPr="0053316A">
              <w:t>92,1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915034" w:rsidRDefault="00650670" w:rsidP="00650670">
            <w:pPr>
              <w:pStyle w:val="TableText"/>
            </w:pPr>
            <w:r w:rsidRPr="00915034">
              <w:t>85,1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81,4</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50670" w:rsidRPr="00753264" w:rsidRDefault="00650670" w:rsidP="00650670">
            <w:pPr>
              <w:pStyle w:val="TableText"/>
            </w:pPr>
            <w:r w:rsidRPr="00753264">
              <w:t>78,9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85,0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50670" w:rsidRPr="00753264" w:rsidRDefault="00650670" w:rsidP="00650670">
            <w:pPr>
              <w:pStyle w:val="TableText"/>
            </w:pPr>
            <w:r w:rsidRPr="00753264">
              <w:t>79,8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650670" w:rsidRPr="00753264" w:rsidRDefault="00650670" w:rsidP="00650670">
            <w:pPr>
              <w:pStyle w:val="TableText"/>
            </w:pPr>
            <w:r w:rsidRPr="00753264">
              <w:t>83,0</w:t>
            </w:r>
          </w:p>
        </w:tc>
      </w:tr>
      <w:tr w:rsidR="00650670" w:rsidRPr="00E87892" w:rsidTr="002B3124">
        <w:trPr>
          <w:trHeight w:val="57"/>
        </w:trPr>
        <w:tc>
          <w:tcPr>
            <w:tcW w:w="4253" w:type="dxa"/>
            <w:tcBorders>
              <w:top w:val="single" w:sz="4" w:space="0" w:color="522398"/>
              <w:left w:val="nil"/>
              <w:bottom w:val="nil"/>
              <w:right w:val="nil"/>
            </w:tcBorders>
            <w:shd w:val="clear" w:color="auto" w:fill="auto"/>
            <w:vAlign w:val="center"/>
          </w:tcPr>
          <w:p w:rsidR="00650670" w:rsidRPr="00754D58" w:rsidRDefault="00650670" w:rsidP="00D50110">
            <w:pPr>
              <w:pStyle w:val="g3"/>
            </w:pPr>
          </w:p>
        </w:tc>
        <w:tc>
          <w:tcPr>
            <w:tcW w:w="142" w:type="dxa"/>
            <w:tcBorders>
              <w:top w:val="single" w:sz="4" w:space="0" w:color="522398"/>
              <w:left w:val="nil"/>
              <w:bottom w:val="nil"/>
              <w:right w:val="single" w:sz="4" w:space="0" w:color="522398"/>
            </w:tcBorders>
            <w:shd w:val="clear" w:color="auto" w:fill="auto"/>
            <w:vAlign w:val="center"/>
          </w:tcPr>
          <w:p w:rsidR="00650670" w:rsidRPr="00754D58" w:rsidRDefault="00650670" w:rsidP="0065067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650670" w:rsidRDefault="00650670" w:rsidP="00650670">
            <w:pPr>
              <w:pStyle w:val="TableText"/>
            </w:pPr>
            <w:r w:rsidRPr="0053316A">
              <w:t>79,8</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r w:rsidRPr="008F5CE0">
              <w:t>80,2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Default="00650670" w:rsidP="00650670">
            <w:pPr>
              <w:pStyle w:val="TableText"/>
            </w:pPr>
            <w:r w:rsidRPr="00915034">
              <w:t>82,6</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r>
              <w:t>91,5</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r>
              <w:t>92,4</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r>
              <w:t>89,9</w:t>
            </w:r>
          </w:p>
        </w:tc>
        <w:tc>
          <w:tcPr>
            <w:tcW w:w="891" w:type="dxa"/>
            <w:tcBorders>
              <w:top w:val="single" w:sz="4" w:space="0" w:color="522398"/>
              <w:left w:val="single" w:sz="4" w:space="0" w:color="522398"/>
              <w:bottom w:val="nil"/>
              <w:right w:val="single" w:sz="4" w:space="0" w:color="522398"/>
            </w:tcBorders>
            <w:shd w:val="clear" w:color="auto" w:fill="DCD3EA"/>
            <w:vAlign w:val="center"/>
          </w:tcPr>
          <w:p w:rsidR="00650670" w:rsidRPr="00753264" w:rsidRDefault="00650670" w:rsidP="00650670">
            <w:pPr>
              <w:pStyle w:val="TableText"/>
            </w:pPr>
            <w:r w:rsidRPr="00FE1E98">
              <w:t>89,1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650670" w:rsidRPr="00753264" w:rsidRDefault="00650670" w:rsidP="00650670">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650670" w:rsidRDefault="00650670" w:rsidP="00650670">
            <w:pPr>
              <w:pStyle w:val="TableText"/>
            </w:pPr>
          </w:p>
        </w:tc>
      </w:tr>
      <w:tr w:rsidR="00AC2227" w:rsidRPr="00E87892" w:rsidTr="00CD7A87">
        <w:trPr>
          <w:trHeight w:val="527"/>
        </w:trPr>
        <w:tc>
          <w:tcPr>
            <w:tcW w:w="15097" w:type="dxa"/>
            <w:gridSpan w:val="14"/>
            <w:tcBorders>
              <w:top w:val="nil"/>
              <w:left w:val="nil"/>
              <w:bottom w:val="nil"/>
              <w:right w:val="nil"/>
            </w:tcBorders>
            <w:shd w:val="clear" w:color="auto" w:fill="auto"/>
            <w:vAlign w:val="center"/>
          </w:tcPr>
          <w:p w:rsidR="00A212B4" w:rsidRPr="00CF1050" w:rsidRDefault="00AC2227" w:rsidP="0084123A">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008F3EB7">
              <w:t xml:space="preserve">, </w:t>
            </w:r>
            <w:r w:rsidR="008F3EB7">
              <w:rPr>
                <w:sz w:val="15"/>
              </w:rPr>
              <w:t>szacowanej na koniec każdego miesiąca</w:t>
            </w:r>
            <w:r w:rsidRPr="00CF1050">
              <w:t>.</w:t>
            </w:r>
            <w:r w:rsidR="0084123A">
              <w:t xml:space="preserve"> </w:t>
            </w:r>
            <w:r w:rsidRPr="008B61D7">
              <w:t xml:space="preserve">c </w:t>
            </w:r>
            <w:r w:rsidR="00C2715E">
              <w:t xml:space="preserve">Od 1 czerwca 2025 r. dane o ofertach pracy nie są w pełni porównywalne z okresami wcześniejszymi ze względu na zmiany metodologiczne wynikające z wejścia w życie ustawy o rynku pracy i służbach zatrudnienia (Dz. U. z 2025 r. poz. 620). d </w:t>
            </w:r>
            <w:r w:rsidRPr="00CF1050">
              <w:t xml:space="preserve">W kwartale. </w:t>
            </w:r>
          </w:p>
        </w:tc>
      </w:tr>
      <w:tr w:rsidR="00AC2227" w:rsidRPr="00E87892" w:rsidTr="002B3124">
        <w:trPr>
          <w:trHeight w:hRule="exact" w:val="113"/>
        </w:trPr>
        <w:tc>
          <w:tcPr>
            <w:tcW w:w="4253" w:type="dxa"/>
            <w:tcBorders>
              <w:top w:val="nil"/>
              <w:left w:val="nil"/>
              <w:bottom w:val="nil"/>
              <w:right w:val="nil"/>
            </w:tcBorders>
            <w:vAlign w:val="center"/>
          </w:tcPr>
          <w:p w:rsidR="00AC2227" w:rsidRPr="00295342" w:rsidRDefault="00AC2227" w:rsidP="00D50110">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1"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B66DB7" w:rsidRPr="00E87892" w:rsidTr="002B3124">
        <w:trPr>
          <w:trHeight w:val="198"/>
        </w:trPr>
        <w:tc>
          <w:tcPr>
            <w:tcW w:w="4253" w:type="dxa"/>
            <w:tcBorders>
              <w:top w:val="nil"/>
              <w:left w:val="nil"/>
              <w:bottom w:val="single" w:sz="4" w:space="0" w:color="522398"/>
              <w:right w:val="nil"/>
            </w:tcBorders>
            <w:vAlign w:val="center"/>
          </w:tcPr>
          <w:p w:rsidR="00B66DB7" w:rsidRPr="00295342" w:rsidRDefault="00B66DB7" w:rsidP="00D50110">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B66DB7" w:rsidRPr="00754D58" w:rsidRDefault="00B66DB7" w:rsidP="00B66DB7">
            <w:pPr>
              <w:pStyle w:val="a"/>
              <w:rPr>
                <w:rFonts w:ascii="Fira Sans" w:hAnsi="Fira Sans"/>
              </w:rPr>
            </w:pPr>
            <w:r w:rsidRPr="00754D58">
              <w:rPr>
                <w:rFonts w:ascii="Fira Sans" w:hAnsi="Fira Sans"/>
              </w:rPr>
              <w:t>A</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8,2</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6,3</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8,1</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7,9</w:t>
            </w:r>
          </w:p>
        </w:tc>
        <w:tc>
          <w:tcPr>
            <w:tcW w:w="891" w:type="dxa"/>
            <w:tcBorders>
              <w:top w:val="nil"/>
              <w:left w:val="single" w:sz="4" w:space="0" w:color="522398"/>
              <w:bottom w:val="single" w:sz="4" w:space="0" w:color="522398"/>
              <w:right w:val="single" w:sz="4" w:space="0" w:color="522398"/>
            </w:tcBorders>
            <w:shd w:val="clear" w:color="auto" w:fill="DCD3EA"/>
            <w:vAlign w:val="center"/>
          </w:tcPr>
          <w:p w:rsidR="00B66DB7" w:rsidRPr="006D0726" w:rsidRDefault="00B66DB7" w:rsidP="008C5500">
            <w:pPr>
              <w:pStyle w:val="TableText"/>
            </w:pPr>
            <w:r w:rsidRPr="006D0726">
              <w:t>8,0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8,7</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7,7</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7,3</w:t>
            </w:r>
          </w:p>
        </w:tc>
        <w:tc>
          <w:tcPr>
            <w:tcW w:w="892" w:type="dxa"/>
            <w:tcBorders>
              <w:top w:val="nil"/>
              <w:left w:val="single" w:sz="4" w:space="0" w:color="522398"/>
              <w:bottom w:val="single" w:sz="4" w:space="0" w:color="522398"/>
              <w:right w:val="nil"/>
            </w:tcBorders>
            <w:shd w:val="clear" w:color="auto" w:fill="auto"/>
            <w:vAlign w:val="center"/>
          </w:tcPr>
          <w:p w:rsidR="00B66DB7" w:rsidRPr="006D0726" w:rsidRDefault="00B66DB7" w:rsidP="008C5500">
            <w:pPr>
              <w:pStyle w:val="TableText"/>
            </w:pPr>
            <w:r w:rsidRPr="006D0726">
              <w:t>7,1</w:t>
            </w:r>
          </w:p>
        </w:tc>
      </w:tr>
      <w:tr w:rsidR="00B66DB7" w:rsidRPr="00E87892" w:rsidTr="002B3124">
        <w:trPr>
          <w:trHeight w:val="198"/>
        </w:trPr>
        <w:tc>
          <w:tcPr>
            <w:tcW w:w="4253" w:type="dxa"/>
            <w:tcBorders>
              <w:top w:val="single" w:sz="4" w:space="0" w:color="522398"/>
              <w:left w:val="nil"/>
              <w:bottom w:val="single" w:sz="4" w:space="0" w:color="522398"/>
              <w:right w:val="nil"/>
            </w:tcBorders>
            <w:vAlign w:val="center"/>
          </w:tcPr>
          <w:p w:rsidR="00B66DB7" w:rsidRPr="00295342" w:rsidRDefault="00B66DB7" w:rsidP="00D50110">
            <w:pPr>
              <w:pStyle w:val="g3"/>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B66DB7" w:rsidRPr="00754D58" w:rsidRDefault="00B66DB7" w:rsidP="00B66DB7">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426793" w:rsidP="008C5500">
            <w:pPr>
              <w:pStyle w:val="TableText"/>
            </w:pPr>
            <w:r>
              <w:t>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232713" w:rsidP="008C5500">
            <w:pPr>
              <w:pStyle w:val="TableText"/>
            </w:pPr>
            <w:r w:rsidRPr="00232713">
              <w:t>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DA5ED2" w:rsidP="008C5500">
            <w:pPr>
              <w:pStyle w:val="TableText"/>
            </w:pPr>
            <w:r>
              <w:t>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5D2F8B" w:rsidP="008C5500">
            <w:pPr>
              <w:pStyle w:val="TableText"/>
            </w:pPr>
            <w:r>
              <w:t>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E51DF7" w:rsidP="008C5500">
            <w:pPr>
              <w:pStyle w:val="TableText"/>
            </w:pPr>
            <w:r>
              <w:t>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9511BD" w:rsidP="008C5500">
            <w:pPr>
              <w:pStyle w:val="TableText"/>
            </w:pPr>
            <w:r>
              <w:t>7,5</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B66DB7" w:rsidRPr="006D0726" w:rsidRDefault="00650670" w:rsidP="008C5500">
            <w:pPr>
              <w:pStyle w:val="TableText"/>
            </w:pPr>
            <w:r>
              <w:t>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B66DB7" w:rsidRPr="006D0726" w:rsidRDefault="00B66DB7" w:rsidP="008C5500">
            <w:pPr>
              <w:pStyle w:val="TableText"/>
            </w:pPr>
          </w:p>
        </w:tc>
      </w:tr>
      <w:tr w:rsidR="00B66DB7" w:rsidRPr="00E87892" w:rsidTr="002B3124">
        <w:trPr>
          <w:trHeight w:val="198"/>
        </w:trPr>
        <w:tc>
          <w:tcPr>
            <w:tcW w:w="4253" w:type="dxa"/>
            <w:tcBorders>
              <w:top w:val="single" w:sz="4" w:space="0" w:color="522398"/>
              <w:left w:val="nil"/>
              <w:bottom w:val="single" w:sz="4" w:space="0" w:color="522398"/>
              <w:right w:val="nil"/>
            </w:tcBorders>
            <w:vAlign w:val="center"/>
          </w:tcPr>
          <w:p w:rsidR="00B66DB7" w:rsidRPr="00295342" w:rsidRDefault="00B66DB7" w:rsidP="00D50110">
            <w:pPr>
              <w:pStyle w:val="boczek"/>
            </w:pPr>
            <w:r w:rsidRPr="00295342">
              <w:t>Produkcja sprzedana przemysłu</w:t>
            </w:r>
            <w:r w:rsidRPr="00295342">
              <w:rPr>
                <w:vertAlign w:val="superscript"/>
              </w:rPr>
              <w:t xml:space="preserve"> b</w:t>
            </w:r>
            <w:r w:rsidRPr="00295342">
              <w:t xml:space="preserve"> (w cenach stałych</w:t>
            </w:r>
            <w:r w:rsidR="00D50110">
              <w:t xml:space="preserve"> </w:t>
            </w:r>
            <w:r>
              <w:t>2021</w:t>
            </w:r>
            <w:r w:rsidRPr="00295342">
              <w:t>):</w:t>
            </w:r>
          </w:p>
        </w:tc>
        <w:tc>
          <w:tcPr>
            <w:tcW w:w="142" w:type="dxa"/>
            <w:tcBorders>
              <w:top w:val="single" w:sz="4" w:space="0" w:color="522398"/>
              <w:left w:val="nil"/>
              <w:bottom w:val="single" w:sz="4" w:space="0" w:color="522398"/>
              <w:right w:val="single" w:sz="4" w:space="0" w:color="522398"/>
            </w:tcBorders>
            <w:vAlign w:val="center"/>
          </w:tcPr>
          <w:p w:rsidR="00B66DB7" w:rsidRPr="00754D58" w:rsidRDefault="00B66DB7" w:rsidP="00B66DB7">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B66DB7" w:rsidRPr="006D0726" w:rsidRDefault="00B66DB7"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D50110">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F532E7">
            <w:pPr>
              <w:pStyle w:val="TableText"/>
            </w:pPr>
            <w:r w:rsidRPr="006D0726">
              <w:t>105,3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102,9</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4C5B94" w:rsidRDefault="00C724E0" w:rsidP="008C5500">
            <w:pPr>
              <w:pStyle w:val="TableText"/>
            </w:pPr>
            <w:r w:rsidRPr="004C5B94">
              <w:t>92,9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86,9</w:t>
            </w: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107A4C" w:rsidRDefault="00DF2439"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095426">
              <w:t>11</w:t>
            </w:r>
            <w:r>
              <w:t>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DF2439" w:rsidRDefault="00DF2439" w:rsidP="00DF2439">
            <w:pPr>
              <w:pStyle w:val="TableText"/>
            </w:pPr>
            <w:r w:rsidRPr="00DF2439">
              <w:t>97,4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DF2439" w:rsidRDefault="00DF2439" w:rsidP="00DF2439">
            <w:pPr>
              <w:pStyle w:val="tablegwiazd"/>
            </w:pPr>
            <w:r w:rsidRPr="00DF2439">
              <w:t>99,0*</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DF2439" w:rsidRDefault="00DF2439" w:rsidP="00DF2439">
            <w:pPr>
              <w:pStyle w:val="TableText"/>
            </w:pPr>
            <w:r w:rsidRPr="00DF2439">
              <w:t>95,5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4C5B94" w:rsidRDefault="00DF2439" w:rsidP="00DF243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107A4C" w:rsidRDefault="00DF2439" w:rsidP="00D50110">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DF2439" w:rsidRDefault="00DF2439" w:rsidP="00DF2439">
            <w:pPr>
              <w:pStyle w:val="TableText"/>
            </w:pPr>
            <w:r w:rsidRPr="00DF2439">
              <w:t>98,9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DF2439" w:rsidRDefault="00DF2439" w:rsidP="00DF2439">
            <w:pPr>
              <w:pStyle w:val="TableText"/>
            </w:pPr>
            <w:r w:rsidRPr="00DF2439">
              <w:t>99,9</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DF2439" w:rsidRDefault="00DF2439" w:rsidP="00DF2439">
            <w:pPr>
              <w:pStyle w:val="TableText"/>
            </w:pPr>
            <w:r w:rsidRPr="00DF2439">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111,9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4C5B94" w:rsidRDefault="00DF2439" w:rsidP="00DF2439">
            <w:pPr>
              <w:pStyle w:val="TableText"/>
            </w:pPr>
            <w:r w:rsidRPr="004C5B94">
              <w:t>96,7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r>
              <w:t>98,9</w:t>
            </w: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107A4C" w:rsidRDefault="00DF2439"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095426">
              <w:t>106,</w:t>
            </w:r>
            <w:r>
              <w:t>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DF2439" w:rsidRDefault="00DF2439" w:rsidP="00DF2439">
            <w:pPr>
              <w:pStyle w:val="TableText"/>
            </w:pPr>
            <w:r w:rsidRPr="00DF2439">
              <w:t>107,3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DF2439" w:rsidRDefault="00DF2439" w:rsidP="00DF2439">
            <w:pPr>
              <w:pStyle w:val="tablegwiazd"/>
            </w:pPr>
            <w:r w:rsidRPr="00DF2439">
              <w:t>103,2*</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DF2439" w:rsidRDefault="00DF2439" w:rsidP="00DF2439">
            <w:pPr>
              <w:pStyle w:val="TableText"/>
            </w:pPr>
            <w:r w:rsidRPr="00DF2439">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D50110">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D50110">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37,5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134,5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107,1</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98,8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119,8</w:t>
            </w: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107A4C" w:rsidRDefault="00DF2439"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2576F7">
              <w:t>42,8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A11D4D">
              <w:t>85,5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80369E">
              <w:t>132,3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108,6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DF2439" w:rsidRDefault="00DF2439" w:rsidP="00DF2439">
            <w:pPr>
              <w:pStyle w:val="TableText"/>
            </w:pPr>
            <w:r w:rsidRPr="00DF2439">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107A4C" w:rsidRDefault="00DF2439" w:rsidP="00D50110">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94,6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98,6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DF2439" w:rsidRDefault="00DF2439" w:rsidP="00DF2439">
            <w:pPr>
              <w:pStyle w:val="TableText"/>
            </w:pPr>
            <w:r w:rsidRPr="00DF2439">
              <w:t>105,9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103,0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6D0726">
              <w:t>130,2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r w:rsidRPr="006D0726">
              <w:t>112,8</w:t>
            </w: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754D58" w:rsidRDefault="00DF2439"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2576F7">
              <w:t>128,8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A11D4D">
              <w:t>108,5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rsidRPr="0080369E">
              <w:t>106,6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105,5</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DF2439" w:rsidRDefault="00DF2439" w:rsidP="00DF2439">
            <w:pPr>
              <w:pStyle w:val="TableText"/>
            </w:pPr>
            <w:r w:rsidRPr="00DF2439">
              <w:t>107,9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p>
        </w:tc>
      </w:tr>
      <w:tr w:rsidR="00394BB9" w:rsidRPr="00E87892" w:rsidTr="002B3124">
        <w:trPr>
          <w:trHeight w:val="198"/>
        </w:trPr>
        <w:tc>
          <w:tcPr>
            <w:tcW w:w="4253" w:type="dxa"/>
            <w:tcBorders>
              <w:top w:val="single" w:sz="4" w:space="0" w:color="522398"/>
              <w:left w:val="nil"/>
              <w:bottom w:val="single" w:sz="4" w:space="0" w:color="522398"/>
              <w:right w:val="nil"/>
            </w:tcBorders>
            <w:vAlign w:val="center"/>
          </w:tcPr>
          <w:p w:rsidR="00394BB9" w:rsidRPr="00754D58" w:rsidRDefault="00394BB9" w:rsidP="00D50110">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394BB9" w:rsidRPr="00754D58" w:rsidRDefault="00394BB9" w:rsidP="00394BB9">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1407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2607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4095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6009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7084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8295</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394BB9" w:rsidRPr="007A2C63" w:rsidRDefault="00394BB9" w:rsidP="008C5500">
            <w:pPr>
              <w:pStyle w:val="TableText"/>
            </w:pPr>
            <w:r w:rsidRPr="007A2C63">
              <w:t>10330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12022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14110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15992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17428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394BB9" w:rsidRDefault="00394BB9" w:rsidP="008C5500">
            <w:pPr>
              <w:pStyle w:val="TableText"/>
            </w:pPr>
            <w:r w:rsidRPr="007A2C63">
              <w:t>19286</w:t>
            </w: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754D58" w:rsidRDefault="00DF2439" w:rsidP="00D50110">
            <w:pPr>
              <w:pStyle w:val="boczek"/>
            </w:pP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2030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3308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4520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6563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8459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9607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6D0726" w:rsidRDefault="00DF2439" w:rsidP="00DF2439">
            <w:pPr>
              <w:pStyle w:val="TableText"/>
            </w:pPr>
            <w:r w:rsidRPr="00983E77">
              <w:t>11649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754D58" w:rsidRDefault="00DF2439" w:rsidP="00D50110">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DF2439" w:rsidRPr="00754D58" w:rsidRDefault="00DF2439" w:rsidP="00DF2439">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65,2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67,6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68,2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68,8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67,7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65,0</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BF3558" w:rsidRDefault="00DF2439" w:rsidP="00DF2439">
            <w:pPr>
              <w:pStyle w:val="TableText"/>
            </w:pPr>
            <w:r w:rsidRPr="00BF3558">
              <w:t>73,4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76,8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81,6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84,4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BF3558" w:rsidRDefault="00DF2439" w:rsidP="00DF2439">
            <w:pPr>
              <w:pStyle w:val="TableText"/>
            </w:pPr>
            <w:r w:rsidRPr="00BF3558">
              <w:t>83,3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Default="00DF2439" w:rsidP="00DF2439">
            <w:pPr>
              <w:pStyle w:val="TableText"/>
            </w:pPr>
            <w:r w:rsidRPr="00BF3558">
              <w:t>85,4</w:t>
            </w:r>
          </w:p>
        </w:tc>
      </w:tr>
      <w:tr w:rsidR="00DF2439" w:rsidRPr="00E87892" w:rsidTr="002B3124">
        <w:trPr>
          <w:trHeight w:val="198"/>
        </w:trPr>
        <w:tc>
          <w:tcPr>
            <w:tcW w:w="4253" w:type="dxa"/>
            <w:tcBorders>
              <w:top w:val="single" w:sz="4" w:space="0" w:color="522398"/>
              <w:left w:val="nil"/>
              <w:bottom w:val="single" w:sz="4" w:space="0" w:color="522398"/>
              <w:right w:val="nil"/>
            </w:tcBorders>
            <w:vAlign w:val="center"/>
          </w:tcPr>
          <w:p w:rsidR="00DF2439" w:rsidRPr="00F55C8A" w:rsidRDefault="00DF2439" w:rsidP="00D50110">
            <w:pPr>
              <w:pStyle w:val="boczek"/>
            </w:pPr>
          </w:p>
        </w:tc>
        <w:tc>
          <w:tcPr>
            <w:tcW w:w="142" w:type="dxa"/>
            <w:tcBorders>
              <w:top w:val="single" w:sz="4" w:space="0" w:color="522398"/>
              <w:left w:val="nil"/>
              <w:bottom w:val="single" w:sz="4" w:space="0" w:color="522398"/>
              <w:right w:val="single" w:sz="4" w:space="0" w:color="522398"/>
            </w:tcBorders>
            <w:vAlign w:val="center"/>
          </w:tcPr>
          <w:p w:rsidR="00DF2439" w:rsidRPr="00F55C8A" w:rsidRDefault="00DF2439" w:rsidP="00DF2439">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144,3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126,9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110,4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DF2439" w:rsidRDefault="00DF2439" w:rsidP="00DF2439">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119,4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r>
              <w:t>115,8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F2439" w:rsidRPr="006D0726" w:rsidRDefault="00DF2439" w:rsidP="00DF2439">
            <w:pPr>
              <w:pStyle w:val="TableText"/>
            </w:pPr>
            <w:r w:rsidRPr="00983E77">
              <w:t>112,8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F2439" w:rsidRPr="006D0726" w:rsidRDefault="00DF2439" w:rsidP="00DF243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F2439" w:rsidRPr="006D0726" w:rsidRDefault="00DF2439" w:rsidP="00DF2439">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F55C8A" w:rsidRDefault="00C724E0" w:rsidP="00D50110">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C724E0" w:rsidRPr="00F55C8A" w:rsidRDefault="00C724E0" w:rsidP="00C724E0">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F55C8A" w:rsidRDefault="00C724E0" w:rsidP="00D50110">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C724E0" w:rsidRPr="00F55C8A" w:rsidRDefault="00C724E0" w:rsidP="00C724E0">
            <w:pPr>
              <w:pStyle w:val="a"/>
              <w:rPr>
                <w:rFonts w:ascii="Fira Sans" w:hAnsi="Fira Sans"/>
              </w:rPr>
            </w:pPr>
            <w:r w:rsidRPr="00F55C8A">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86,6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101,7</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94,0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97,9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111,7</w:t>
            </w:r>
          </w:p>
        </w:tc>
      </w:tr>
      <w:tr w:rsidR="00DE56C0" w:rsidRPr="00E87892" w:rsidTr="002B3124">
        <w:trPr>
          <w:trHeight w:val="198"/>
        </w:trPr>
        <w:tc>
          <w:tcPr>
            <w:tcW w:w="4253" w:type="dxa"/>
            <w:tcBorders>
              <w:top w:val="single" w:sz="4" w:space="0" w:color="522398"/>
              <w:left w:val="nil"/>
              <w:bottom w:val="single" w:sz="4" w:space="0" w:color="522398"/>
              <w:right w:val="nil"/>
            </w:tcBorders>
            <w:vAlign w:val="center"/>
          </w:tcPr>
          <w:p w:rsidR="00DE56C0" w:rsidRPr="00F55C8A" w:rsidRDefault="00DE56C0"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E56C0" w:rsidRPr="00F55C8A" w:rsidRDefault="00DE56C0" w:rsidP="00DE56C0">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2576F7">
              <w:t>86,9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CD4468">
              <w:t>89,5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80369E">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95,4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96,6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E56C0" w:rsidRPr="00DE56C0" w:rsidRDefault="00DE56C0" w:rsidP="00DE56C0">
            <w:pPr>
              <w:pStyle w:val="TableText"/>
            </w:pPr>
            <w:r w:rsidRPr="00DE56C0">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E56C0" w:rsidRPr="006D0726" w:rsidRDefault="00DE56C0" w:rsidP="00DE56C0">
            <w:pPr>
              <w:pStyle w:val="TableText"/>
            </w:pPr>
          </w:p>
        </w:tc>
      </w:tr>
      <w:tr w:rsidR="00DE56C0" w:rsidRPr="00E87892" w:rsidTr="002B3124">
        <w:trPr>
          <w:trHeight w:val="198"/>
        </w:trPr>
        <w:tc>
          <w:tcPr>
            <w:tcW w:w="4253" w:type="dxa"/>
            <w:tcBorders>
              <w:top w:val="single" w:sz="4" w:space="0" w:color="522398"/>
              <w:left w:val="nil"/>
              <w:bottom w:val="single" w:sz="4" w:space="0" w:color="522398"/>
              <w:right w:val="nil"/>
            </w:tcBorders>
            <w:vAlign w:val="center"/>
          </w:tcPr>
          <w:p w:rsidR="00DE56C0" w:rsidRPr="00107A4C" w:rsidRDefault="00DE56C0" w:rsidP="00D50110">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DE56C0" w:rsidRPr="00754D58" w:rsidRDefault="00DE56C0" w:rsidP="00DE56C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115,1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115,4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110,2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111,5</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E56C0" w:rsidRPr="00DE56C0" w:rsidRDefault="00DE56C0" w:rsidP="00DE56C0">
            <w:pPr>
              <w:pStyle w:val="TableText"/>
            </w:pPr>
            <w:r w:rsidRPr="00DE56C0">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109,1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103,8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109,6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E56C0" w:rsidRPr="006D0726" w:rsidRDefault="00DE56C0" w:rsidP="00DE56C0">
            <w:pPr>
              <w:pStyle w:val="TableText"/>
            </w:pPr>
            <w:r w:rsidRPr="006D0726">
              <w:t>107,0</w:t>
            </w:r>
          </w:p>
        </w:tc>
      </w:tr>
      <w:tr w:rsidR="00DE56C0" w:rsidRPr="00E87892" w:rsidTr="002B3124">
        <w:trPr>
          <w:trHeight w:val="198"/>
        </w:trPr>
        <w:tc>
          <w:tcPr>
            <w:tcW w:w="4253" w:type="dxa"/>
            <w:tcBorders>
              <w:top w:val="single" w:sz="4" w:space="0" w:color="522398"/>
              <w:left w:val="nil"/>
              <w:bottom w:val="single" w:sz="4" w:space="0" w:color="522398"/>
              <w:right w:val="nil"/>
            </w:tcBorders>
            <w:vAlign w:val="center"/>
          </w:tcPr>
          <w:p w:rsidR="00DE56C0" w:rsidRPr="00754D58" w:rsidRDefault="00DE56C0"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E56C0" w:rsidRPr="00754D58" w:rsidRDefault="00DE56C0" w:rsidP="00DE56C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2576F7">
              <w:t>107,3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CD4468">
              <w:t>97,6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80369E">
              <w:t>97,1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112,3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105,2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100,0</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E56C0" w:rsidRPr="00DE56C0" w:rsidRDefault="00DE56C0" w:rsidP="00DE56C0">
            <w:pPr>
              <w:pStyle w:val="TableText"/>
            </w:pPr>
            <w:r w:rsidRPr="00DE56C0">
              <w:t>110,7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E56C0" w:rsidRPr="006D0726" w:rsidRDefault="00DE56C0" w:rsidP="00DE56C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4,8</w:t>
            </w: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2"/>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DE56C0" w:rsidP="008C5500">
            <w:pPr>
              <w:pStyle w:val="TableText"/>
            </w:pPr>
            <w:r>
              <w:t>5,1</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DE56C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3,9</w:t>
            </w: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2"/>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DE56C0" w:rsidP="008C5500">
            <w:pPr>
              <w:pStyle w:val="TableText"/>
            </w:pPr>
            <w:r>
              <w:t>4,2</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DE56C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4254,1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8894,8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13444,0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F00A19" w:rsidP="008C5500">
            <w:pPr>
              <w:pStyle w:val="TableText"/>
            </w:pPr>
            <w:r>
              <w:t>19862,9</w:t>
            </w:r>
          </w:p>
        </w:tc>
      </w:tr>
      <w:tr w:rsidR="00DE56C0" w:rsidRPr="00E87892" w:rsidTr="002B3124">
        <w:trPr>
          <w:trHeight w:val="198"/>
        </w:trPr>
        <w:tc>
          <w:tcPr>
            <w:tcW w:w="4253" w:type="dxa"/>
            <w:tcBorders>
              <w:top w:val="single" w:sz="4" w:space="0" w:color="522398"/>
              <w:left w:val="nil"/>
              <w:bottom w:val="single" w:sz="4" w:space="0" w:color="522398"/>
              <w:right w:val="nil"/>
            </w:tcBorders>
            <w:vAlign w:val="center"/>
          </w:tcPr>
          <w:p w:rsidR="00DE56C0" w:rsidRPr="00754D58" w:rsidRDefault="00DE56C0" w:rsidP="00D50110">
            <w:pPr>
              <w:pStyle w:val="boczek"/>
            </w:pPr>
          </w:p>
        </w:tc>
        <w:tc>
          <w:tcPr>
            <w:tcW w:w="142" w:type="dxa"/>
            <w:tcBorders>
              <w:top w:val="single" w:sz="4" w:space="0" w:color="522398"/>
              <w:left w:val="nil"/>
              <w:bottom w:val="single" w:sz="4" w:space="0" w:color="522398"/>
              <w:right w:val="single" w:sz="4" w:space="0" w:color="522398"/>
            </w:tcBorders>
            <w:vAlign w:val="center"/>
          </w:tcPr>
          <w:p w:rsidR="00DE56C0" w:rsidRPr="00754D58" w:rsidRDefault="00DE56C0" w:rsidP="00DE56C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FE24E6">
              <w:t>4047,2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DE56C0" w:rsidRDefault="00DE56C0" w:rsidP="00DE56C0">
            <w:pPr>
              <w:pStyle w:val="TableText"/>
            </w:pPr>
            <w:r w:rsidRPr="00DE56C0">
              <w:t>8713,3</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E56C0" w:rsidRPr="006D0726" w:rsidRDefault="00DE56C0" w:rsidP="00DE56C0">
            <w:pPr>
              <w:pStyle w:val="TableText"/>
            </w:pPr>
          </w:p>
        </w:tc>
      </w:tr>
      <w:tr w:rsidR="00DE56C0" w:rsidRPr="00E87892" w:rsidTr="002B3124">
        <w:trPr>
          <w:trHeight w:val="198"/>
        </w:trPr>
        <w:tc>
          <w:tcPr>
            <w:tcW w:w="4253" w:type="dxa"/>
            <w:tcBorders>
              <w:top w:val="single" w:sz="4" w:space="0" w:color="522398"/>
              <w:left w:val="nil"/>
              <w:bottom w:val="single" w:sz="4" w:space="0" w:color="522398"/>
              <w:right w:val="nil"/>
            </w:tcBorders>
            <w:vAlign w:val="center"/>
          </w:tcPr>
          <w:p w:rsidR="00DE56C0" w:rsidRPr="00754D58" w:rsidRDefault="00DE56C0" w:rsidP="00D50110">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DE56C0" w:rsidRPr="00754D58" w:rsidRDefault="00DE56C0" w:rsidP="00DE56C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93,0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DE56C0" w:rsidRDefault="00DE56C0" w:rsidP="00DE56C0">
            <w:pPr>
              <w:pStyle w:val="TableText"/>
            </w:pPr>
            <w:r w:rsidRPr="00DE56C0">
              <w:t>93,8</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91,5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E56C0" w:rsidRPr="006D0726" w:rsidRDefault="00DE56C0" w:rsidP="00DE56C0">
            <w:pPr>
              <w:pStyle w:val="TableText"/>
            </w:pPr>
            <w:r>
              <w:t>91,5</w:t>
            </w:r>
          </w:p>
        </w:tc>
      </w:tr>
      <w:tr w:rsidR="00DE56C0" w:rsidRPr="00E87892" w:rsidTr="002B3124">
        <w:trPr>
          <w:trHeight w:val="198"/>
        </w:trPr>
        <w:tc>
          <w:tcPr>
            <w:tcW w:w="4253" w:type="dxa"/>
            <w:tcBorders>
              <w:top w:val="single" w:sz="4" w:space="0" w:color="522398"/>
              <w:left w:val="nil"/>
              <w:bottom w:val="single" w:sz="4" w:space="0" w:color="522398"/>
              <w:right w:val="nil"/>
            </w:tcBorders>
            <w:vAlign w:val="center"/>
          </w:tcPr>
          <w:p w:rsidR="00DE56C0" w:rsidRPr="00754D58" w:rsidRDefault="00DE56C0" w:rsidP="00D50110">
            <w:pPr>
              <w:pStyle w:val="g3"/>
            </w:pPr>
          </w:p>
        </w:tc>
        <w:tc>
          <w:tcPr>
            <w:tcW w:w="142" w:type="dxa"/>
            <w:tcBorders>
              <w:top w:val="single" w:sz="4" w:space="0" w:color="522398"/>
              <w:left w:val="nil"/>
              <w:bottom w:val="single" w:sz="4" w:space="0" w:color="522398"/>
              <w:right w:val="single" w:sz="4" w:space="0" w:color="522398"/>
            </w:tcBorders>
            <w:vAlign w:val="center"/>
          </w:tcPr>
          <w:p w:rsidR="00DE56C0" w:rsidRPr="00754D58" w:rsidRDefault="00DE56C0" w:rsidP="00DE56C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rsidRPr="00FE24E6">
              <w:t>95,1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DE56C0" w:rsidRDefault="00DE56C0" w:rsidP="00DE56C0">
            <w:pPr>
              <w:pStyle w:val="TableText"/>
            </w:pPr>
            <w:r w:rsidRPr="00DE56C0">
              <w:t>98,0</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E56C0" w:rsidRPr="006D0726" w:rsidRDefault="00DE56C0" w:rsidP="00DE56C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E56C0" w:rsidRPr="006D0726" w:rsidRDefault="00DE56C0" w:rsidP="00DE56C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E56C0" w:rsidRPr="006D0726" w:rsidRDefault="00DE56C0" w:rsidP="00DE56C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504816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506670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507978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509287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510407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511742</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512919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514399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515802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517322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518460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518833</w:t>
            </w: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boczek"/>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AB446A">
              <w:t>519307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FF5D6D">
              <w:t>520063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4814EF" w:rsidP="008C5500">
            <w:pPr>
              <w:pStyle w:val="TableText"/>
            </w:pPr>
            <w:r w:rsidRPr="004814EF">
              <w:t>520949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916BE" w:rsidP="008C5500">
            <w:pPr>
              <w:pStyle w:val="TableText"/>
            </w:pPr>
            <w:r w:rsidRPr="00C916BE">
              <w:t>522366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rsidRPr="00C52550">
              <w:t>523679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122631" w:rsidP="008C5500">
            <w:pPr>
              <w:pStyle w:val="TableText"/>
            </w:pPr>
            <w:r w:rsidRPr="00122631">
              <w:t>524676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0375E0" w:rsidP="008C5500">
            <w:pPr>
              <w:pStyle w:val="TableText"/>
            </w:pPr>
            <w:r w:rsidRPr="000375E0">
              <w:t>525606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64209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64540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64782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65050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65229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65404</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65626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65921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66110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66363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66478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66583</w:t>
            </w:r>
          </w:p>
        </w:tc>
      </w:tr>
      <w:tr w:rsidR="00C724E0" w:rsidRPr="00E87892" w:rsidTr="002B3124">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2"/>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AB446A">
              <w:t>66737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FF5D6D">
              <w:t>66938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4814EF" w:rsidP="008C5500">
            <w:pPr>
              <w:pStyle w:val="TableText"/>
            </w:pPr>
            <w:r w:rsidRPr="004814EF">
              <w:t>67098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916BE" w:rsidP="008C5500">
            <w:pPr>
              <w:pStyle w:val="TableText"/>
            </w:pPr>
            <w:r w:rsidRPr="00C916BE">
              <w:t>67315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rsidRPr="00C52550">
              <w:t>67454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122631" w:rsidP="008C5500">
            <w:pPr>
              <w:pStyle w:val="TableText"/>
            </w:pPr>
            <w:r w:rsidRPr="00122631">
              <w:t>67576</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0375E0" w:rsidP="008C5500">
            <w:pPr>
              <w:pStyle w:val="TableText"/>
            </w:pPr>
            <w:r w:rsidRPr="000375E0">
              <w:t>67798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2B3124">
        <w:trPr>
          <w:trHeight w:val="45"/>
        </w:trPr>
        <w:tc>
          <w:tcPr>
            <w:tcW w:w="4253" w:type="dxa"/>
            <w:tcBorders>
              <w:top w:val="single" w:sz="4" w:space="0" w:color="522398"/>
              <w:left w:val="nil"/>
              <w:bottom w:val="single" w:sz="4" w:space="0" w:color="522398"/>
              <w:right w:val="nil"/>
            </w:tcBorders>
            <w:vAlign w:val="center"/>
          </w:tcPr>
          <w:p w:rsidR="00C724E0" w:rsidRPr="00754D58" w:rsidRDefault="00C724E0" w:rsidP="00D50110">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6177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6183</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6183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6210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6216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6206</w:t>
            </w:r>
          </w:p>
        </w:tc>
      </w:tr>
      <w:tr w:rsidR="00C724E0" w:rsidRPr="00E87892" w:rsidTr="002B3124">
        <w:trPr>
          <w:trHeight w:val="198"/>
        </w:trPr>
        <w:tc>
          <w:tcPr>
            <w:tcW w:w="4253" w:type="dxa"/>
            <w:tcBorders>
              <w:top w:val="single" w:sz="4" w:space="0" w:color="522398"/>
              <w:left w:val="nil"/>
              <w:bottom w:val="nil"/>
              <w:right w:val="nil"/>
            </w:tcBorders>
            <w:vAlign w:val="center"/>
          </w:tcPr>
          <w:p w:rsidR="00C724E0" w:rsidRPr="00754D58" w:rsidRDefault="00C724E0" w:rsidP="00D50110">
            <w:pPr>
              <w:pStyle w:val="g3"/>
            </w:pPr>
          </w:p>
        </w:tc>
        <w:tc>
          <w:tcPr>
            <w:tcW w:w="142" w:type="dxa"/>
            <w:tcBorders>
              <w:top w:val="single" w:sz="4" w:space="0" w:color="522398"/>
              <w:left w:val="nil"/>
              <w:bottom w:val="nil"/>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r w:rsidRPr="00AB446A">
              <w:t>6182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r w:rsidRPr="00FF5D6D">
              <w:t>6182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4814EF" w:rsidP="008C5500">
            <w:pPr>
              <w:pStyle w:val="TableText"/>
            </w:pPr>
            <w:r w:rsidRPr="004814EF">
              <w:t>6177</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916BE" w:rsidP="008C5500">
            <w:pPr>
              <w:pStyle w:val="TableText"/>
            </w:pPr>
            <w:r w:rsidRPr="00C916BE">
              <w:t>6179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364F3A" w:rsidP="008C5500">
            <w:pPr>
              <w:pStyle w:val="TableText"/>
            </w:pPr>
            <w:r>
              <w:t>6194</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122631" w:rsidP="008C5500">
            <w:pPr>
              <w:pStyle w:val="TableText"/>
            </w:pPr>
            <w:r w:rsidRPr="00122631">
              <w:t>6203</w:t>
            </w:r>
          </w:p>
        </w:tc>
        <w:tc>
          <w:tcPr>
            <w:tcW w:w="891" w:type="dxa"/>
            <w:tcBorders>
              <w:top w:val="single" w:sz="4" w:space="0" w:color="522398"/>
              <w:left w:val="single" w:sz="4" w:space="0" w:color="522398"/>
              <w:bottom w:val="nil"/>
              <w:right w:val="single" w:sz="4" w:space="0" w:color="522398"/>
            </w:tcBorders>
            <w:shd w:val="clear" w:color="auto" w:fill="DCD3EA"/>
            <w:vAlign w:val="center"/>
          </w:tcPr>
          <w:p w:rsidR="00C724E0" w:rsidRPr="006D0726" w:rsidRDefault="000375E0" w:rsidP="008C5500">
            <w:pPr>
              <w:pStyle w:val="TableText"/>
            </w:pPr>
            <w:r w:rsidRPr="000375E0">
              <w:t>6187</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C724E0" w:rsidRDefault="00C724E0" w:rsidP="008C5500">
            <w:pPr>
              <w:pStyle w:val="TableText"/>
            </w:pPr>
          </w:p>
        </w:tc>
      </w:tr>
      <w:tr w:rsidR="00AC2227" w:rsidRPr="00E87892" w:rsidTr="002D0A49">
        <w:tc>
          <w:tcPr>
            <w:tcW w:w="15097" w:type="dxa"/>
            <w:gridSpan w:val="14"/>
            <w:tcBorders>
              <w:top w:val="nil"/>
              <w:left w:val="nil"/>
              <w:bottom w:val="nil"/>
              <w:right w:val="nil"/>
            </w:tcBorders>
            <w:vAlign w:val="center"/>
          </w:tcPr>
          <w:p w:rsidR="00AC2227" w:rsidRPr="00B45702" w:rsidRDefault="00AC2227" w:rsidP="00EB4501">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61"/>
    </w:tbl>
    <w:p w:rsidR="00521456" w:rsidRDefault="00521456" w:rsidP="00465C71">
      <w:pPr>
        <w:rPr>
          <w:sz w:val="16"/>
          <w:szCs w:val="16"/>
        </w:rPr>
        <w:sectPr w:rsidR="00521456" w:rsidSect="0022458A">
          <w:pgSz w:w="16838" w:h="11906" w:orient="landscape"/>
          <w:pgMar w:top="720" w:right="720" w:bottom="720" w:left="720" w:header="170" w:footer="283" w:gutter="0"/>
          <w:cols w:space="708"/>
          <w:docGrid w:linePitch="360"/>
        </w:sectPr>
      </w:pPr>
    </w:p>
    <w:p w:rsidR="005364D5" w:rsidRDefault="005364D5" w:rsidP="005364D5">
      <w:pPr>
        <w:pStyle w:val="tekst"/>
        <w:rPr>
          <w:lang w:val="en-GB"/>
        </w:rPr>
      </w:pPr>
    </w:p>
    <w:tbl>
      <w:tblPr>
        <w:tblpPr w:leftFromText="141" w:rightFromText="141" w:vertAnchor="text" w:horzAnchor="margin" w:tblpY="38"/>
        <w:tblW w:w="4741" w:type="pct"/>
        <w:tblLayout w:type="fixed"/>
        <w:tblLook w:val="0420" w:firstRow="1" w:lastRow="0" w:firstColumn="0" w:lastColumn="0" w:noHBand="0" w:noVBand="1"/>
        <w:tblCaption w:val="accessible"/>
      </w:tblPr>
      <w:tblGrid>
        <w:gridCol w:w="4680"/>
        <w:gridCol w:w="5244"/>
      </w:tblGrid>
      <w:tr w:rsidR="005364D5" w:rsidRPr="008F3638" w:rsidTr="00830C7A">
        <w:trPr>
          <w:trHeight w:hRule="exact" w:val="454"/>
        </w:trPr>
        <w:tc>
          <w:tcPr>
            <w:tcW w:w="2358" w:type="pct"/>
            <w:vAlign w:val="center"/>
          </w:tcPr>
          <w:p w:rsidR="005364D5" w:rsidRPr="00750FD8" w:rsidRDefault="005364D5" w:rsidP="00830C7A">
            <w:pPr>
              <w:tabs>
                <w:tab w:val="left" w:pos="3612"/>
              </w:tabs>
              <w:spacing w:before="0" w:after="0" w:line="276" w:lineRule="auto"/>
              <w:rPr>
                <w:rFonts w:cs="Arial"/>
                <w:color w:val="000000" w:themeColor="text1"/>
                <w:sz w:val="20"/>
              </w:rPr>
            </w:pPr>
            <w:r w:rsidRPr="00E93155">
              <w:rPr>
                <w:rFonts w:cs="Arial"/>
                <w:color w:val="000000" w:themeColor="text1"/>
                <w:sz w:val="20"/>
              </w:rPr>
              <w:t>Opracowanie merytoryczne</w:t>
            </w:r>
            <w:r>
              <w:rPr>
                <w:rFonts w:cs="Arial"/>
                <w:color w:val="000000" w:themeColor="text1"/>
                <w:sz w:val="20"/>
              </w:rPr>
              <w:t>:</w:t>
            </w:r>
          </w:p>
        </w:tc>
        <w:tc>
          <w:tcPr>
            <w:tcW w:w="2642" w:type="pct"/>
            <w:vAlign w:val="center"/>
          </w:tcPr>
          <w:p w:rsidR="005364D5" w:rsidRPr="00894016" w:rsidRDefault="005364D5" w:rsidP="00830C7A">
            <w:pPr>
              <w:spacing w:before="0" w:after="0" w:line="276" w:lineRule="auto"/>
              <w:rPr>
                <w:sz w:val="20"/>
                <w:szCs w:val="20"/>
              </w:rPr>
            </w:pPr>
            <w:r w:rsidRPr="00894016">
              <w:rPr>
                <w:sz w:val="20"/>
                <w:szCs w:val="20"/>
              </w:rPr>
              <w:t>Rozpowszechnianie:</w:t>
            </w:r>
          </w:p>
        </w:tc>
      </w:tr>
      <w:tr w:rsidR="005364D5" w:rsidRPr="008F3638" w:rsidTr="00830C7A">
        <w:trPr>
          <w:trHeight w:hRule="exact" w:val="964"/>
        </w:trPr>
        <w:tc>
          <w:tcPr>
            <w:tcW w:w="2358" w:type="pct"/>
            <w:vAlign w:val="center"/>
          </w:tcPr>
          <w:p w:rsidR="005364D5" w:rsidRDefault="005364D5" w:rsidP="00A34247">
            <w:pPr>
              <w:tabs>
                <w:tab w:val="left" w:pos="3612"/>
              </w:tabs>
              <w:spacing w:before="0" w:after="0"/>
              <w:rPr>
                <w:rFonts w:cs="Arial"/>
                <w:b/>
                <w:color w:val="000000" w:themeColor="text1"/>
                <w:sz w:val="20"/>
              </w:rPr>
            </w:pPr>
            <w:r w:rsidRPr="00733605">
              <w:rPr>
                <w:rFonts w:cs="Arial"/>
                <w:b/>
                <w:color w:val="000000" w:themeColor="text1"/>
                <w:sz w:val="20"/>
              </w:rPr>
              <w:t>Urząd Statystyczny w Poznaniu</w:t>
            </w:r>
          </w:p>
          <w:p w:rsidR="00293CC3" w:rsidRDefault="005364D5" w:rsidP="00830C7A">
            <w:pPr>
              <w:tabs>
                <w:tab w:val="left" w:pos="3612"/>
              </w:tabs>
              <w:spacing w:before="0" w:after="0" w:line="276" w:lineRule="auto"/>
              <w:rPr>
                <w:rFonts w:cs="Arial"/>
                <w:b/>
                <w:color w:val="000000" w:themeColor="text1"/>
                <w:sz w:val="20"/>
              </w:rPr>
            </w:pPr>
            <w:r w:rsidRPr="00733605">
              <w:rPr>
                <w:rFonts w:cs="Arial"/>
                <w:b/>
                <w:color w:val="000000" w:themeColor="text1"/>
                <w:sz w:val="20"/>
              </w:rPr>
              <w:t>Dyrektor Jacek Kowalewski</w:t>
            </w:r>
          </w:p>
          <w:p w:rsidR="005364D5" w:rsidRPr="00733605" w:rsidRDefault="005D220F" w:rsidP="00830C7A">
            <w:pPr>
              <w:tabs>
                <w:tab w:val="left" w:pos="3612"/>
              </w:tabs>
              <w:spacing w:before="0" w:line="276" w:lineRule="auto"/>
              <w:rPr>
                <w:rFonts w:cs="Arial"/>
                <w:b/>
                <w:color w:val="000000" w:themeColor="text1"/>
                <w:sz w:val="20"/>
              </w:rPr>
            </w:pPr>
            <w:r>
              <w:rPr>
                <w:sz w:val="20"/>
                <w:szCs w:val="20"/>
              </w:rPr>
              <w:t>T</w:t>
            </w:r>
            <w:r w:rsidR="005364D5">
              <w:rPr>
                <w:sz w:val="20"/>
                <w:szCs w:val="20"/>
              </w:rPr>
              <w:t>el.:</w:t>
            </w:r>
            <w:r w:rsidR="005364D5" w:rsidRPr="009F7EC1">
              <w:rPr>
                <w:sz w:val="20"/>
                <w:szCs w:val="20"/>
              </w:rPr>
              <w:t xml:space="preserve"> 61 2798 266</w:t>
            </w:r>
          </w:p>
        </w:tc>
        <w:tc>
          <w:tcPr>
            <w:tcW w:w="2642" w:type="pct"/>
            <w:vAlign w:val="center"/>
          </w:tcPr>
          <w:p w:rsidR="005364D5" w:rsidRDefault="005364D5" w:rsidP="00A34247">
            <w:pPr>
              <w:spacing w:before="0" w:after="0"/>
              <w:rPr>
                <w:b/>
                <w:sz w:val="20"/>
                <w:szCs w:val="20"/>
              </w:rPr>
            </w:pPr>
            <w:r w:rsidRPr="004E2274">
              <w:rPr>
                <w:b/>
                <w:sz w:val="20"/>
                <w:szCs w:val="20"/>
              </w:rPr>
              <w:t>Wielkopolski Ośrodek Badań Regionalnych</w:t>
            </w:r>
            <w:r w:rsidRPr="00894016">
              <w:rPr>
                <w:b/>
                <w:sz w:val="20"/>
                <w:szCs w:val="20"/>
              </w:rPr>
              <w:t xml:space="preserve"> </w:t>
            </w:r>
          </w:p>
          <w:p w:rsidR="00293CC3" w:rsidRDefault="005364D5" w:rsidP="00A34247">
            <w:pPr>
              <w:spacing w:before="0" w:after="0"/>
              <w:rPr>
                <w:b/>
                <w:sz w:val="20"/>
                <w:szCs w:val="20"/>
              </w:rPr>
            </w:pPr>
            <w:r w:rsidRPr="00894016">
              <w:rPr>
                <w:b/>
                <w:sz w:val="20"/>
                <w:szCs w:val="20"/>
              </w:rPr>
              <w:t>Wojewódzkie Informatorium Statystyczne</w:t>
            </w:r>
          </w:p>
          <w:p w:rsidR="005364D5" w:rsidRPr="00894016" w:rsidRDefault="005D220F" w:rsidP="00A34247">
            <w:pPr>
              <w:spacing w:before="0"/>
              <w:rPr>
                <w:b/>
                <w:sz w:val="20"/>
                <w:szCs w:val="20"/>
              </w:rPr>
            </w:pPr>
            <w:r>
              <w:rPr>
                <w:sz w:val="20"/>
                <w:szCs w:val="20"/>
                <w:lang w:val="en-GB"/>
              </w:rPr>
              <w:t>T</w:t>
            </w:r>
            <w:r w:rsidR="005364D5" w:rsidRPr="009F7EC1">
              <w:rPr>
                <w:sz w:val="20"/>
                <w:szCs w:val="20"/>
                <w:lang w:val="en-GB"/>
              </w:rPr>
              <w:t>el</w:t>
            </w:r>
            <w:r w:rsidR="005364D5">
              <w:rPr>
                <w:sz w:val="20"/>
                <w:szCs w:val="20"/>
                <w:lang w:val="en-GB"/>
              </w:rPr>
              <w:t>.:</w:t>
            </w:r>
            <w:r w:rsidR="005364D5" w:rsidRPr="009F7EC1">
              <w:rPr>
                <w:sz w:val="20"/>
                <w:szCs w:val="20"/>
                <w:lang w:val="en-GB"/>
              </w:rPr>
              <w:t xml:space="preserve"> </w:t>
            </w:r>
            <w:r w:rsidR="005D1D2D" w:rsidRPr="00BB25AF">
              <w:rPr>
                <w:sz w:val="20"/>
              </w:rPr>
              <w:t>61 2798 3</w:t>
            </w:r>
            <w:r w:rsidR="005D1D2D">
              <w:rPr>
                <w:sz w:val="20"/>
              </w:rPr>
              <w:t xml:space="preserve">17, </w:t>
            </w:r>
            <w:r w:rsidR="005364D5" w:rsidRPr="009F7EC1">
              <w:rPr>
                <w:sz w:val="20"/>
                <w:szCs w:val="20"/>
                <w:lang w:val="en-GB"/>
              </w:rPr>
              <w:t>61 2798 320, 61 2798 323</w:t>
            </w:r>
          </w:p>
        </w:tc>
      </w:tr>
      <w:tr w:rsidR="005364D5" w:rsidRPr="008F3638" w:rsidTr="00830C7A">
        <w:trPr>
          <w:trHeight w:hRule="exact" w:val="624"/>
        </w:trPr>
        <w:tc>
          <w:tcPr>
            <w:tcW w:w="2358" w:type="pct"/>
            <w:vMerge w:val="restart"/>
          </w:tcPr>
          <w:p w:rsidR="005364D5" w:rsidRPr="00722BD2" w:rsidRDefault="005364D5" w:rsidP="00830C7A">
            <w:pPr>
              <w:tabs>
                <w:tab w:val="left" w:pos="3612"/>
              </w:tabs>
              <w:rPr>
                <w:sz w:val="20"/>
                <w:szCs w:val="20"/>
              </w:rPr>
            </w:pPr>
            <w:r w:rsidRPr="00722BD2">
              <w:rPr>
                <w:sz w:val="20"/>
                <w:szCs w:val="20"/>
              </w:rPr>
              <w:t xml:space="preserve">Współpraca z Mediami: </w:t>
            </w:r>
          </w:p>
          <w:p w:rsidR="00830C7A" w:rsidRDefault="005364D5" w:rsidP="00A34247">
            <w:pPr>
              <w:tabs>
                <w:tab w:val="left" w:pos="3612"/>
              </w:tabs>
              <w:spacing w:before="0" w:after="0"/>
              <w:rPr>
                <w:rFonts w:cs="Arial"/>
                <w:b/>
                <w:sz w:val="20"/>
                <w:szCs w:val="20"/>
              </w:rPr>
            </w:pPr>
            <w:r w:rsidRPr="00722BD2">
              <w:rPr>
                <w:rFonts w:cs="Arial"/>
                <w:b/>
                <w:sz w:val="20"/>
                <w:szCs w:val="20"/>
              </w:rPr>
              <w:t>Arleta Olbrot</w:t>
            </w:r>
          </w:p>
          <w:p w:rsidR="005364D5" w:rsidRPr="00722BD2" w:rsidRDefault="005364D5" w:rsidP="00830C7A">
            <w:pPr>
              <w:tabs>
                <w:tab w:val="left" w:pos="3612"/>
              </w:tabs>
              <w:spacing w:before="0" w:after="0"/>
              <w:rPr>
                <w:b/>
                <w:sz w:val="20"/>
                <w:szCs w:val="20"/>
              </w:rPr>
            </w:pPr>
            <w:r w:rsidRPr="00722BD2">
              <w:rPr>
                <w:b/>
                <w:sz w:val="20"/>
                <w:szCs w:val="20"/>
              </w:rPr>
              <w:t>Wielkopolski Ośrodek Badań Regionalnych</w:t>
            </w:r>
          </w:p>
          <w:p w:rsidR="005364D5" w:rsidRDefault="005D220F" w:rsidP="00A34247">
            <w:pPr>
              <w:tabs>
                <w:tab w:val="left" w:pos="3612"/>
              </w:tabs>
              <w:spacing w:before="0" w:after="0"/>
              <w:rPr>
                <w:rFonts w:cs="Arial"/>
                <w:sz w:val="20"/>
                <w:szCs w:val="20"/>
                <w:lang w:val="fi-FI"/>
              </w:rPr>
            </w:pPr>
            <w:r>
              <w:rPr>
                <w:rFonts w:cs="Arial"/>
                <w:sz w:val="20"/>
                <w:szCs w:val="20"/>
                <w:lang w:val="fi-FI"/>
              </w:rPr>
              <w:t>T</w:t>
            </w:r>
            <w:r w:rsidR="005364D5" w:rsidRPr="00722BD2">
              <w:rPr>
                <w:rFonts w:cs="Arial"/>
                <w:sz w:val="20"/>
                <w:szCs w:val="20"/>
                <w:lang w:val="fi-FI"/>
              </w:rPr>
              <w:t>el</w:t>
            </w:r>
            <w:r w:rsidR="005364D5">
              <w:rPr>
                <w:rFonts w:cs="Arial"/>
                <w:sz w:val="20"/>
                <w:szCs w:val="20"/>
                <w:lang w:val="fi-FI"/>
              </w:rPr>
              <w:t>.</w:t>
            </w:r>
            <w:r w:rsidR="005364D5" w:rsidRPr="00722BD2">
              <w:rPr>
                <w:rFonts w:cs="Arial"/>
                <w:sz w:val="20"/>
                <w:szCs w:val="20"/>
                <w:lang w:val="fi-FI"/>
              </w:rPr>
              <w:t>: 61 2798 345</w:t>
            </w:r>
          </w:p>
          <w:p w:rsidR="005364D5" w:rsidRPr="00722BD2" w:rsidRDefault="005364D5" w:rsidP="00A34247">
            <w:pPr>
              <w:tabs>
                <w:tab w:val="left" w:pos="3612"/>
              </w:tabs>
              <w:spacing w:before="0"/>
              <w:rPr>
                <w:rFonts w:cs="Arial"/>
                <w:sz w:val="20"/>
                <w:szCs w:val="20"/>
                <w:lang w:val="fi-FI"/>
              </w:rPr>
            </w:pPr>
            <w:r w:rsidRPr="00722BD2">
              <w:rPr>
                <w:rFonts w:cs="Arial"/>
                <w:b/>
                <w:sz w:val="20"/>
                <w:szCs w:val="20"/>
                <w:lang w:val="en-GB"/>
              </w:rPr>
              <w:t xml:space="preserve">e-mail: </w:t>
            </w:r>
            <w:hyperlink r:id="rId37" w:tgtFrame="none" w:history="1">
              <w:r w:rsidRPr="00722BD2">
                <w:rPr>
                  <w:rStyle w:val="Hipercze"/>
                  <w:rFonts w:cs="Arial"/>
                  <w:b/>
                  <w:color w:val="auto"/>
                  <w:sz w:val="20"/>
                  <w:szCs w:val="20"/>
                  <w:lang w:val="en-GB"/>
                </w:rPr>
                <w:t>a.olbrot@stat.gov.pl</w:t>
              </w:r>
            </w:hyperlink>
          </w:p>
          <w:p w:rsidR="005364D5" w:rsidRPr="00F05FC7" w:rsidRDefault="005364D5" w:rsidP="00830C7A">
            <w:pPr>
              <w:tabs>
                <w:tab w:val="left" w:pos="3612"/>
              </w:tabs>
              <w:rPr>
                <w:sz w:val="18"/>
                <w:lang w:val="en-US"/>
              </w:rPr>
            </w:pPr>
          </w:p>
        </w:tc>
        <w:tc>
          <w:tcPr>
            <w:tcW w:w="2642" w:type="pct"/>
            <w:vAlign w:val="center"/>
          </w:tcPr>
          <w:p w:rsidR="005364D5" w:rsidRPr="005A30E9" w:rsidRDefault="005364D5" w:rsidP="00830C7A">
            <w:pPr>
              <w:ind w:firstLine="680"/>
              <w:rPr>
                <w:sz w:val="18"/>
              </w:rPr>
            </w:pPr>
            <w:r w:rsidRPr="005A30E9">
              <w:rPr>
                <w:noProof/>
                <w:lang w:eastAsia="pl-PL"/>
              </w:rPr>
              <w:drawing>
                <wp:anchor distT="0" distB="0" distL="114300" distR="114300" simplePos="0" relativeHeight="252917248" behindDoc="0" locked="0" layoutInCell="1" allowOverlap="1" wp14:anchorId="0F3485EB" wp14:editId="6D024DE7">
                  <wp:simplePos x="0" y="0"/>
                  <wp:positionH relativeFrom="column">
                    <wp:posOffset>78740</wp:posOffset>
                  </wp:positionH>
                  <wp:positionV relativeFrom="paragraph">
                    <wp:posOffset>20320</wp:posOffset>
                  </wp:positionV>
                  <wp:extent cx="251460" cy="251460"/>
                  <wp:effectExtent l="0" t="0" r="0" b="0"/>
                  <wp:wrapNone/>
                  <wp:docPr id="22" name="Obraz 22"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Strona Urzędu Statystycznego w Poznaniu" w:history="1">
              <w:r w:rsidRPr="005A30E9">
                <w:rPr>
                  <w:rStyle w:val="Hipercze"/>
                  <w:color w:val="auto"/>
                </w:rPr>
                <w:t>poznan.stat.gov.pl</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vAlign w:val="center"/>
          </w:tcPr>
          <w:p w:rsidR="005364D5" w:rsidRPr="005A30E9" w:rsidRDefault="005364D5" w:rsidP="00830C7A">
            <w:pPr>
              <w:ind w:firstLine="680"/>
              <w:rPr>
                <w:sz w:val="18"/>
              </w:rPr>
            </w:pPr>
            <w:r>
              <w:rPr>
                <w:noProof/>
                <w:lang w:eastAsia="pl-PL"/>
              </w:rPr>
              <w:drawing>
                <wp:anchor distT="0" distB="0" distL="114300" distR="114300" simplePos="0" relativeHeight="252920320" behindDoc="0" locked="0" layoutInCell="1" allowOverlap="1" wp14:anchorId="0C738657" wp14:editId="46F56EFA">
                  <wp:simplePos x="0" y="0"/>
                  <wp:positionH relativeFrom="column">
                    <wp:posOffset>81915</wp:posOffset>
                  </wp:positionH>
                  <wp:positionV relativeFrom="paragraph">
                    <wp:posOffset>31115</wp:posOffset>
                  </wp:positionV>
                  <wp:extent cx="251460" cy="251460"/>
                  <wp:effectExtent l="0" t="0" r="0" b="0"/>
                  <wp:wrapNone/>
                  <wp:docPr id="24" name="Obraz 22" descr="Ikona portalu 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tooltip="X (dawniej twitter) – Urząd Statystyczny w Poznaniu" w:history="1">
              <w:r w:rsidRPr="005A30E9">
                <w:rPr>
                  <w:rStyle w:val="Hipercze"/>
                  <w:color w:val="auto"/>
                </w:rPr>
                <w:t>@Poznan_STAT</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tcPr>
          <w:p w:rsidR="005364D5" w:rsidRPr="005A30E9" w:rsidRDefault="00830C7A" w:rsidP="00830C7A">
            <w:pPr>
              <w:ind w:firstLine="680"/>
              <w:rPr>
                <w:b/>
                <w:noProof/>
                <w:sz w:val="20"/>
              </w:rPr>
            </w:pPr>
            <w:r w:rsidRPr="005A30E9">
              <w:rPr>
                <w:noProof/>
                <w:sz w:val="20"/>
                <w:lang w:eastAsia="pl-PL"/>
              </w:rPr>
              <w:drawing>
                <wp:anchor distT="0" distB="0" distL="114300" distR="114300" simplePos="0" relativeHeight="252919296" behindDoc="0" locked="0" layoutInCell="1" allowOverlap="1" wp14:anchorId="5E70058D" wp14:editId="0A91ED09">
                  <wp:simplePos x="0" y="0"/>
                  <wp:positionH relativeFrom="column">
                    <wp:posOffset>86360</wp:posOffset>
                  </wp:positionH>
                  <wp:positionV relativeFrom="paragraph">
                    <wp:posOffset>443865</wp:posOffset>
                  </wp:positionV>
                  <wp:extent cx="251460" cy="251460"/>
                  <wp:effectExtent l="0" t="0" r="0" b="0"/>
                  <wp:wrapNone/>
                  <wp:docPr id="29" name="Obraz 29" descr="Ikona You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Facebook – Urząd Statystyczny w Poznaniu" w:history="1">
              <w:r w:rsidR="005364D5" w:rsidRPr="00F92FB5">
                <w:rPr>
                  <w:rStyle w:val="Hipercze"/>
                  <w:rFonts w:cstheme="minorBidi"/>
                  <w:noProof/>
                  <w:color w:val="auto"/>
                  <w:lang w:eastAsia="pl-PL"/>
                </w:rPr>
                <w:drawing>
                  <wp:anchor distT="0" distB="0" distL="114300" distR="114300" simplePos="0" relativeHeight="252918272" behindDoc="0" locked="0" layoutInCell="1" allowOverlap="1" wp14:anchorId="50AF4F93" wp14:editId="708CA3AD">
                    <wp:simplePos x="0" y="0"/>
                    <wp:positionH relativeFrom="column">
                      <wp:posOffset>80645</wp:posOffset>
                    </wp:positionH>
                    <wp:positionV relativeFrom="paragraph">
                      <wp:posOffset>46167</wp:posOffset>
                    </wp:positionV>
                    <wp:extent cx="251460" cy="251460"/>
                    <wp:effectExtent l="0" t="0" r="0" b="0"/>
                    <wp:wrapNone/>
                    <wp:docPr id="28" name="Obraz 2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364D5" w:rsidRPr="00F92FB5">
                <w:rPr>
                  <w:rStyle w:val="Hipercze"/>
                  <w:rFonts w:cstheme="minorBidi"/>
                  <w:color w:val="auto"/>
                </w:rPr>
                <w:t>@Pozna</w:t>
              </w:r>
              <w:r w:rsidR="005364D5" w:rsidRPr="005A0E80">
                <w:rPr>
                  <w:rStyle w:val="Hipercze"/>
                  <w:rFonts w:cstheme="minorBidi"/>
                  <w:color w:val="auto"/>
                </w:rPr>
                <w:t>nSTAT</w:t>
              </w:r>
            </w:hyperlink>
          </w:p>
        </w:tc>
      </w:tr>
      <w:tr w:rsidR="005364D5" w:rsidRPr="008F3638" w:rsidTr="00830C7A">
        <w:trPr>
          <w:trHeight w:hRule="exact" w:val="510"/>
        </w:trPr>
        <w:tc>
          <w:tcPr>
            <w:tcW w:w="2358" w:type="pct"/>
          </w:tcPr>
          <w:p w:rsidR="005364D5" w:rsidRPr="00C91687" w:rsidRDefault="005364D5" w:rsidP="00830C7A">
            <w:pPr>
              <w:tabs>
                <w:tab w:val="left" w:pos="3612"/>
              </w:tabs>
              <w:rPr>
                <w:b/>
                <w:sz w:val="20"/>
              </w:rPr>
            </w:pPr>
          </w:p>
        </w:tc>
        <w:tc>
          <w:tcPr>
            <w:tcW w:w="2642" w:type="pct"/>
          </w:tcPr>
          <w:p w:rsidR="005364D5" w:rsidRPr="005A30E9" w:rsidRDefault="005364D5" w:rsidP="00830C7A">
            <w:pPr>
              <w:ind w:firstLine="680"/>
              <w:rPr>
                <w:sz w:val="18"/>
              </w:rPr>
            </w:pPr>
            <w:r w:rsidRPr="005A30E9">
              <w:rPr>
                <w:sz w:val="20"/>
              </w:rPr>
              <w:t>@</w:t>
            </w:r>
            <w:hyperlink r:id="rId45" w:tooltip="link do youtube US Poznań" w:history="1">
              <w:r w:rsidRPr="005A30E9">
                <w:rPr>
                  <w:rStyle w:val="Hipercze"/>
                  <w:rFonts w:cstheme="minorBidi"/>
                  <w:color w:val="auto"/>
                  <w:sz w:val="20"/>
                </w:rPr>
                <w:t>UrzadStatystycznywPoznaniu</w:t>
              </w:r>
            </w:hyperlink>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2552700</wp:posOffset>
                </wp:positionV>
                <wp:extent cx="6686550" cy="6372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372225"/>
                        </a:xfrm>
                        <a:prstGeom prst="rect">
                          <a:avLst/>
                        </a:prstGeom>
                        <a:solidFill>
                          <a:schemeClr val="bg1">
                            <a:lumMod val="95000"/>
                          </a:schemeClr>
                        </a:solidFill>
                        <a:ln w="9525">
                          <a:solidFill>
                            <a:schemeClr val="bg1"/>
                          </a:solidFill>
                          <a:miter lim="800000"/>
                          <a:headEnd/>
                          <a:tailEnd/>
                        </a:ln>
                      </wps:spPr>
                      <wps:txbx>
                        <w:txbxContent>
                          <w:p w:rsidR="0099694A" w:rsidRPr="00D20766" w:rsidRDefault="0099694A" w:rsidP="00A9395A">
                            <w:pPr>
                              <w:rPr>
                                <w:b/>
                              </w:rPr>
                            </w:pPr>
                            <w:r w:rsidRPr="00D20766">
                              <w:rPr>
                                <w:b/>
                              </w:rPr>
                              <w:t>Powiązane opracowania</w:t>
                            </w:r>
                          </w:p>
                          <w:p w:rsidR="0099694A" w:rsidRPr="00750669" w:rsidRDefault="00BE5DB4" w:rsidP="00A9395A">
                            <w:pPr>
                              <w:rPr>
                                <w:rStyle w:val="Hipercze"/>
                                <w:rFonts w:cs="Arial"/>
                                <w:color w:val="001D77"/>
                                <w:sz w:val="18"/>
                                <w:szCs w:val="30"/>
                                <w:shd w:val="clear" w:color="auto" w:fill="F0F0F0"/>
                              </w:rPr>
                            </w:pPr>
                            <w:hyperlink r:id="rId46" w:tooltip="link do publikacji GUS Sytuacja społeczno-gospodarcza kraju w lipcu 2025 r." w:history="1">
                              <w:r w:rsidR="0099694A" w:rsidRPr="002C0CCB">
                                <w:rPr>
                                  <w:rStyle w:val="Hipercze"/>
                                  <w:color w:val="001D77"/>
                                  <w:sz w:val="18"/>
                                  <w:szCs w:val="18"/>
                                </w:rPr>
                                <w:t>Sytuacja społeczno-gospodarcza kraju w li</w:t>
                              </w:r>
                              <w:r w:rsidR="0099694A">
                                <w:rPr>
                                  <w:rStyle w:val="Hipercze"/>
                                  <w:color w:val="001D77"/>
                                  <w:sz w:val="18"/>
                                  <w:szCs w:val="18"/>
                                </w:rPr>
                                <w:t>pcu 2025 r.</w:t>
                              </w:r>
                            </w:hyperlink>
                          </w:p>
                          <w:p w:rsidR="0099694A" w:rsidRPr="002C0CCB" w:rsidRDefault="0099694A" w:rsidP="00A9395A">
                            <w:pPr>
                              <w:rPr>
                                <w:rStyle w:val="Hipercze"/>
                                <w:color w:val="001D77"/>
                                <w:sz w:val="18"/>
                                <w:szCs w:val="18"/>
                              </w:rPr>
                            </w:pPr>
                            <w:r w:rsidRPr="002C0CCB">
                              <w:rPr>
                                <w:rStyle w:val="Hipercze"/>
                                <w:color w:val="001D77"/>
                                <w:sz w:val="18"/>
                                <w:szCs w:val="18"/>
                              </w:rPr>
                              <w:fldChar w:fldCharType="begin"/>
                            </w:r>
                            <w:r w:rsidRPr="002C0CCB">
                              <w:rPr>
                                <w:rStyle w:val="Hipercze"/>
                                <w:color w:val="001D77"/>
                                <w:sz w:val="18"/>
                                <w:szCs w:val="18"/>
                              </w:rPr>
                              <w:instrText>HYPERLINK "https://stat.gov.pl/obszary-tematyczne/inne-opracowania/informacje-o-sytuacji-spoleczno-gospodarczej/biuletyn-statystyczny-nr-72025,4,164.html" \o "link do biuletynu GUS lipiec 2025"</w:instrText>
                            </w:r>
                            <w:r w:rsidRPr="002C0CCB">
                              <w:rPr>
                                <w:rStyle w:val="Hipercze"/>
                                <w:color w:val="001D77"/>
                                <w:sz w:val="18"/>
                                <w:szCs w:val="18"/>
                              </w:rPr>
                              <w:fldChar w:fldCharType="separate"/>
                            </w:r>
                            <w:r w:rsidRPr="002C0CCB">
                              <w:rPr>
                                <w:rStyle w:val="Hipercze"/>
                                <w:color w:val="001D77"/>
                                <w:sz w:val="18"/>
                                <w:szCs w:val="18"/>
                              </w:rPr>
                              <w:t>Biuletyn Statystyczny</w:t>
                            </w:r>
                            <w:r w:rsidRPr="002C0CCB">
                              <w:rPr>
                                <w:rStyle w:val="Hipercze"/>
                                <w:rFonts w:cstheme="minorBidi"/>
                                <w:color w:val="001D77"/>
                                <w:sz w:val="18"/>
                                <w:szCs w:val="18"/>
                              </w:rPr>
                              <w:t xml:space="preserve"> Nr 07/2025</w:t>
                            </w:r>
                          </w:p>
                          <w:p w:rsidR="0099694A" w:rsidRPr="00D20766" w:rsidRDefault="0099694A" w:rsidP="007D4E70">
                            <w:pPr>
                              <w:spacing w:before="360"/>
                              <w:rPr>
                                <w:b/>
                                <w:color w:val="000000" w:themeColor="text1"/>
                                <w:szCs w:val="24"/>
                              </w:rPr>
                            </w:pPr>
                            <w:r w:rsidRPr="002C0CCB">
                              <w:rPr>
                                <w:rStyle w:val="Hipercze"/>
                                <w:color w:val="001D77"/>
                                <w:sz w:val="18"/>
                                <w:szCs w:val="18"/>
                              </w:rPr>
                              <w:fldChar w:fldCharType="end"/>
                            </w:r>
                            <w:r w:rsidRPr="00D20766">
                              <w:rPr>
                                <w:b/>
                                <w:color w:val="000000" w:themeColor="text1"/>
                                <w:szCs w:val="24"/>
                              </w:rPr>
                              <w:t>Temat dostępny w bazach danych</w:t>
                            </w:r>
                          </w:p>
                          <w:p w:rsidR="0099694A" w:rsidRPr="005B19C1" w:rsidRDefault="00BE5DB4" w:rsidP="00A9395A">
                            <w:pPr>
                              <w:rPr>
                                <w:color w:val="001D77"/>
                                <w:sz w:val="18"/>
                                <w:szCs w:val="18"/>
                              </w:rPr>
                            </w:pPr>
                            <w:hyperlink r:id="rId47" w:tooltip="link do bazy SWAiD" w:history="1">
                              <w:r w:rsidR="0099694A" w:rsidRPr="00853FEE">
                                <w:rPr>
                                  <w:rStyle w:val="Hipercze"/>
                                  <w:color w:val="001D77"/>
                                  <w:sz w:val="18"/>
                                  <w:szCs w:val="18"/>
                                </w:rPr>
                                <w:t>Dziedzinowe Bazy Wi</w:t>
                              </w:r>
                              <w:r w:rsidR="0099694A" w:rsidRPr="005B19C1">
                                <w:rPr>
                                  <w:rStyle w:val="Hipercze"/>
                                  <w:color w:val="001D77"/>
                                  <w:sz w:val="18"/>
                                  <w:szCs w:val="18"/>
                                </w:rPr>
                                <w:t>edzy</w:t>
                              </w:r>
                            </w:hyperlink>
                          </w:p>
                          <w:p w:rsidR="0099694A" w:rsidRPr="00FD612C" w:rsidRDefault="00BE5DB4" w:rsidP="00A9395A">
                            <w:pPr>
                              <w:rPr>
                                <w:b/>
                                <w:color w:val="000000" w:themeColor="text1"/>
                                <w:szCs w:val="24"/>
                              </w:rPr>
                            </w:pPr>
                            <w:hyperlink r:id="rId48" w:tooltip="link do bazy BDL" w:history="1">
                              <w:r w:rsidR="0099694A" w:rsidRPr="005B19C1">
                                <w:rPr>
                                  <w:rStyle w:val="Hipercze"/>
                                  <w:color w:val="001D77"/>
                                  <w:sz w:val="18"/>
                                  <w:szCs w:val="18"/>
                                </w:rPr>
                                <w:t>Bank Danych Lokalnych (BDL)</w:t>
                              </w:r>
                            </w:hyperlink>
                          </w:p>
                          <w:p w:rsidR="0099694A" w:rsidRDefault="0099694A"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99694A" w:rsidRPr="008E6C31" w:rsidRDefault="0099694A"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99694A" w:rsidRPr="005B19C1" w:rsidRDefault="0099694A" w:rsidP="00A9395A">
                            <w:pPr>
                              <w:spacing w:line="220" w:lineRule="exact"/>
                              <w:rPr>
                                <w:color w:val="001D77"/>
                              </w:rPr>
                            </w:pPr>
                            <w:r w:rsidRPr="008E6C31">
                              <w:rPr>
                                <w:rStyle w:val="Hipercze"/>
                                <w:rFonts w:cstheme="minorBidi"/>
                                <w:color w:val="002060"/>
                              </w:rPr>
                              <w:fldChar w:fldCharType="end"/>
                            </w:r>
                            <w:hyperlink r:id="rId49"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99694A" w:rsidRPr="005B19C1" w:rsidRDefault="00BE5DB4" w:rsidP="00A9395A">
                            <w:pPr>
                              <w:spacing w:line="220" w:lineRule="exact"/>
                              <w:rPr>
                                <w:color w:val="001D77"/>
                              </w:rPr>
                            </w:pPr>
                            <w:hyperlink r:id="rId50" w:tooltip="link do słownika pojęć stosowanych w statystyce publicznej" w:history="1">
                              <w:r w:rsidR="0099694A" w:rsidRPr="005B19C1">
                                <w:rPr>
                                  <w:rStyle w:val="Hipercze"/>
                                  <w:rFonts w:cstheme="minorBidi"/>
                                  <w:color w:val="001D77"/>
                                </w:rPr>
                                <w:t>Długotrwale bezrobotni</w:t>
                              </w:r>
                            </w:hyperlink>
                          </w:p>
                          <w:p w:rsidR="0099694A" w:rsidRPr="005B19C1" w:rsidRDefault="00BE5DB4" w:rsidP="00A9395A">
                            <w:pPr>
                              <w:spacing w:line="220" w:lineRule="exact"/>
                              <w:rPr>
                                <w:color w:val="001D77"/>
                              </w:rPr>
                            </w:pPr>
                            <w:hyperlink r:id="rId51" w:tooltip="link do słownika pojęć stosowanych w statystyce publicznej" w:history="1">
                              <w:r w:rsidR="0099694A" w:rsidRPr="005B19C1">
                                <w:rPr>
                                  <w:rStyle w:val="Hipercze"/>
                                  <w:rFonts w:cstheme="minorBidi"/>
                                  <w:color w:val="001D77"/>
                                </w:rPr>
                                <w:t>Stopa bezrobocia rejestrowanego</w:t>
                              </w:r>
                            </w:hyperlink>
                          </w:p>
                          <w:p w:rsidR="0099694A" w:rsidRPr="005B19C1" w:rsidRDefault="00BE5DB4" w:rsidP="00A9395A">
                            <w:pPr>
                              <w:spacing w:line="220" w:lineRule="exact"/>
                              <w:rPr>
                                <w:color w:val="001D77"/>
                              </w:rPr>
                            </w:pPr>
                            <w:hyperlink r:id="rId52" w:tooltip="link do słownika pojęć stosowanych w statystyce publicznej" w:history="1">
                              <w:r w:rsidR="0099694A" w:rsidRPr="005B19C1">
                                <w:rPr>
                                  <w:rStyle w:val="Hipercze"/>
                                  <w:rFonts w:cstheme="minorBidi"/>
                                  <w:color w:val="001D77"/>
                                </w:rPr>
                                <w:t>Przeciętne miesięczne wynagrodzenie brutto</w:t>
                              </w:r>
                            </w:hyperlink>
                          </w:p>
                          <w:p w:rsidR="0099694A" w:rsidRPr="005B19C1" w:rsidRDefault="0099694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99694A" w:rsidRPr="005B19C1" w:rsidRDefault="0099694A" w:rsidP="00A9395A">
                            <w:pPr>
                              <w:spacing w:line="220" w:lineRule="exact"/>
                              <w:rPr>
                                <w:color w:val="001D77"/>
                              </w:rPr>
                            </w:pPr>
                            <w:r w:rsidRPr="005B19C1">
                              <w:rPr>
                                <w:color w:val="001D77"/>
                              </w:rPr>
                              <w:fldChar w:fldCharType="end"/>
                            </w:r>
                            <w:hyperlink r:id="rId53" w:tooltip="link do słownika pojęć stosowanych w statystyce publicznej" w:history="1">
                              <w:r w:rsidRPr="005B19C1">
                                <w:rPr>
                                  <w:rStyle w:val="Hipercze"/>
                                  <w:rFonts w:cstheme="minorBidi"/>
                                  <w:color w:val="001D77"/>
                                </w:rPr>
                                <w:t>Mieszkania, na które wydano pozwolenia</w:t>
                              </w:r>
                            </w:hyperlink>
                          </w:p>
                          <w:p w:rsidR="0099694A" w:rsidRPr="005B19C1" w:rsidRDefault="00BE5DB4" w:rsidP="00A9395A">
                            <w:pPr>
                              <w:spacing w:line="220" w:lineRule="exact"/>
                              <w:rPr>
                                <w:color w:val="001D77"/>
                              </w:rPr>
                            </w:pPr>
                            <w:hyperlink r:id="rId54" w:tooltip="link do słownika pojęć stosowanych w statystyce publicznej" w:history="1">
                              <w:r w:rsidR="0099694A" w:rsidRPr="005B19C1">
                                <w:rPr>
                                  <w:rStyle w:val="Hipercze"/>
                                  <w:rFonts w:cstheme="minorBidi"/>
                                  <w:color w:val="001D77"/>
                                </w:rPr>
                                <w:t>Mieszkania, których budowę rozpoczęto</w:t>
                              </w:r>
                            </w:hyperlink>
                          </w:p>
                          <w:p w:rsidR="0099694A" w:rsidRPr="005B19C1" w:rsidRDefault="0099694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99694A" w:rsidRDefault="0099694A" w:rsidP="00A9395A">
                            <w:pPr>
                              <w:spacing w:line="220" w:lineRule="exact"/>
                              <w:rPr>
                                <w:rStyle w:val="Hipercze"/>
                                <w:rFonts w:cstheme="minorBidi"/>
                                <w:color w:val="001D77"/>
                              </w:rPr>
                            </w:pPr>
                            <w:r w:rsidRPr="005B19C1">
                              <w:rPr>
                                <w:color w:val="001D77"/>
                              </w:rPr>
                              <w:fldChar w:fldCharType="end"/>
                            </w:r>
                            <w:hyperlink r:id="rId55" w:tooltip="link do słownika pojęć stosowanych w statystyce publicznej" w:history="1">
                              <w:r w:rsidRPr="005B19C1">
                                <w:rPr>
                                  <w:rStyle w:val="Hipercze"/>
                                  <w:rFonts w:cstheme="minorBidi"/>
                                  <w:color w:val="001D77"/>
                                </w:rPr>
                                <w:t>Nakłady inwestycyjne</w:t>
                              </w:r>
                            </w:hyperlink>
                          </w:p>
                          <w:p w:rsidR="0099694A" w:rsidRPr="00901395" w:rsidRDefault="00BE5DB4" w:rsidP="00A9395A">
                            <w:pPr>
                              <w:spacing w:line="220" w:lineRule="exact"/>
                              <w:rPr>
                                <w:rStyle w:val="Hipercze"/>
                                <w:rFonts w:cstheme="minorBidi"/>
                                <w:color w:val="001D77"/>
                              </w:rPr>
                            </w:pPr>
                            <w:hyperlink r:id="rId56" w:tooltip="link do słownika pojęć stosowanych w statystyce publicznej" w:history="1">
                              <w:r w:rsidR="0099694A" w:rsidRPr="00901395">
                                <w:rPr>
                                  <w:rStyle w:val="Hipercze"/>
                                  <w:rFonts w:cstheme="minorBidi"/>
                                  <w:color w:val="001D77"/>
                                </w:rPr>
                                <w:t>Podmiot gospodarki narodowej</w:t>
                              </w:r>
                            </w:hyperlink>
                          </w:p>
                          <w:p w:rsidR="0099694A" w:rsidRPr="00901395" w:rsidRDefault="00BE5DB4" w:rsidP="00A9395A">
                            <w:pPr>
                              <w:spacing w:line="220" w:lineRule="exact"/>
                              <w:rPr>
                                <w:rStyle w:val="Hipercze"/>
                                <w:rFonts w:cstheme="minorBidi"/>
                                <w:color w:val="001D77"/>
                              </w:rPr>
                            </w:pPr>
                            <w:hyperlink r:id="rId57" w:tooltip="link do słownika pojęć stosowanych w statystyce publicznej" w:history="1">
                              <w:r w:rsidR="0099694A"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201pt;width:526.5pt;height:50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" fillcolor="#f2f2f2 [3052]" strokecolor="white [3212]">
                <v:textbox>
                  <w:txbxContent>
                    <w:p w:rsidR="0099694A" w:rsidRPr="00D20766" w:rsidRDefault="0099694A" w:rsidP="00A9395A">
                      <w:pPr>
                        <w:rPr>
                          <w:b/>
                        </w:rPr>
                      </w:pPr>
                      <w:r w:rsidRPr="00D20766">
                        <w:rPr>
                          <w:b/>
                        </w:rPr>
                        <w:t>Powiązane opracowania</w:t>
                      </w:r>
                    </w:p>
                    <w:p w:rsidR="0099694A" w:rsidRPr="00750669" w:rsidRDefault="00BA264B" w:rsidP="00A9395A">
                      <w:pPr>
                        <w:rPr>
                          <w:rStyle w:val="Hipercze"/>
                          <w:rFonts w:cs="Arial"/>
                          <w:color w:val="001D77"/>
                          <w:sz w:val="18"/>
                          <w:szCs w:val="30"/>
                          <w:shd w:val="clear" w:color="auto" w:fill="F0F0F0"/>
                        </w:rPr>
                      </w:pPr>
                      <w:hyperlink r:id="rId58" w:tooltip="link do publikacji GUS Sytuacja społeczno-gospodarcza kraju w lipcu 2025 r." w:history="1">
                        <w:r w:rsidR="0099694A" w:rsidRPr="002C0CCB">
                          <w:rPr>
                            <w:rStyle w:val="Hipercze"/>
                            <w:color w:val="001D77"/>
                            <w:sz w:val="18"/>
                            <w:szCs w:val="18"/>
                          </w:rPr>
                          <w:t>Sytuacja społeczno-gospodarcza kraju w li</w:t>
                        </w:r>
                        <w:r w:rsidR="0099694A">
                          <w:rPr>
                            <w:rStyle w:val="Hipercze"/>
                            <w:color w:val="001D77"/>
                            <w:sz w:val="18"/>
                            <w:szCs w:val="18"/>
                          </w:rPr>
                          <w:t>pcu 2025 r.</w:t>
                        </w:r>
                      </w:hyperlink>
                    </w:p>
                    <w:p w:rsidR="0099694A" w:rsidRPr="002C0CCB" w:rsidRDefault="0099694A" w:rsidP="00A9395A">
                      <w:pPr>
                        <w:rPr>
                          <w:rStyle w:val="Hipercze"/>
                          <w:color w:val="001D77"/>
                          <w:sz w:val="18"/>
                          <w:szCs w:val="18"/>
                        </w:rPr>
                      </w:pPr>
                      <w:r w:rsidRPr="002C0CCB">
                        <w:rPr>
                          <w:rStyle w:val="Hipercze"/>
                          <w:color w:val="001D77"/>
                          <w:sz w:val="18"/>
                          <w:szCs w:val="18"/>
                        </w:rPr>
                        <w:fldChar w:fldCharType="begin"/>
                      </w:r>
                      <w:r w:rsidRPr="002C0CCB">
                        <w:rPr>
                          <w:rStyle w:val="Hipercze"/>
                          <w:color w:val="001D77"/>
                          <w:sz w:val="18"/>
                          <w:szCs w:val="18"/>
                        </w:rPr>
                        <w:instrText>HYPERLINK "https://stat.gov.pl/obszary-tematyczne/inne-opracowania/informacje-o-sytuacji-spoleczno-gospodarczej/biuletyn-statystyczny-nr-72025,4,164.html" \o "link do biuletynu GUS lipiec 2025"</w:instrText>
                      </w:r>
                      <w:r w:rsidRPr="002C0CCB">
                        <w:rPr>
                          <w:rStyle w:val="Hipercze"/>
                          <w:color w:val="001D77"/>
                          <w:sz w:val="18"/>
                          <w:szCs w:val="18"/>
                        </w:rPr>
                        <w:fldChar w:fldCharType="separate"/>
                      </w:r>
                      <w:r w:rsidRPr="002C0CCB">
                        <w:rPr>
                          <w:rStyle w:val="Hipercze"/>
                          <w:color w:val="001D77"/>
                          <w:sz w:val="18"/>
                          <w:szCs w:val="18"/>
                        </w:rPr>
                        <w:t>Biuletyn Statystyczny</w:t>
                      </w:r>
                      <w:r w:rsidRPr="002C0CCB">
                        <w:rPr>
                          <w:rStyle w:val="Hipercze"/>
                          <w:rFonts w:cstheme="minorBidi"/>
                          <w:color w:val="001D77"/>
                          <w:sz w:val="18"/>
                          <w:szCs w:val="18"/>
                        </w:rPr>
                        <w:t xml:space="preserve"> Nr 07/2025</w:t>
                      </w:r>
                    </w:p>
                    <w:p w:rsidR="0099694A" w:rsidRPr="00D20766" w:rsidRDefault="0099694A" w:rsidP="007D4E70">
                      <w:pPr>
                        <w:spacing w:before="360"/>
                        <w:rPr>
                          <w:b/>
                          <w:color w:val="000000" w:themeColor="text1"/>
                          <w:szCs w:val="24"/>
                        </w:rPr>
                      </w:pPr>
                      <w:r w:rsidRPr="002C0CCB">
                        <w:rPr>
                          <w:rStyle w:val="Hipercze"/>
                          <w:color w:val="001D77"/>
                          <w:sz w:val="18"/>
                          <w:szCs w:val="18"/>
                        </w:rPr>
                        <w:fldChar w:fldCharType="end"/>
                      </w:r>
                      <w:r w:rsidRPr="00D20766">
                        <w:rPr>
                          <w:b/>
                          <w:color w:val="000000" w:themeColor="text1"/>
                          <w:szCs w:val="24"/>
                        </w:rPr>
                        <w:t>Temat dostępny w bazach danych</w:t>
                      </w:r>
                    </w:p>
                    <w:p w:rsidR="0099694A" w:rsidRPr="005B19C1" w:rsidRDefault="00BA264B" w:rsidP="00A9395A">
                      <w:pPr>
                        <w:rPr>
                          <w:color w:val="001D77"/>
                          <w:sz w:val="18"/>
                          <w:szCs w:val="18"/>
                        </w:rPr>
                      </w:pPr>
                      <w:hyperlink r:id="rId59" w:tooltip="link do bazy SWAiD" w:history="1">
                        <w:r w:rsidR="0099694A" w:rsidRPr="00853FEE">
                          <w:rPr>
                            <w:rStyle w:val="Hipercze"/>
                            <w:color w:val="001D77"/>
                            <w:sz w:val="18"/>
                            <w:szCs w:val="18"/>
                          </w:rPr>
                          <w:t>Dziedzinowe Bazy Wi</w:t>
                        </w:r>
                        <w:r w:rsidR="0099694A" w:rsidRPr="005B19C1">
                          <w:rPr>
                            <w:rStyle w:val="Hipercze"/>
                            <w:color w:val="001D77"/>
                            <w:sz w:val="18"/>
                            <w:szCs w:val="18"/>
                          </w:rPr>
                          <w:t>edzy</w:t>
                        </w:r>
                      </w:hyperlink>
                    </w:p>
                    <w:p w:rsidR="0099694A" w:rsidRPr="00FD612C" w:rsidRDefault="00BA264B" w:rsidP="00A9395A">
                      <w:pPr>
                        <w:rPr>
                          <w:b/>
                          <w:color w:val="000000" w:themeColor="text1"/>
                          <w:szCs w:val="24"/>
                        </w:rPr>
                      </w:pPr>
                      <w:hyperlink r:id="rId60" w:tooltip="link do bazy BDL" w:history="1">
                        <w:r w:rsidR="0099694A" w:rsidRPr="005B19C1">
                          <w:rPr>
                            <w:rStyle w:val="Hipercze"/>
                            <w:color w:val="001D77"/>
                            <w:sz w:val="18"/>
                            <w:szCs w:val="18"/>
                          </w:rPr>
                          <w:t>Bank Danych Lokalnych (BDL)</w:t>
                        </w:r>
                      </w:hyperlink>
                    </w:p>
                    <w:p w:rsidR="0099694A" w:rsidRDefault="0099694A"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99694A" w:rsidRPr="008E6C31" w:rsidRDefault="0099694A"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99694A" w:rsidRPr="005B19C1" w:rsidRDefault="0099694A" w:rsidP="00A9395A">
                      <w:pPr>
                        <w:spacing w:line="220" w:lineRule="exact"/>
                        <w:rPr>
                          <w:color w:val="001D77"/>
                        </w:rPr>
                      </w:pPr>
                      <w:r w:rsidRPr="008E6C31">
                        <w:rPr>
                          <w:rStyle w:val="Hipercze"/>
                          <w:rFonts w:cstheme="minorBidi"/>
                          <w:color w:val="002060"/>
                        </w:rPr>
                        <w:fldChar w:fldCharType="end"/>
                      </w:r>
                      <w:hyperlink r:id="rId61"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99694A" w:rsidRPr="005B19C1" w:rsidRDefault="00BA264B" w:rsidP="00A9395A">
                      <w:pPr>
                        <w:spacing w:line="220" w:lineRule="exact"/>
                        <w:rPr>
                          <w:color w:val="001D77"/>
                        </w:rPr>
                      </w:pPr>
                      <w:hyperlink r:id="rId62" w:tooltip="link do słownika pojęć stosowanych w statystyce publicznej" w:history="1">
                        <w:r w:rsidR="0099694A" w:rsidRPr="005B19C1">
                          <w:rPr>
                            <w:rStyle w:val="Hipercze"/>
                            <w:rFonts w:cstheme="minorBidi"/>
                            <w:color w:val="001D77"/>
                          </w:rPr>
                          <w:t>Długotrwale bezrobotni</w:t>
                        </w:r>
                      </w:hyperlink>
                    </w:p>
                    <w:p w:rsidR="0099694A" w:rsidRPr="005B19C1" w:rsidRDefault="00BA264B" w:rsidP="00A9395A">
                      <w:pPr>
                        <w:spacing w:line="220" w:lineRule="exact"/>
                        <w:rPr>
                          <w:color w:val="001D77"/>
                        </w:rPr>
                      </w:pPr>
                      <w:hyperlink r:id="rId63" w:tooltip="link do słownika pojęć stosowanych w statystyce publicznej" w:history="1">
                        <w:r w:rsidR="0099694A" w:rsidRPr="005B19C1">
                          <w:rPr>
                            <w:rStyle w:val="Hipercze"/>
                            <w:rFonts w:cstheme="minorBidi"/>
                            <w:color w:val="001D77"/>
                          </w:rPr>
                          <w:t>Stopa bezrobocia rejestrowanego</w:t>
                        </w:r>
                      </w:hyperlink>
                    </w:p>
                    <w:p w:rsidR="0099694A" w:rsidRPr="005B19C1" w:rsidRDefault="00BA264B" w:rsidP="00A9395A">
                      <w:pPr>
                        <w:spacing w:line="220" w:lineRule="exact"/>
                        <w:rPr>
                          <w:color w:val="001D77"/>
                        </w:rPr>
                      </w:pPr>
                      <w:hyperlink r:id="rId64" w:tooltip="link do słownika pojęć stosowanych w statystyce publicznej" w:history="1">
                        <w:r w:rsidR="0099694A" w:rsidRPr="005B19C1">
                          <w:rPr>
                            <w:rStyle w:val="Hipercze"/>
                            <w:rFonts w:cstheme="minorBidi"/>
                            <w:color w:val="001D77"/>
                          </w:rPr>
                          <w:t>Przeciętne miesięczne wynagrodzenie brutto</w:t>
                        </w:r>
                      </w:hyperlink>
                    </w:p>
                    <w:p w:rsidR="0099694A" w:rsidRPr="005B19C1" w:rsidRDefault="0099694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99694A" w:rsidRPr="005B19C1" w:rsidRDefault="0099694A" w:rsidP="00A9395A">
                      <w:pPr>
                        <w:spacing w:line="220" w:lineRule="exact"/>
                        <w:rPr>
                          <w:color w:val="001D77"/>
                        </w:rPr>
                      </w:pPr>
                      <w:r w:rsidRPr="005B19C1">
                        <w:rPr>
                          <w:color w:val="001D77"/>
                        </w:rPr>
                        <w:fldChar w:fldCharType="end"/>
                      </w:r>
                      <w:hyperlink r:id="rId65" w:tooltip="link do słownika pojęć stosowanych w statystyce publicznej" w:history="1">
                        <w:r w:rsidRPr="005B19C1">
                          <w:rPr>
                            <w:rStyle w:val="Hipercze"/>
                            <w:rFonts w:cstheme="minorBidi"/>
                            <w:color w:val="001D77"/>
                          </w:rPr>
                          <w:t>Mieszkania, na które wydano pozwolenia</w:t>
                        </w:r>
                      </w:hyperlink>
                    </w:p>
                    <w:p w:rsidR="0099694A" w:rsidRPr="005B19C1" w:rsidRDefault="00BA264B" w:rsidP="00A9395A">
                      <w:pPr>
                        <w:spacing w:line="220" w:lineRule="exact"/>
                        <w:rPr>
                          <w:color w:val="001D77"/>
                        </w:rPr>
                      </w:pPr>
                      <w:hyperlink r:id="rId66" w:tooltip="link do słownika pojęć stosowanych w statystyce publicznej" w:history="1">
                        <w:r w:rsidR="0099694A" w:rsidRPr="005B19C1">
                          <w:rPr>
                            <w:rStyle w:val="Hipercze"/>
                            <w:rFonts w:cstheme="minorBidi"/>
                            <w:color w:val="001D77"/>
                          </w:rPr>
                          <w:t>Mieszkania, których budowę rozpoczęto</w:t>
                        </w:r>
                      </w:hyperlink>
                    </w:p>
                    <w:p w:rsidR="0099694A" w:rsidRPr="005B19C1" w:rsidRDefault="0099694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99694A" w:rsidRPr="005B19C1" w:rsidRDefault="0099694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99694A" w:rsidRDefault="0099694A" w:rsidP="00A9395A">
                      <w:pPr>
                        <w:spacing w:line="220" w:lineRule="exact"/>
                        <w:rPr>
                          <w:rStyle w:val="Hipercze"/>
                          <w:rFonts w:cstheme="minorBidi"/>
                          <w:color w:val="001D77"/>
                        </w:rPr>
                      </w:pPr>
                      <w:r w:rsidRPr="005B19C1">
                        <w:rPr>
                          <w:color w:val="001D77"/>
                        </w:rPr>
                        <w:fldChar w:fldCharType="end"/>
                      </w:r>
                      <w:hyperlink r:id="rId67" w:tooltip="link do słownika pojęć stosowanych w statystyce publicznej" w:history="1">
                        <w:r w:rsidRPr="005B19C1">
                          <w:rPr>
                            <w:rStyle w:val="Hipercze"/>
                            <w:rFonts w:cstheme="minorBidi"/>
                            <w:color w:val="001D77"/>
                          </w:rPr>
                          <w:t>Nakłady inwestycyjne</w:t>
                        </w:r>
                      </w:hyperlink>
                    </w:p>
                    <w:p w:rsidR="0099694A" w:rsidRPr="00901395" w:rsidRDefault="00BA264B" w:rsidP="00A9395A">
                      <w:pPr>
                        <w:spacing w:line="220" w:lineRule="exact"/>
                        <w:rPr>
                          <w:rStyle w:val="Hipercze"/>
                          <w:rFonts w:cstheme="minorBidi"/>
                          <w:color w:val="001D77"/>
                        </w:rPr>
                      </w:pPr>
                      <w:hyperlink r:id="rId68" w:tooltip="link do słownika pojęć stosowanych w statystyce publicznej" w:history="1">
                        <w:r w:rsidR="0099694A" w:rsidRPr="00901395">
                          <w:rPr>
                            <w:rStyle w:val="Hipercze"/>
                            <w:rFonts w:cstheme="minorBidi"/>
                            <w:color w:val="001D77"/>
                          </w:rPr>
                          <w:t>Podmiot gospodarki narodowej</w:t>
                        </w:r>
                      </w:hyperlink>
                    </w:p>
                    <w:p w:rsidR="0099694A" w:rsidRPr="00901395" w:rsidRDefault="00BA264B" w:rsidP="00A9395A">
                      <w:pPr>
                        <w:spacing w:line="220" w:lineRule="exact"/>
                        <w:rPr>
                          <w:rStyle w:val="Hipercze"/>
                          <w:rFonts w:cstheme="minorBidi"/>
                          <w:color w:val="001D77"/>
                        </w:rPr>
                      </w:pPr>
                      <w:hyperlink r:id="rId69" w:tooltip="link do słownika pojęć stosowanych w statystyce publicznej" w:history="1">
                        <w:r w:rsidR="0099694A"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22458A">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94A" w:rsidRDefault="0099694A" w:rsidP="000662E2">
      <w:pPr>
        <w:spacing w:after="0" w:line="240" w:lineRule="auto"/>
      </w:pPr>
      <w:r>
        <w:separator/>
      </w:r>
    </w:p>
  </w:endnote>
  <w:endnote w:type="continuationSeparator" w:id="0">
    <w:p w:rsidR="0099694A" w:rsidRDefault="0099694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7CFC3C01-4CE9-487B-BBC5-E7A6BBEB3C6D}"/>
    <w:embedBold r:id="rId2" w:fontKey="{0B4F3C58-7D30-403C-9915-1527C8736105}"/>
    <w:embedItalic r:id="rId3" w:fontKey="{C3282A93-0A04-4498-A3E3-741EA6B1D6EB}"/>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4" w:fontKey="{2A3B250E-56DA-4100-A17F-F91DAEC8DA37}"/>
    <w:embedBold r:id="rId5" w:fontKey="{55691622-FCF3-47A1-830C-9480EA404096}"/>
    <w:embedItalic r:id="rId6" w:fontKey="{87B47F14-2FBF-497F-983F-3C68C2453C52}"/>
  </w:font>
  <w:font w:name="Fira Sans SemiBold">
    <w:panose1 w:val="020B0603050000020004"/>
    <w:charset w:val="EE"/>
    <w:family w:val="swiss"/>
    <w:pitch w:val="variable"/>
    <w:sig w:usb0="600002FF" w:usb1="02000001" w:usb2="00000000" w:usb3="00000000" w:csb0="0000019F" w:csb1="00000000"/>
    <w:embedRegular r:id="rId7" w:fontKey="{B49775C5-F37B-45EF-AD73-3BC8903C3989}"/>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14256DE8-A2BA-40A5-B452-8DA652C57CA7}"/>
    <w:embedBold r:id="rId9" w:fontKey="{832F06A7-AC9B-4597-A915-6EF2B94EB437}"/>
    <w:embedItalic r:id="rId10" w:fontKey="{DD19CAAF-BBE6-4B79-955F-2392F2CDDA50}"/>
  </w:font>
  <w:font w:name="Segoe UI">
    <w:panose1 w:val="020B0502040204020203"/>
    <w:charset w:val="EE"/>
    <w:family w:val="swiss"/>
    <w:pitch w:val="variable"/>
    <w:sig w:usb0="E4002EFF" w:usb1="C000E47F" w:usb2="00000009" w:usb3="00000000" w:csb0="000001FF" w:csb1="00000000"/>
    <w:embedRegular r:id="rId11" w:fontKey="{70B3A7D2-416E-416D-B81E-1E39961C64CD}"/>
  </w:font>
  <w:font w:name="Fira Sans Extra Condensed SemiB">
    <w:panose1 w:val="020B0603050000020004"/>
    <w:charset w:val="EE"/>
    <w:family w:val="swiss"/>
    <w:pitch w:val="variable"/>
    <w:sig w:usb0="600002FF" w:usb1="00000001" w:usb2="00000000" w:usb3="00000000" w:csb0="0000019F" w:csb1="00000000"/>
    <w:embedRegular r:id="rId12" w:fontKey="{07041877-5CA3-4EBB-A579-22EB6E442A3D}"/>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embedRegular r:id="rId13" w:fontKey="{92CD0DA5-F5CF-4ACA-BC75-A1A5C0FF15C3}"/>
    <w:embedBoldItalic r:id="rId14" w:fontKey="{5FF39D0F-4226-440F-832D-A12F2B922AB2}"/>
  </w:font>
  <w:font w:name="Arial">
    <w:panose1 w:val="020B0604020202020204"/>
    <w:charset w:val="EE"/>
    <w:family w:val="swiss"/>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5" w:fontKey="{630485B0-D2A2-4A51-A218-CCBEDD84462A}"/>
  </w:font>
  <w:font w:name="FiraSans-Regular">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89206"/>
      <w:docPartObj>
        <w:docPartGallery w:val="Page Numbers (Bottom of Page)"/>
        <w:docPartUnique/>
      </w:docPartObj>
    </w:sdtPr>
    <w:sdtEndPr/>
    <w:sdtContent>
      <w:p w:rsidR="0099694A" w:rsidRDefault="0099694A">
        <w:pPr>
          <w:pStyle w:val="Stopka"/>
          <w:jc w:val="right"/>
        </w:pPr>
        <w:r>
          <w:fldChar w:fldCharType="begin"/>
        </w:r>
        <w:r>
          <w:instrText>PAGE   \* MERGEFORMAT</w:instrText>
        </w:r>
        <w:r>
          <w:fldChar w:fldCharType="separate"/>
        </w:r>
        <w:r>
          <w:rPr>
            <w:noProof/>
          </w:rPr>
          <w:t>2</w:t>
        </w:r>
        <w:r>
          <w:fldChar w:fldCharType="end"/>
        </w:r>
      </w:p>
    </w:sdtContent>
  </w:sdt>
  <w:p w:rsidR="0099694A" w:rsidRDefault="0099694A" w:rsidP="003B18B6">
    <w:pPr>
      <w:pStyle w:val="Stopka"/>
      <w:jc w:val="center"/>
    </w:pPr>
  </w:p>
  <w:p w:rsidR="0099694A" w:rsidRDefault="009969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275248"/>
      <w:docPartObj>
        <w:docPartGallery w:val="Page Numbers (Bottom of Page)"/>
        <w:docPartUnique/>
      </w:docPartObj>
    </w:sdtPr>
    <w:sdtEndPr/>
    <w:sdtContent>
      <w:p w:rsidR="0099694A" w:rsidRDefault="0099694A">
        <w:pPr>
          <w:pStyle w:val="Stopka"/>
          <w:jc w:val="right"/>
        </w:pPr>
        <w:r>
          <w:fldChar w:fldCharType="begin"/>
        </w:r>
        <w:r>
          <w:instrText>PAGE   \* MERGEFORMAT</w:instrText>
        </w:r>
        <w:r>
          <w:fldChar w:fldCharType="separate"/>
        </w:r>
        <w:r w:rsidR="00BE5DB4">
          <w:rPr>
            <w:noProof/>
          </w:rPr>
          <w:t>1</w:t>
        </w:r>
        <w:r>
          <w:fldChar w:fldCharType="end"/>
        </w:r>
      </w:p>
    </w:sdtContent>
  </w:sdt>
  <w:p w:rsidR="0099694A" w:rsidRDefault="0099694A" w:rsidP="003B18B6">
    <w:pPr>
      <w:pStyle w:val="Stopka"/>
      <w:jc w:val="center"/>
    </w:pPr>
  </w:p>
  <w:p w:rsidR="0099694A" w:rsidRDefault="0099694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325435"/>
      <w:docPartObj>
        <w:docPartGallery w:val="Page Numbers (Bottom of Page)"/>
        <w:docPartUnique/>
      </w:docPartObj>
    </w:sdtPr>
    <w:sdtEndPr/>
    <w:sdtContent>
      <w:p w:rsidR="0099694A" w:rsidRDefault="0099694A" w:rsidP="001732CC">
        <w:pPr>
          <w:pStyle w:val="Stopka"/>
          <w:tabs>
            <w:tab w:val="left" w:pos="1740"/>
            <w:tab w:val="right" w:pos="10479"/>
          </w:tabs>
        </w:pPr>
        <w:r>
          <w:tab/>
        </w:r>
        <w:r>
          <w:tab/>
        </w:r>
        <w:r>
          <w:tab/>
        </w:r>
        <w:r>
          <w:tab/>
        </w:r>
        <w:r>
          <w:fldChar w:fldCharType="begin"/>
        </w:r>
        <w:r>
          <w:instrText>PAGE   \* MERGEFORMAT</w:instrText>
        </w:r>
        <w:r>
          <w:fldChar w:fldCharType="separate"/>
        </w:r>
        <w:r w:rsidR="00BE5DB4">
          <w:rPr>
            <w:noProof/>
          </w:rPr>
          <w:t>13</w:t>
        </w:r>
        <w:r>
          <w:fldChar w:fldCharType="end"/>
        </w:r>
      </w:p>
    </w:sdtContent>
  </w:sdt>
  <w:p w:rsidR="0099694A" w:rsidRDefault="0099694A" w:rsidP="00C07ADC">
    <w:pPr>
      <w:pStyle w:val="Stopka"/>
      <w:tabs>
        <w:tab w:val="clear" w:pos="9072"/>
        <w:tab w:val="left" w:pos="4963"/>
        <w:tab w:val="left" w:pos="5223"/>
        <w:tab w:val="left" w:pos="5672"/>
        <w:tab w:val="left" w:pos="6381"/>
        <w:tab w:val="left" w:pos="7090"/>
      </w:tabs>
    </w:pPr>
  </w:p>
  <w:p w:rsidR="0099694A" w:rsidRDefault="009969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94A" w:rsidRDefault="0099694A" w:rsidP="000662E2">
      <w:pPr>
        <w:spacing w:after="0" w:line="240" w:lineRule="auto"/>
      </w:pPr>
      <w:r>
        <w:separator/>
      </w:r>
    </w:p>
  </w:footnote>
  <w:footnote w:type="continuationSeparator" w:id="0">
    <w:p w:rsidR="0099694A" w:rsidRDefault="0099694A" w:rsidP="000662E2">
      <w:pPr>
        <w:spacing w:after="0" w:line="240" w:lineRule="auto"/>
      </w:pPr>
      <w:r>
        <w:continuationSeparator/>
      </w:r>
    </w:p>
  </w:footnote>
  <w:footnote w:id="1">
    <w:p w:rsidR="0099694A" w:rsidRDefault="0099694A" w:rsidP="009C6CF8">
      <w:pPr>
        <w:pStyle w:val="notka2"/>
      </w:pPr>
      <w:r>
        <w:rPr>
          <w:rStyle w:val="Odwoanieprzypisudolnego"/>
        </w:rPr>
        <w:footnoteRef/>
      </w:r>
      <w:r>
        <w:t xml:space="preserve"> Dotyczy wolnych miejsc pracy i miejsc aktywizacji zawodowej.</w:t>
      </w:r>
    </w:p>
  </w:footnote>
  <w:footnote w:id="2">
    <w:p w:rsidR="0099694A" w:rsidRDefault="0099694A" w:rsidP="00DC1543">
      <w:pPr>
        <w:pStyle w:val="notka2"/>
      </w:pPr>
      <w:r>
        <w:rPr>
          <w:rStyle w:val="Odwoanieprzypisudolnego"/>
        </w:rPr>
        <w:footnoteRef/>
      </w:r>
      <w:r>
        <w:t xml:space="preserve"> Przeciętne wartości temperatur i opadów obliczono jako średnie arytmetyczne przeciętnych miesięcznych wartości z czterech stacji hydrologiczno-meteorologicznych Instytutu Meteorologii i Gospodarki Wodnej zlokalizowanych w Kaliszu, </w:t>
      </w:r>
      <w:r>
        <w:rPr>
          <w:szCs w:val="16"/>
        </w:rPr>
        <w:t>Lesznie</w:t>
      </w:r>
      <w:r>
        <w:t>, Pile i Poznaniu.</w:t>
      </w:r>
    </w:p>
  </w:footnote>
  <w:footnote w:id="3">
    <w:p w:rsidR="0099694A" w:rsidRDefault="0099694A" w:rsidP="00915728">
      <w:pPr>
        <w:pStyle w:val="notka2"/>
      </w:pPr>
      <w:r>
        <w:rPr>
          <w:rStyle w:val="Odwoanieprzypisudolnego"/>
        </w:rPr>
        <w:footnoteRef/>
      </w:r>
      <w:r>
        <w:t xml:space="preserve"> </w:t>
      </w:r>
      <w:r w:rsidRPr="00D20766">
        <w:t>Dane meldunkowe – mogą ulec zmianie po opracowaniu sprawozdań kwartalnych.</w:t>
      </w:r>
    </w:p>
  </w:footnote>
  <w:footnote w:id="4">
    <w:p w:rsidR="0099694A" w:rsidRDefault="0099694A" w:rsidP="00915728">
      <w:pPr>
        <w:pStyle w:val="notka2"/>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5">
    <w:p w:rsidR="0099694A" w:rsidRPr="00F8127B" w:rsidRDefault="0099694A" w:rsidP="0091619A">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6">
    <w:p w:rsidR="0099694A" w:rsidRPr="004A4DAC" w:rsidRDefault="0099694A" w:rsidP="00880B2B">
      <w:pPr>
        <w:pStyle w:val="notka2"/>
        <w:rPr>
          <w:rFonts w:asciiTheme="minorHAnsi" w:hAnsiTheme="minorHAnsi"/>
          <w:sz w:val="22"/>
        </w:rPr>
      </w:pPr>
      <w:r>
        <w:rPr>
          <w:rStyle w:val="Odwoanieprzypisudolnego"/>
        </w:rPr>
        <w:footnoteRef/>
      </w:r>
      <w:r>
        <w:t xml:space="preserve"> </w:t>
      </w:r>
      <w:r w:rsidRPr="00124DDB">
        <w:t xml:space="preserve">Badanie zostało przeprowadzone od 1 do 10 dnia bieżącego miesiąca na próbie jednostek przemysłowych, budowlanych, handlowych i usługowych. Odpowiedzi na cały dodatkowy blok pytań są udzielane na zasadzie dobrowolności. </w:t>
      </w:r>
      <w:r>
        <w:t>W</w:t>
      </w:r>
      <w:r w:rsidRPr="00124DDB">
        <w:t>e wszystkich pytaniach prezentowany jest procent (ważony) odpowiedzi respondentów na dany wariant. Dane zostały zagregowane zgodnie z metodologią agregacji (ważenia) stosowaną standardowo w badaniu koniunktury gospodarczej</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94A" w:rsidRPr="00CB5DE0" w:rsidRDefault="0099694A" w:rsidP="00BF1AD1">
    <w:pPr>
      <w:pStyle w:val="Nagwek"/>
      <w:tabs>
        <w:tab w:val="clear" w:pos="4536"/>
        <w:tab w:val="clear" w:pos="9072"/>
        <w:tab w:val="left" w:pos="5877"/>
      </w:tabs>
      <w:rPr>
        <w:noProof/>
        <w:sz w:val="20"/>
        <w:lang w:eastAsia="pl-PL"/>
      </w:rPr>
    </w:pPr>
    <w:r>
      <w:rPr>
        <w:noProof/>
        <w:lang w:eastAsia="pl-PL"/>
      </w:rPr>
      <w:tab/>
    </w:r>
  </w:p>
  <w:p w:rsidR="0099694A" w:rsidRDefault="0099694A"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6" name="Obraz 6"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12" name="Obraz 12"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99694A" w:rsidRDefault="0099694A" w:rsidP="002516AE">
    <w:pPr>
      <w:pStyle w:val="Nagwek"/>
      <w:tabs>
        <w:tab w:val="clear" w:pos="4536"/>
        <w:tab w:val="clear" w:pos="9072"/>
        <w:tab w:val="left" w:pos="3373"/>
        <w:tab w:val="left" w:pos="6222"/>
      </w:tabs>
      <w:rPr>
        <w:noProof/>
        <w:lang w:eastAsia="pl-PL"/>
      </w:rPr>
    </w:pP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060B457"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r>
      <w:rPr>
        <w:noProof/>
        <w:lang w:eastAsia="pl-PL"/>
      </w:rPr>
      <w:tab/>
    </w:r>
  </w:p>
  <w:p w:rsidR="0099694A" w:rsidRDefault="0099694A">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align>right</wp:align>
              </wp:positionH>
              <wp:positionV relativeFrom="paragraph">
                <wp:posOffset>45209</wp:posOffset>
              </wp:positionV>
              <wp:extent cx="1238250" cy="575953"/>
              <wp:effectExtent l="0" t="0" r="0" b="0"/>
              <wp:wrapNone/>
              <wp:docPr id="8" name="Pole tekstowe 2" descr="Data publikacji:&#10;28.07.2025 r. i numer komunikatu: 06/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53"/>
                      </a:xfrm>
                      <a:prstGeom prst="rect">
                        <a:avLst/>
                      </a:prstGeom>
                      <a:noFill/>
                      <a:ln w="9525">
                        <a:noFill/>
                        <a:miter lim="800000"/>
                        <a:headEnd/>
                        <a:tailEnd/>
                      </a:ln>
                    </wps:spPr>
                    <wps:txbx>
                      <w:txbxContent>
                        <w:p w:rsidR="0099694A" w:rsidRDefault="0099694A" w:rsidP="00F37172">
                          <w:pPr>
                            <w:jc w:val="both"/>
                            <w:rPr>
                              <w:rFonts w:ascii="Fira Sans SemiBold" w:hAnsi="Fira Sans SemiBold"/>
                              <w:color w:val="522398"/>
                              <w:sz w:val="28"/>
                              <w:lang w:val="en-GB"/>
                            </w:rPr>
                          </w:pPr>
                          <w:r>
                            <w:rPr>
                              <w:rFonts w:ascii="Fira Sans SemiBold" w:hAnsi="Fira Sans SemiBold"/>
                              <w:color w:val="522398"/>
                              <w:sz w:val="28"/>
                              <w:lang w:val="en-GB"/>
                            </w:rPr>
                            <w:t>28.08</w:t>
                          </w:r>
                          <w:r w:rsidRPr="00FE252C">
                            <w:rPr>
                              <w:rFonts w:ascii="Fira Sans SemiBold" w:hAnsi="Fira Sans SemiBold"/>
                              <w:color w:val="522398"/>
                              <w:sz w:val="28"/>
                              <w:lang w:val="en-GB"/>
                            </w:rPr>
                            <w:t>.</w:t>
                          </w:r>
                          <w:r>
                            <w:rPr>
                              <w:rFonts w:ascii="Fira Sans SemiBold" w:hAnsi="Fira Sans SemiBold"/>
                              <w:color w:val="522398"/>
                              <w:sz w:val="28"/>
                              <w:lang w:val="en-GB"/>
                            </w:rPr>
                            <w:t>2025 r.</w:t>
                          </w:r>
                        </w:p>
                        <w:p w:rsidR="0099694A" w:rsidRPr="001D0C76" w:rsidRDefault="0099694A"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12723F6" id="_x0000_t202" coordsize="21600,21600" o:spt="202" path="m,l,21600r21600,l21600,xe">
              <v:stroke joinstyle="miter"/>
              <v:path gradientshapeok="t" o:connecttype="rect"/>
            </v:shapetype>
            <v:shape id="_x0000_s1028" type="#_x0000_t202" alt="Data publikacji:&#10;28.07.2025 r. i numer komunikatu: 06/2025" style="position:absolute;margin-left:46.3pt;margin-top:3.55pt;width:97.5pt;height:45.3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" filled="f" stroked="f">
              <v:textbox>
                <w:txbxContent>
                  <w:p w:rsidR="0099694A" w:rsidRDefault="0099694A" w:rsidP="00F37172">
                    <w:pPr>
                      <w:jc w:val="both"/>
                      <w:rPr>
                        <w:rFonts w:ascii="Fira Sans SemiBold" w:hAnsi="Fira Sans SemiBold"/>
                        <w:color w:val="522398"/>
                        <w:sz w:val="28"/>
                        <w:lang w:val="en-GB"/>
                      </w:rPr>
                    </w:pPr>
                    <w:r>
                      <w:rPr>
                        <w:rFonts w:ascii="Fira Sans SemiBold" w:hAnsi="Fira Sans SemiBold"/>
                        <w:color w:val="522398"/>
                        <w:sz w:val="28"/>
                        <w:lang w:val="en-GB"/>
                      </w:rPr>
                      <w:t>28.08</w:t>
                    </w:r>
                    <w:r w:rsidRPr="00FE252C">
                      <w:rPr>
                        <w:rFonts w:ascii="Fira Sans SemiBold" w:hAnsi="Fira Sans SemiBold"/>
                        <w:color w:val="522398"/>
                        <w:sz w:val="28"/>
                        <w:lang w:val="en-GB"/>
                      </w:rPr>
                      <w:t>.</w:t>
                    </w:r>
                    <w:r>
                      <w:rPr>
                        <w:rFonts w:ascii="Fira Sans SemiBold" w:hAnsi="Fira Sans SemiBold"/>
                        <w:color w:val="522398"/>
                        <w:sz w:val="28"/>
                        <w:lang w:val="en-GB"/>
                      </w:rPr>
                      <w:t>2025 r.</w:t>
                    </w:r>
                  </w:p>
                  <w:p w:rsidR="0099694A" w:rsidRPr="001D0C76" w:rsidRDefault="0099694A"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94A" w:rsidRDefault="0099694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05pt;height:124.1pt;visibility:visible" o:bullet="t">
        <v:imagedata r:id="rId1" o:title=""/>
      </v:shape>
    </w:pict>
  </w:numPicBullet>
  <w:numPicBullet w:numPicBulletId="1">
    <w:pict>
      <v:shape id="_x0000_i1027" type="#_x0000_t75" style="width:124.1pt;height:124.1pt;visibility:visibl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C7B0073"/>
    <w:multiLevelType w:val="hybridMultilevel"/>
    <w:tmpl w:val="3572A6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CF1A3D"/>
    <w:multiLevelType w:val="hybridMultilevel"/>
    <w:tmpl w:val="FDE4D774"/>
    <w:lvl w:ilvl="0" w:tplc="4D8EB82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38727D"/>
    <w:multiLevelType w:val="hybridMultilevel"/>
    <w:tmpl w:val="470E3D3A"/>
    <w:lvl w:ilvl="0" w:tplc="5B8ED5CC">
      <w:start w:val="1"/>
      <w:numFmt w:val="bullet"/>
      <w:pStyle w:val="krop1"/>
      <w:lvlText w:val=""/>
      <w:lvlJc w:val="left"/>
      <w:pPr>
        <w:ind w:left="4187" w:hanging="360"/>
      </w:pPr>
      <w:rPr>
        <w:rFonts w:ascii="Wingdings" w:hAnsi="Wingdings" w:hint="default"/>
      </w:rPr>
    </w:lvl>
    <w:lvl w:ilvl="1" w:tplc="04150003" w:tentative="1">
      <w:start w:val="1"/>
      <w:numFmt w:val="bullet"/>
      <w:lvlText w:val="o"/>
      <w:lvlJc w:val="left"/>
      <w:pPr>
        <w:ind w:left="4907" w:hanging="360"/>
      </w:pPr>
      <w:rPr>
        <w:rFonts w:ascii="Courier New" w:hAnsi="Courier New" w:cs="Courier New" w:hint="default"/>
      </w:rPr>
    </w:lvl>
    <w:lvl w:ilvl="2" w:tplc="04150005" w:tentative="1">
      <w:start w:val="1"/>
      <w:numFmt w:val="bullet"/>
      <w:lvlText w:val=""/>
      <w:lvlJc w:val="left"/>
      <w:pPr>
        <w:ind w:left="5627" w:hanging="360"/>
      </w:pPr>
      <w:rPr>
        <w:rFonts w:ascii="Wingdings" w:hAnsi="Wingdings" w:hint="default"/>
      </w:rPr>
    </w:lvl>
    <w:lvl w:ilvl="3" w:tplc="04150001" w:tentative="1">
      <w:start w:val="1"/>
      <w:numFmt w:val="bullet"/>
      <w:lvlText w:val=""/>
      <w:lvlJc w:val="left"/>
      <w:pPr>
        <w:ind w:left="6347" w:hanging="360"/>
      </w:pPr>
      <w:rPr>
        <w:rFonts w:ascii="Symbol" w:hAnsi="Symbol" w:hint="default"/>
      </w:rPr>
    </w:lvl>
    <w:lvl w:ilvl="4" w:tplc="04150003" w:tentative="1">
      <w:start w:val="1"/>
      <w:numFmt w:val="bullet"/>
      <w:lvlText w:val="o"/>
      <w:lvlJc w:val="left"/>
      <w:pPr>
        <w:ind w:left="7067" w:hanging="360"/>
      </w:pPr>
      <w:rPr>
        <w:rFonts w:ascii="Courier New" w:hAnsi="Courier New" w:cs="Courier New" w:hint="default"/>
      </w:rPr>
    </w:lvl>
    <w:lvl w:ilvl="5" w:tplc="04150005" w:tentative="1">
      <w:start w:val="1"/>
      <w:numFmt w:val="bullet"/>
      <w:lvlText w:val=""/>
      <w:lvlJc w:val="left"/>
      <w:pPr>
        <w:ind w:left="7787" w:hanging="360"/>
      </w:pPr>
      <w:rPr>
        <w:rFonts w:ascii="Wingdings" w:hAnsi="Wingdings" w:hint="default"/>
      </w:rPr>
    </w:lvl>
    <w:lvl w:ilvl="6" w:tplc="04150001" w:tentative="1">
      <w:start w:val="1"/>
      <w:numFmt w:val="bullet"/>
      <w:lvlText w:val=""/>
      <w:lvlJc w:val="left"/>
      <w:pPr>
        <w:ind w:left="8507" w:hanging="360"/>
      </w:pPr>
      <w:rPr>
        <w:rFonts w:ascii="Symbol" w:hAnsi="Symbol" w:hint="default"/>
      </w:rPr>
    </w:lvl>
    <w:lvl w:ilvl="7" w:tplc="04150003" w:tentative="1">
      <w:start w:val="1"/>
      <w:numFmt w:val="bullet"/>
      <w:lvlText w:val="o"/>
      <w:lvlJc w:val="left"/>
      <w:pPr>
        <w:ind w:left="9227" w:hanging="360"/>
      </w:pPr>
      <w:rPr>
        <w:rFonts w:ascii="Courier New" w:hAnsi="Courier New" w:cs="Courier New" w:hint="default"/>
      </w:rPr>
    </w:lvl>
    <w:lvl w:ilvl="8" w:tplc="04150005" w:tentative="1">
      <w:start w:val="1"/>
      <w:numFmt w:val="bullet"/>
      <w:lvlText w:val=""/>
      <w:lvlJc w:val="left"/>
      <w:pPr>
        <w:ind w:left="9947" w:hanging="360"/>
      </w:pPr>
      <w:rPr>
        <w:rFonts w:ascii="Wingdings" w:hAnsi="Wingdings" w:hint="default"/>
      </w:rPr>
    </w:lvl>
  </w:abstractNum>
  <w:abstractNum w:abstractNumId="16"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4C2009"/>
    <w:multiLevelType w:val="hybridMultilevel"/>
    <w:tmpl w:val="AC104EE0"/>
    <w:lvl w:ilvl="0" w:tplc="E45ADC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9"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0"/>
  </w:num>
  <w:num w:numId="4">
    <w:abstractNumId w:val="21"/>
  </w:num>
  <w:num w:numId="5">
    <w:abstractNumId w:val="13"/>
  </w:num>
  <w:num w:numId="6">
    <w:abstractNumId w:val="16"/>
  </w:num>
  <w:num w:numId="7">
    <w:abstractNumId w:val="19"/>
  </w:num>
  <w:num w:numId="8">
    <w:abstractNumId w:val="18"/>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5"/>
  </w:num>
  <w:num w:numId="20">
    <w:abstractNumId w:val="10"/>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DDD"/>
    <w:rsid w:val="00000F04"/>
    <w:rsid w:val="00000FE9"/>
    <w:rsid w:val="0000101B"/>
    <w:rsid w:val="000013CF"/>
    <w:rsid w:val="00001592"/>
    <w:rsid w:val="00001660"/>
    <w:rsid w:val="00001A3B"/>
    <w:rsid w:val="00001C5B"/>
    <w:rsid w:val="00001DA4"/>
    <w:rsid w:val="0000270B"/>
    <w:rsid w:val="00002751"/>
    <w:rsid w:val="0000286C"/>
    <w:rsid w:val="000029A9"/>
    <w:rsid w:val="00002DAD"/>
    <w:rsid w:val="00002F56"/>
    <w:rsid w:val="00003337"/>
    <w:rsid w:val="00003437"/>
    <w:rsid w:val="00003559"/>
    <w:rsid w:val="00003670"/>
    <w:rsid w:val="000041F4"/>
    <w:rsid w:val="00004415"/>
    <w:rsid w:val="0000478D"/>
    <w:rsid w:val="000048D9"/>
    <w:rsid w:val="00004A38"/>
    <w:rsid w:val="00004A6A"/>
    <w:rsid w:val="00004B69"/>
    <w:rsid w:val="000054C3"/>
    <w:rsid w:val="00005F74"/>
    <w:rsid w:val="000061FF"/>
    <w:rsid w:val="0000642C"/>
    <w:rsid w:val="00006437"/>
    <w:rsid w:val="00006544"/>
    <w:rsid w:val="00006777"/>
    <w:rsid w:val="00006A95"/>
    <w:rsid w:val="00006AB0"/>
    <w:rsid w:val="00006B17"/>
    <w:rsid w:val="0000709F"/>
    <w:rsid w:val="000071E4"/>
    <w:rsid w:val="0000727B"/>
    <w:rsid w:val="00007526"/>
    <w:rsid w:val="0000785A"/>
    <w:rsid w:val="00007C49"/>
    <w:rsid w:val="00007CF3"/>
    <w:rsid w:val="0001001B"/>
    <w:rsid w:val="000100E7"/>
    <w:rsid w:val="000101A7"/>
    <w:rsid w:val="00010393"/>
    <w:rsid w:val="00010442"/>
    <w:rsid w:val="00010808"/>
    <w:rsid w:val="000108B8"/>
    <w:rsid w:val="00010A8B"/>
    <w:rsid w:val="00010D21"/>
    <w:rsid w:val="000111D9"/>
    <w:rsid w:val="0001128E"/>
    <w:rsid w:val="0001153F"/>
    <w:rsid w:val="000117E1"/>
    <w:rsid w:val="00011FF9"/>
    <w:rsid w:val="00012254"/>
    <w:rsid w:val="0001230E"/>
    <w:rsid w:val="000126E7"/>
    <w:rsid w:val="00012928"/>
    <w:rsid w:val="00012E0D"/>
    <w:rsid w:val="00013319"/>
    <w:rsid w:val="00013320"/>
    <w:rsid w:val="000137E3"/>
    <w:rsid w:val="00013B3F"/>
    <w:rsid w:val="00013CB0"/>
    <w:rsid w:val="00013D25"/>
    <w:rsid w:val="00014209"/>
    <w:rsid w:val="00014967"/>
    <w:rsid w:val="00014B88"/>
    <w:rsid w:val="00014BDA"/>
    <w:rsid w:val="00014BEE"/>
    <w:rsid w:val="00014C19"/>
    <w:rsid w:val="000152F5"/>
    <w:rsid w:val="000153D7"/>
    <w:rsid w:val="0001584F"/>
    <w:rsid w:val="00015969"/>
    <w:rsid w:val="00015A1A"/>
    <w:rsid w:val="00015B4A"/>
    <w:rsid w:val="00015EC9"/>
    <w:rsid w:val="00015FE6"/>
    <w:rsid w:val="000161C0"/>
    <w:rsid w:val="000166EF"/>
    <w:rsid w:val="000167F0"/>
    <w:rsid w:val="00016C37"/>
    <w:rsid w:val="00016DB8"/>
    <w:rsid w:val="000175F0"/>
    <w:rsid w:val="00017750"/>
    <w:rsid w:val="000178B5"/>
    <w:rsid w:val="00020303"/>
    <w:rsid w:val="0002030B"/>
    <w:rsid w:val="00020348"/>
    <w:rsid w:val="000206A4"/>
    <w:rsid w:val="0002079C"/>
    <w:rsid w:val="0002096C"/>
    <w:rsid w:val="00020A62"/>
    <w:rsid w:val="00020E9D"/>
    <w:rsid w:val="00021429"/>
    <w:rsid w:val="00021AC7"/>
    <w:rsid w:val="00021E29"/>
    <w:rsid w:val="00022489"/>
    <w:rsid w:val="000224CC"/>
    <w:rsid w:val="00022808"/>
    <w:rsid w:val="00022E33"/>
    <w:rsid w:val="000232B2"/>
    <w:rsid w:val="00023542"/>
    <w:rsid w:val="00024030"/>
    <w:rsid w:val="000241BE"/>
    <w:rsid w:val="0002481D"/>
    <w:rsid w:val="00024873"/>
    <w:rsid w:val="0002487B"/>
    <w:rsid w:val="00024A3D"/>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A72"/>
    <w:rsid w:val="00027C0F"/>
    <w:rsid w:val="00030368"/>
    <w:rsid w:val="0003057A"/>
    <w:rsid w:val="0003058F"/>
    <w:rsid w:val="0003062F"/>
    <w:rsid w:val="00030B9C"/>
    <w:rsid w:val="00030DE1"/>
    <w:rsid w:val="00030ED6"/>
    <w:rsid w:val="0003116A"/>
    <w:rsid w:val="0003126E"/>
    <w:rsid w:val="00032138"/>
    <w:rsid w:val="0003299E"/>
    <w:rsid w:val="000329C3"/>
    <w:rsid w:val="00032E3C"/>
    <w:rsid w:val="0003371F"/>
    <w:rsid w:val="00033A21"/>
    <w:rsid w:val="00033A82"/>
    <w:rsid w:val="00033B2B"/>
    <w:rsid w:val="00033B7C"/>
    <w:rsid w:val="00033EA0"/>
    <w:rsid w:val="00033FC4"/>
    <w:rsid w:val="00034203"/>
    <w:rsid w:val="0003496E"/>
    <w:rsid w:val="00034B65"/>
    <w:rsid w:val="00034FEB"/>
    <w:rsid w:val="00035020"/>
    <w:rsid w:val="000353CB"/>
    <w:rsid w:val="00035721"/>
    <w:rsid w:val="0003575B"/>
    <w:rsid w:val="00035C86"/>
    <w:rsid w:val="0003677A"/>
    <w:rsid w:val="00036A32"/>
    <w:rsid w:val="00036F3C"/>
    <w:rsid w:val="00037035"/>
    <w:rsid w:val="000371AA"/>
    <w:rsid w:val="000375E0"/>
    <w:rsid w:val="00037BAA"/>
    <w:rsid w:val="000402EA"/>
    <w:rsid w:val="00040A62"/>
    <w:rsid w:val="00040BCD"/>
    <w:rsid w:val="000413FF"/>
    <w:rsid w:val="000415A8"/>
    <w:rsid w:val="0004174B"/>
    <w:rsid w:val="00041F32"/>
    <w:rsid w:val="00042324"/>
    <w:rsid w:val="00042471"/>
    <w:rsid w:val="00042623"/>
    <w:rsid w:val="00042C38"/>
    <w:rsid w:val="00042E28"/>
    <w:rsid w:val="00043072"/>
    <w:rsid w:val="0004387C"/>
    <w:rsid w:val="00043DFF"/>
    <w:rsid w:val="00043EB5"/>
    <w:rsid w:val="00043EE1"/>
    <w:rsid w:val="00044267"/>
    <w:rsid w:val="000443FC"/>
    <w:rsid w:val="000444B0"/>
    <w:rsid w:val="000451B8"/>
    <w:rsid w:val="0004532B"/>
    <w:rsid w:val="0004582E"/>
    <w:rsid w:val="00045E6F"/>
    <w:rsid w:val="000468A2"/>
    <w:rsid w:val="00046EEB"/>
    <w:rsid w:val="000470AA"/>
    <w:rsid w:val="00047284"/>
    <w:rsid w:val="00047A84"/>
    <w:rsid w:val="00050049"/>
    <w:rsid w:val="000506C4"/>
    <w:rsid w:val="0005144A"/>
    <w:rsid w:val="00051511"/>
    <w:rsid w:val="000517B9"/>
    <w:rsid w:val="00051CC9"/>
    <w:rsid w:val="00051F28"/>
    <w:rsid w:val="00052AB1"/>
    <w:rsid w:val="00052BDF"/>
    <w:rsid w:val="00052D05"/>
    <w:rsid w:val="0005340A"/>
    <w:rsid w:val="0005344A"/>
    <w:rsid w:val="00053EB9"/>
    <w:rsid w:val="00053F9C"/>
    <w:rsid w:val="0005562B"/>
    <w:rsid w:val="00055AB3"/>
    <w:rsid w:val="00055B0E"/>
    <w:rsid w:val="00055BFC"/>
    <w:rsid w:val="00056026"/>
    <w:rsid w:val="0005651D"/>
    <w:rsid w:val="000566FC"/>
    <w:rsid w:val="000569DF"/>
    <w:rsid w:val="00056BAC"/>
    <w:rsid w:val="00056E9F"/>
    <w:rsid w:val="0005791A"/>
    <w:rsid w:val="00057CA1"/>
    <w:rsid w:val="00060107"/>
    <w:rsid w:val="000602C9"/>
    <w:rsid w:val="00060403"/>
    <w:rsid w:val="000604C6"/>
    <w:rsid w:val="000605B8"/>
    <w:rsid w:val="00060687"/>
    <w:rsid w:val="0006094A"/>
    <w:rsid w:val="000609FE"/>
    <w:rsid w:val="00060EB6"/>
    <w:rsid w:val="000611A7"/>
    <w:rsid w:val="000614AD"/>
    <w:rsid w:val="0006211E"/>
    <w:rsid w:val="0006249C"/>
    <w:rsid w:val="000626F9"/>
    <w:rsid w:val="000631FF"/>
    <w:rsid w:val="00063A6A"/>
    <w:rsid w:val="00063AD8"/>
    <w:rsid w:val="00063C8E"/>
    <w:rsid w:val="00064837"/>
    <w:rsid w:val="00064F22"/>
    <w:rsid w:val="00064FEC"/>
    <w:rsid w:val="0006527C"/>
    <w:rsid w:val="000653DE"/>
    <w:rsid w:val="00065492"/>
    <w:rsid w:val="0006594A"/>
    <w:rsid w:val="00065C82"/>
    <w:rsid w:val="00065F74"/>
    <w:rsid w:val="000661B4"/>
    <w:rsid w:val="000662E2"/>
    <w:rsid w:val="00066883"/>
    <w:rsid w:val="00066B37"/>
    <w:rsid w:val="00066D9B"/>
    <w:rsid w:val="00067943"/>
    <w:rsid w:val="000704F8"/>
    <w:rsid w:val="00070846"/>
    <w:rsid w:val="00070F2C"/>
    <w:rsid w:val="0007106A"/>
    <w:rsid w:val="00071257"/>
    <w:rsid w:val="00071894"/>
    <w:rsid w:val="00071D87"/>
    <w:rsid w:val="00071ED9"/>
    <w:rsid w:val="000723BA"/>
    <w:rsid w:val="0007251B"/>
    <w:rsid w:val="00072BD4"/>
    <w:rsid w:val="00072CE1"/>
    <w:rsid w:val="0007356D"/>
    <w:rsid w:val="00073730"/>
    <w:rsid w:val="00073930"/>
    <w:rsid w:val="000739D8"/>
    <w:rsid w:val="00073A4C"/>
    <w:rsid w:val="00073A50"/>
    <w:rsid w:val="00073D62"/>
    <w:rsid w:val="00073FD1"/>
    <w:rsid w:val="000748AE"/>
    <w:rsid w:val="00074944"/>
    <w:rsid w:val="00074B98"/>
    <w:rsid w:val="00074C23"/>
    <w:rsid w:val="00074CB0"/>
    <w:rsid w:val="00074D1B"/>
    <w:rsid w:val="00074DD8"/>
    <w:rsid w:val="0007552D"/>
    <w:rsid w:val="000755E9"/>
    <w:rsid w:val="00075AB9"/>
    <w:rsid w:val="000765F3"/>
    <w:rsid w:val="00076722"/>
    <w:rsid w:val="00076785"/>
    <w:rsid w:val="00076875"/>
    <w:rsid w:val="00076A29"/>
    <w:rsid w:val="00076AF2"/>
    <w:rsid w:val="0007726D"/>
    <w:rsid w:val="00080249"/>
    <w:rsid w:val="00080582"/>
    <w:rsid w:val="000806F7"/>
    <w:rsid w:val="000806FA"/>
    <w:rsid w:val="00080C0B"/>
    <w:rsid w:val="0008108E"/>
    <w:rsid w:val="000819DC"/>
    <w:rsid w:val="00081FF2"/>
    <w:rsid w:val="00082A5C"/>
    <w:rsid w:val="00082B2E"/>
    <w:rsid w:val="00082C54"/>
    <w:rsid w:val="00082C5C"/>
    <w:rsid w:val="00082DBF"/>
    <w:rsid w:val="00082EDC"/>
    <w:rsid w:val="00082F05"/>
    <w:rsid w:val="00082FB6"/>
    <w:rsid w:val="00082FFD"/>
    <w:rsid w:val="00083406"/>
    <w:rsid w:val="000838EF"/>
    <w:rsid w:val="000839B5"/>
    <w:rsid w:val="00083B8B"/>
    <w:rsid w:val="00084360"/>
    <w:rsid w:val="00085097"/>
    <w:rsid w:val="0008517A"/>
    <w:rsid w:val="00085CB9"/>
    <w:rsid w:val="00086811"/>
    <w:rsid w:val="00086BC8"/>
    <w:rsid w:val="000870A8"/>
    <w:rsid w:val="00087C7A"/>
    <w:rsid w:val="00087D5C"/>
    <w:rsid w:val="00087EE9"/>
    <w:rsid w:val="00087F60"/>
    <w:rsid w:val="0009019E"/>
    <w:rsid w:val="0009029C"/>
    <w:rsid w:val="000905CE"/>
    <w:rsid w:val="00090B4E"/>
    <w:rsid w:val="00090C31"/>
    <w:rsid w:val="00090C3C"/>
    <w:rsid w:val="00090F21"/>
    <w:rsid w:val="00091050"/>
    <w:rsid w:val="00091442"/>
    <w:rsid w:val="000917FB"/>
    <w:rsid w:val="00091850"/>
    <w:rsid w:val="000918AC"/>
    <w:rsid w:val="000918C2"/>
    <w:rsid w:val="000918D8"/>
    <w:rsid w:val="00091EA7"/>
    <w:rsid w:val="00092207"/>
    <w:rsid w:val="000925F4"/>
    <w:rsid w:val="00092E48"/>
    <w:rsid w:val="000931FA"/>
    <w:rsid w:val="0009386A"/>
    <w:rsid w:val="00093936"/>
    <w:rsid w:val="00093FAF"/>
    <w:rsid w:val="00094335"/>
    <w:rsid w:val="00094397"/>
    <w:rsid w:val="000944D5"/>
    <w:rsid w:val="000948FF"/>
    <w:rsid w:val="00094993"/>
    <w:rsid w:val="00094BD0"/>
    <w:rsid w:val="00095207"/>
    <w:rsid w:val="0009535E"/>
    <w:rsid w:val="00095426"/>
    <w:rsid w:val="00095871"/>
    <w:rsid w:val="00095966"/>
    <w:rsid w:val="00095D93"/>
    <w:rsid w:val="00095E0C"/>
    <w:rsid w:val="00095FE9"/>
    <w:rsid w:val="000962D3"/>
    <w:rsid w:val="00097171"/>
    <w:rsid w:val="0009728D"/>
    <w:rsid w:val="000975EA"/>
    <w:rsid w:val="000977B8"/>
    <w:rsid w:val="00097840"/>
    <w:rsid w:val="000979CD"/>
    <w:rsid w:val="00097A6C"/>
    <w:rsid w:val="000A13DE"/>
    <w:rsid w:val="000A16CC"/>
    <w:rsid w:val="000A19A8"/>
    <w:rsid w:val="000A19F2"/>
    <w:rsid w:val="000A1E62"/>
    <w:rsid w:val="000A1FF1"/>
    <w:rsid w:val="000A20BD"/>
    <w:rsid w:val="000A2521"/>
    <w:rsid w:val="000A2856"/>
    <w:rsid w:val="000A29C8"/>
    <w:rsid w:val="000A2D3B"/>
    <w:rsid w:val="000A2E81"/>
    <w:rsid w:val="000A3BFE"/>
    <w:rsid w:val="000A3C54"/>
    <w:rsid w:val="000A3EB9"/>
    <w:rsid w:val="000A4304"/>
    <w:rsid w:val="000A43A8"/>
    <w:rsid w:val="000A49B2"/>
    <w:rsid w:val="000A4ACE"/>
    <w:rsid w:val="000A4DBE"/>
    <w:rsid w:val="000A4F7D"/>
    <w:rsid w:val="000A5219"/>
    <w:rsid w:val="000A52E0"/>
    <w:rsid w:val="000A536A"/>
    <w:rsid w:val="000A579D"/>
    <w:rsid w:val="000A5C57"/>
    <w:rsid w:val="000A5E23"/>
    <w:rsid w:val="000A5FD7"/>
    <w:rsid w:val="000A6318"/>
    <w:rsid w:val="000A641E"/>
    <w:rsid w:val="000A6552"/>
    <w:rsid w:val="000A6566"/>
    <w:rsid w:val="000A665A"/>
    <w:rsid w:val="000A6708"/>
    <w:rsid w:val="000A698C"/>
    <w:rsid w:val="000A6B78"/>
    <w:rsid w:val="000A7110"/>
    <w:rsid w:val="000A7699"/>
    <w:rsid w:val="000A7B0D"/>
    <w:rsid w:val="000A7D5E"/>
    <w:rsid w:val="000A7E5A"/>
    <w:rsid w:val="000A7EF0"/>
    <w:rsid w:val="000A7FCA"/>
    <w:rsid w:val="000B0246"/>
    <w:rsid w:val="000B062A"/>
    <w:rsid w:val="000B0727"/>
    <w:rsid w:val="000B07D3"/>
    <w:rsid w:val="000B095E"/>
    <w:rsid w:val="000B0C40"/>
    <w:rsid w:val="000B0D4F"/>
    <w:rsid w:val="000B0E14"/>
    <w:rsid w:val="000B11FB"/>
    <w:rsid w:val="000B1329"/>
    <w:rsid w:val="000B137A"/>
    <w:rsid w:val="000B14BD"/>
    <w:rsid w:val="000B1764"/>
    <w:rsid w:val="000B19BB"/>
    <w:rsid w:val="000B2405"/>
    <w:rsid w:val="000B2CD0"/>
    <w:rsid w:val="000B2F6E"/>
    <w:rsid w:val="000B2F7F"/>
    <w:rsid w:val="000B30EF"/>
    <w:rsid w:val="000B366F"/>
    <w:rsid w:val="000B36AF"/>
    <w:rsid w:val="000B36BA"/>
    <w:rsid w:val="000B382A"/>
    <w:rsid w:val="000B3873"/>
    <w:rsid w:val="000B3D5F"/>
    <w:rsid w:val="000B4593"/>
    <w:rsid w:val="000B486D"/>
    <w:rsid w:val="000B4A8F"/>
    <w:rsid w:val="000B5216"/>
    <w:rsid w:val="000B5819"/>
    <w:rsid w:val="000B5DFD"/>
    <w:rsid w:val="000B6053"/>
    <w:rsid w:val="000B6E72"/>
    <w:rsid w:val="000B6F7D"/>
    <w:rsid w:val="000B7491"/>
    <w:rsid w:val="000B7678"/>
    <w:rsid w:val="000B76D3"/>
    <w:rsid w:val="000B76F5"/>
    <w:rsid w:val="000B7A06"/>
    <w:rsid w:val="000C0190"/>
    <w:rsid w:val="000C0240"/>
    <w:rsid w:val="000C0281"/>
    <w:rsid w:val="000C056C"/>
    <w:rsid w:val="000C05F3"/>
    <w:rsid w:val="000C0AEA"/>
    <w:rsid w:val="000C0F4D"/>
    <w:rsid w:val="000C1033"/>
    <w:rsid w:val="000C135D"/>
    <w:rsid w:val="000C1B4B"/>
    <w:rsid w:val="000C1C1E"/>
    <w:rsid w:val="000C1D27"/>
    <w:rsid w:val="000C209F"/>
    <w:rsid w:val="000C22C2"/>
    <w:rsid w:val="000C23CF"/>
    <w:rsid w:val="000C2934"/>
    <w:rsid w:val="000C2E52"/>
    <w:rsid w:val="000C3120"/>
    <w:rsid w:val="000C335A"/>
    <w:rsid w:val="000C3948"/>
    <w:rsid w:val="000C3A23"/>
    <w:rsid w:val="000C3ACA"/>
    <w:rsid w:val="000C3B98"/>
    <w:rsid w:val="000C4775"/>
    <w:rsid w:val="000C4F77"/>
    <w:rsid w:val="000C5195"/>
    <w:rsid w:val="000C573F"/>
    <w:rsid w:val="000C5836"/>
    <w:rsid w:val="000C590D"/>
    <w:rsid w:val="000C5BC6"/>
    <w:rsid w:val="000C5D9C"/>
    <w:rsid w:val="000C65D3"/>
    <w:rsid w:val="000C677B"/>
    <w:rsid w:val="000C6D21"/>
    <w:rsid w:val="000C6F3F"/>
    <w:rsid w:val="000C6F5D"/>
    <w:rsid w:val="000C7DA2"/>
    <w:rsid w:val="000D0510"/>
    <w:rsid w:val="000D09E7"/>
    <w:rsid w:val="000D1397"/>
    <w:rsid w:val="000D1B47"/>
    <w:rsid w:val="000D1D43"/>
    <w:rsid w:val="000D1F29"/>
    <w:rsid w:val="000D225C"/>
    <w:rsid w:val="000D282C"/>
    <w:rsid w:val="000D2968"/>
    <w:rsid w:val="000D2A5C"/>
    <w:rsid w:val="000D2BB5"/>
    <w:rsid w:val="000D2D2C"/>
    <w:rsid w:val="000D2FA9"/>
    <w:rsid w:val="000D2FB5"/>
    <w:rsid w:val="000D329A"/>
    <w:rsid w:val="000D3446"/>
    <w:rsid w:val="000D34F0"/>
    <w:rsid w:val="000D3597"/>
    <w:rsid w:val="000D393B"/>
    <w:rsid w:val="000D3CF3"/>
    <w:rsid w:val="000D3EB4"/>
    <w:rsid w:val="000D3F68"/>
    <w:rsid w:val="000D3FDA"/>
    <w:rsid w:val="000D41A2"/>
    <w:rsid w:val="000D41FA"/>
    <w:rsid w:val="000D426A"/>
    <w:rsid w:val="000D44FE"/>
    <w:rsid w:val="000D46C3"/>
    <w:rsid w:val="000D48BE"/>
    <w:rsid w:val="000D52A0"/>
    <w:rsid w:val="000D5381"/>
    <w:rsid w:val="000D5BD7"/>
    <w:rsid w:val="000D5D48"/>
    <w:rsid w:val="000D5F04"/>
    <w:rsid w:val="000D635F"/>
    <w:rsid w:val="000D64C4"/>
    <w:rsid w:val="000D6687"/>
    <w:rsid w:val="000D677E"/>
    <w:rsid w:val="000D6BFA"/>
    <w:rsid w:val="000D6CED"/>
    <w:rsid w:val="000D7288"/>
    <w:rsid w:val="000D7348"/>
    <w:rsid w:val="000D7403"/>
    <w:rsid w:val="000D768D"/>
    <w:rsid w:val="000D7A36"/>
    <w:rsid w:val="000D7FD2"/>
    <w:rsid w:val="000E0761"/>
    <w:rsid w:val="000E0860"/>
    <w:rsid w:val="000E0918"/>
    <w:rsid w:val="000E0C39"/>
    <w:rsid w:val="000E0CBF"/>
    <w:rsid w:val="000E1555"/>
    <w:rsid w:val="000E18FE"/>
    <w:rsid w:val="000E1B30"/>
    <w:rsid w:val="000E2999"/>
    <w:rsid w:val="000E2B20"/>
    <w:rsid w:val="000E306E"/>
    <w:rsid w:val="000E31C1"/>
    <w:rsid w:val="000E353C"/>
    <w:rsid w:val="000E3692"/>
    <w:rsid w:val="000E3DEC"/>
    <w:rsid w:val="000E3EF4"/>
    <w:rsid w:val="000E3F2F"/>
    <w:rsid w:val="000E3FAF"/>
    <w:rsid w:val="000E43A0"/>
    <w:rsid w:val="000E43FC"/>
    <w:rsid w:val="000E494A"/>
    <w:rsid w:val="000E4B34"/>
    <w:rsid w:val="000E504D"/>
    <w:rsid w:val="000E54CD"/>
    <w:rsid w:val="000E56F3"/>
    <w:rsid w:val="000E5A98"/>
    <w:rsid w:val="000E60A4"/>
    <w:rsid w:val="000E655A"/>
    <w:rsid w:val="000E663A"/>
    <w:rsid w:val="000E68AE"/>
    <w:rsid w:val="000E6FA1"/>
    <w:rsid w:val="000E7012"/>
    <w:rsid w:val="000E7452"/>
    <w:rsid w:val="000E7454"/>
    <w:rsid w:val="000E758E"/>
    <w:rsid w:val="000E76E3"/>
    <w:rsid w:val="000E78A5"/>
    <w:rsid w:val="000F01A9"/>
    <w:rsid w:val="000F079A"/>
    <w:rsid w:val="000F083E"/>
    <w:rsid w:val="000F0C50"/>
    <w:rsid w:val="000F1ECB"/>
    <w:rsid w:val="000F21F0"/>
    <w:rsid w:val="000F25FE"/>
    <w:rsid w:val="000F27A4"/>
    <w:rsid w:val="000F28DA"/>
    <w:rsid w:val="000F2AEA"/>
    <w:rsid w:val="000F2BA3"/>
    <w:rsid w:val="000F2F0D"/>
    <w:rsid w:val="000F32D3"/>
    <w:rsid w:val="000F34FF"/>
    <w:rsid w:val="000F3542"/>
    <w:rsid w:val="000F36E6"/>
    <w:rsid w:val="000F3DB8"/>
    <w:rsid w:val="000F43AE"/>
    <w:rsid w:val="000F443A"/>
    <w:rsid w:val="000F4923"/>
    <w:rsid w:val="000F4F99"/>
    <w:rsid w:val="000F535B"/>
    <w:rsid w:val="000F5444"/>
    <w:rsid w:val="000F5693"/>
    <w:rsid w:val="000F5A24"/>
    <w:rsid w:val="000F5B4C"/>
    <w:rsid w:val="000F5D27"/>
    <w:rsid w:val="000F645F"/>
    <w:rsid w:val="000F76DF"/>
    <w:rsid w:val="000F7CB8"/>
    <w:rsid w:val="000F7F5A"/>
    <w:rsid w:val="001004D4"/>
    <w:rsid w:val="00100545"/>
    <w:rsid w:val="0010062B"/>
    <w:rsid w:val="00100676"/>
    <w:rsid w:val="00100C3D"/>
    <w:rsid w:val="001011C3"/>
    <w:rsid w:val="0010145D"/>
    <w:rsid w:val="00101AEE"/>
    <w:rsid w:val="00101E2D"/>
    <w:rsid w:val="00102208"/>
    <w:rsid w:val="00102228"/>
    <w:rsid w:val="001024AB"/>
    <w:rsid w:val="00102C49"/>
    <w:rsid w:val="00102D79"/>
    <w:rsid w:val="00103000"/>
    <w:rsid w:val="001030E6"/>
    <w:rsid w:val="001031E8"/>
    <w:rsid w:val="0010330E"/>
    <w:rsid w:val="001036B6"/>
    <w:rsid w:val="00103858"/>
    <w:rsid w:val="00103B76"/>
    <w:rsid w:val="001040DA"/>
    <w:rsid w:val="00104377"/>
    <w:rsid w:val="00104481"/>
    <w:rsid w:val="00104AF6"/>
    <w:rsid w:val="00105384"/>
    <w:rsid w:val="00105669"/>
    <w:rsid w:val="00105C4A"/>
    <w:rsid w:val="0010608B"/>
    <w:rsid w:val="001060C4"/>
    <w:rsid w:val="001062CE"/>
    <w:rsid w:val="0010650C"/>
    <w:rsid w:val="00107949"/>
    <w:rsid w:val="00107A4C"/>
    <w:rsid w:val="00107A88"/>
    <w:rsid w:val="00110490"/>
    <w:rsid w:val="001107E1"/>
    <w:rsid w:val="00110963"/>
    <w:rsid w:val="001109DB"/>
    <w:rsid w:val="00110B40"/>
    <w:rsid w:val="00110BF5"/>
    <w:rsid w:val="00110D87"/>
    <w:rsid w:val="001110A5"/>
    <w:rsid w:val="0011119A"/>
    <w:rsid w:val="0011131A"/>
    <w:rsid w:val="001116CB"/>
    <w:rsid w:val="0011187F"/>
    <w:rsid w:val="001118B1"/>
    <w:rsid w:val="00111A8B"/>
    <w:rsid w:val="0011208D"/>
    <w:rsid w:val="00112338"/>
    <w:rsid w:val="00112CD3"/>
    <w:rsid w:val="00112FB7"/>
    <w:rsid w:val="0011369D"/>
    <w:rsid w:val="00113D92"/>
    <w:rsid w:val="0011457A"/>
    <w:rsid w:val="0011460F"/>
    <w:rsid w:val="0011475D"/>
    <w:rsid w:val="00114AB9"/>
    <w:rsid w:val="00114DB9"/>
    <w:rsid w:val="001151AA"/>
    <w:rsid w:val="0011520B"/>
    <w:rsid w:val="00115530"/>
    <w:rsid w:val="001159EB"/>
    <w:rsid w:val="00115CA1"/>
    <w:rsid w:val="00116087"/>
    <w:rsid w:val="00116596"/>
    <w:rsid w:val="00116774"/>
    <w:rsid w:val="001174AD"/>
    <w:rsid w:val="001175DC"/>
    <w:rsid w:val="00117631"/>
    <w:rsid w:val="001177F6"/>
    <w:rsid w:val="00117870"/>
    <w:rsid w:val="0011799E"/>
    <w:rsid w:val="00117D32"/>
    <w:rsid w:val="00117F23"/>
    <w:rsid w:val="001203C7"/>
    <w:rsid w:val="001206D2"/>
    <w:rsid w:val="00121F22"/>
    <w:rsid w:val="00122631"/>
    <w:rsid w:val="00122DF3"/>
    <w:rsid w:val="00123301"/>
    <w:rsid w:val="001238E5"/>
    <w:rsid w:val="00123BC6"/>
    <w:rsid w:val="0012467E"/>
    <w:rsid w:val="001258E6"/>
    <w:rsid w:val="00125F50"/>
    <w:rsid w:val="00126030"/>
    <w:rsid w:val="0012636F"/>
    <w:rsid w:val="00126464"/>
    <w:rsid w:val="00126919"/>
    <w:rsid w:val="00126AAD"/>
    <w:rsid w:val="001273BF"/>
    <w:rsid w:val="0012741A"/>
    <w:rsid w:val="001277D9"/>
    <w:rsid w:val="00127A38"/>
    <w:rsid w:val="00127BF6"/>
    <w:rsid w:val="00127D86"/>
    <w:rsid w:val="00127E37"/>
    <w:rsid w:val="00130296"/>
    <w:rsid w:val="001303F7"/>
    <w:rsid w:val="001305F4"/>
    <w:rsid w:val="0013070B"/>
    <w:rsid w:val="00130D1B"/>
    <w:rsid w:val="00130EB0"/>
    <w:rsid w:val="00130FC6"/>
    <w:rsid w:val="00130FEE"/>
    <w:rsid w:val="00131083"/>
    <w:rsid w:val="00131EFA"/>
    <w:rsid w:val="001321E5"/>
    <w:rsid w:val="001322CE"/>
    <w:rsid w:val="00132612"/>
    <w:rsid w:val="00132993"/>
    <w:rsid w:val="00132E42"/>
    <w:rsid w:val="00133343"/>
    <w:rsid w:val="00133790"/>
    <w:rsid w:val="00133834"/>
    <w:rsid w:val="00133B14"/>
    <w:rsid w:val="00133B4E"/>
    <w:rsid w:val="001341B8"/>
    <w:rsid w:val="00134221"/>
    <w:rsid w:val="00134603"/>
    <w:rsid w:val="001347AB"/>
    <w:rsid w:val="00134CF9"/>
    <w:rsid w:val="00134DFE"/>
    <w:rsid w:val="00135378"/>
    <w:rsid w:val="00135C0C"/>
    <w:rsid w:val="00135FAA"/>
    <w:rsid w:val="001361E9"/>
    <w:rsid w:val="001369C3"/>
    <w:rsid w:val="00136E07"/>
    <w:rsid w:val="00136E25"/>
    <w:rsid w:val="0013739F"/>
    <w:rsid w:val="0013767F"/>
    <w:rsid w:val="00137683"/>
    <w:rsid w:val="00137D6D"/>
    <w:rsid w:val="00137F1B"/>
    <w:rsid w:val="001402D4"/>
    <w:rsid w:val="00140622"/>
    <w:rsid w:val="0014096A"/>
    <w:rsid w:val="00140D2C"/>
    <w:rsid w:val="00140FF3"/>
    <w:rsid w:val="0014132F"/>
    <w:rsid w:val="0014146A"/>
    <w:rsid w:val="001423B6"/>
    <w:rsid w:val="001426B1"/>
    <w:rsid w:val="00142811"/>
    <w:rsid w:val="001428CF"/>
    <w:rsid w:val="00142AF5"/>
    <w:rsid w:val="00142B0C"/>
    <w:rsid w:val="00142B54"/>
    <w:rsid w:val="00142C7F"/>
    <w:rsid w:val="00143708"/>
    <w:rsid w:val="00143978"/>
    <w:rsid w:val="00143E8D"/>
    <w:rsid w:val="00143F04"/>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4E8"/>
    <w:rsid w:val="00146621"/>
    <w:rsid w:val="00146AAA"/>
    <w:rsid w:val="001474ED"/>
    <w:rsid w:val="00147544"/>
    <w:rsid w:val="001478C6"/>
    <w:rsid w:val="00147D2A"/>
    <w:rsid w:val="00150501"/>
    <w:rsid w:val="0015050C"/>
    <w:rsid w:val="0015052B"/>
    <w:rsid w:val="001505CE"/>
    <w:rsid w:val="00150F80"/>
    <w:rsid w:val="00151006"/>
    <w:rsid w:val="00151192"/>
    <w:rsid w:val="00151559"/>
    <w:rsid w:val="001515DF"/>
    <w:rsid w:val="001515E9"/>
    <w:rsid w:val="00151E80"/>
    <w:rsid w:val="00152178"/>
    <w:rsid w:val="001527E3"/>
    <w:rsid w:val="001528E3"/>
    <w:rsid w:val="00152953"/>
    <w:rsid w:val="00152C61"/>
    <w:rsid w:val="00152EAB"/>
    <w:rsid w:val="00152F36"/>
    <w:rsid w:val="00152FA0"/>
    <w:rsid w:val="00154185"/>
    <w:rsid w:val="0015453B"/>
    <w:rsid w:val="00154758"/>
    <w:rsid w:val="0015492C"/>
    <w:rsid w:val="00154B38"/>
    <w:rsid w:val="00154C39"/>
    <w:rsid w:val="00156441"/>
    <w:rsid w:val="001564FC"/>
    <w:rsid w:val="00156601"/>
    <w:rsid w:val="001573EA"/>
    <w:rsid w:val="00157D4A"/>
    <w:rsid w:val="0016003D"/>
    <w:rsid w:val="00160161"/>
    <w:rsid w:val="0016047E"/>
    <w:rsid w:val="001604C4"/>
    <w:rsid w:val="00160601"/>
    <w:rsid w:val="00160E2B"/>
    <w:rsid w:val="001611A1"/>
    <w:rsid w:val="0016146F"/>
    <w:rsid w:val="001614D1"/>
    <w:rsid w:val="001618A9"/>
    <w:rsid w:val="00162325"/>
    <w:rsid w:val="001623A6"/>
    <w:rsid w:val="001625E1"/>
    <w:rsid w:val="00162C82"/>
    <w:rsid w:val="001631BE"/>
    <w:rsid w:val="001632F9"/>
    <w:rsid w:val="00163371"/>
    <w:rsid w:val="00163A07"/>
    <w:rsid w:val="00163DF8"/>
    <w:rsid w:val="00164115"/>
    <w:rsid w:val="001642EE"/>
    <w:rsid w:val="0016494E"/>
    <w:rsid w:val="00164D66"/>
    <w:rsid w:val="00164E1E"/>
    <w:rsid w:val="0016521E"/>
    <w:rsid w:val="001655F1"/>
    <w:rsid w:val="00165CED"/>
    <w:rsid w:val="001660E2"/>
    <w:rsid w:val="00166101"/>
    <w:rsid w:val="0016629B"/>
    <w:rsid w:val="001666D2"/>
    <w:rsid w:val="001668AF"/>
    <w:rsid w:val="00166C05"/>
    <w:rsid w:val="00166F14"/>
    <w:rsid w:val="00167865"/>
    <w:rsid w:val="00170694"/>
    <w:rsid w:val="0017071E"/>
    <w:rsid w:val="00170737"/>
    <w:rsid w:val="001708B7"/>
    <w:rsid w:val="00170912"/>
    <w:rsid w:val="00170BC3"/>
    <w:rsid w:val="00170D20"/>
    <w:rsid w:val="00170F43"/>
    <w:rsid w:val="001717FF"/>
    <w:rsid w:val="00171EF2"/>
    <w:rsid w:val="00171EFB"/>
    <w:rsid w:val="00172076"/>
    <w:rsid w:val="0017208A"/>
    <w:rsid w:val="0017286E"/>
    <w:rsid w:val="00172EE7"/>
    <w:rsid w:val="001732CC"/>
    <w:rsid w:val="001741FF"/>
    <w:rsid w:val="00174381"/>
    <w:rsid w:val="00174772"/>
    <w:rsid w:val="00174881"/>
    <w:rsid w:val="00174ABD"/>
    <w:rsid w:val="00175264"/>
    <w:rsid w:val="00175D71"/>
    <w:rsid w:val="00176204"/>
    <w:rsid w:val="00176369"/>
    <w:rsid w:val="00176563"/>
    <w:rsid w:val="00176B07"/>
    <w:rsid w:val="001771C2"/>
    <w:rsid w:val="00177283"/>
    <w:rsid w:val="00177484"/>
    <w:rsid w:val="00177534"/>
    <w:rsid w:val="0017777E"/>
    <w:rsid w:val="00177925"/>
    <w:rsid w:val="00177BBB"/>
    <w:rsid w:val="00177F46"/>
    <w:rsid w:val="001810F2"/>
    <w:rsid w:val="00181956"/>
    <w:rsid w:val="00181BE2"/>
    <w:rsid w:val="00181CFE"/>
    <w:rsid w:val="0018207A"/>
    <w:rsid w:val="00182B25"/>
    <w:rsid w:val="0018377B"/>
    <w:rsid w:val="00183830"/>
    <w:rsid w:val="00183973"/>
    <w:rsid w:val="00183A01"/>
    <w:rsid w:val="00183A38"/>
    <w:rsid w:val="00183CFD"/>
    <w:rsid w:val="00183E6E"/>
    <w:rsid w:val="00183FDE"/>
    <w:rsid w:val="00184823"/>
    <w:rsid w:val="00184CF1"/>
    <w:rsid w:val="001856EC"/>
    <w:rsid w:val="00185F0A"/>
    <w:rsid w:val="0018606B"/>
    <w:rsid w:val="00186331"/>
    <w:rsid w:val="00186991"/>
    <w:rsid w:val="001871E6"/>
    <w:rsid w:val="00187C72"/>
    <w:rsid w:val="00187D47"/>
    <w:rsid w:val="00187EA3"/>
    <w:rsid w:val="001901E7"/>
    <w:rsid w:val="00190B0C"/>
    <w:rsid w:val="001915DC"/>
    <w:rsid w:val="00191D1B"/>
    <w:rsid w:val="00191EB4"/>
    <w:rsid w:val="00192081"/>
    <w:rsid w:val="00192517"/>
    <w:rsid w:val="0019275E"/>
    <w:rsid w:val="00192ADB"/>
    <w:rsid w:val="00192F71"/>
    <w:rsid w:val="0019309F"/>
    <w:rsid w:val="00193165"/>
    <w:rsid w:val="00193275"/>
    <w:rsid w:val="001936EA"/>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6DE4"/>
    <w:rsid w:val="00197033"/>
    <w:rsid w:val="00197260"/>
    <w:rsid w:val="0019775D"/>
    <w:rsid w:val="00197895"/>
    <w:rsid w:val="0019789E"/>
    <w:rsid w:val="001979B8"/>
    <w:rsid w:val="00197E79"/>
    <w:rsid w:val="00197F45"/>
    <w:rsid w:val="001A02EB"/>
    <w:rsid w:val="001A0579"/>
    <w:rsid w:val="001A0D6A"/>
    <w:rsid w:val="001A0E71"/>
    <w:rsid w:val="001A1194"/>
    <w:rsid w:val="001A126F"/>
    <w:rsid w:val="001A19DC"/>
    <w:rsid w:val="001A1A13"/>
    <w:rsid w:val="001A1BD2"/>
    <w:rsid w:val="001A1C46"/>
    <w:rsid w:val="001A1C64"/>
    <w:rsid w:val="001A1DB4"/>
    <w:rsid w:val="001A1FC1"/>
    <w:rsid w:val="001A2355"/>
    <w:rsid w:val="001A2382"/>
    <w:rsid w:val="001A2683"/>
    <w:rsid w:val="001A2A12"/>
    <w:rsid w:val="001A2D68"/>
    <w:rsid w:val="001A3599"/>
    <w:rsid w:val="001A372E"/>
    <w:rsid w:val="001A3BBC"/>
    <w:rsid w:val="001A416B"/>
    <w:rsid w:val="001A49C6"/>
    <w:rsid w:val="001A536A"/>
    <w:rsid w:val="001A5435"/>
    <w:rsid w:val="001A55A9"/>
    <w:rsid w:val="001A561E"/>
    <w:rsid w:val="001A5E39"/>
    <w:rsid w:val="001A5FFA"/>
    <w:rsid w:val="001A6B7F"/>
    <w:rsid w:val="001A6C9F"/>
    <w:rsid w:val="001A6FEE"/>
    <w:rsid w:val="001A7666"/>
    <w:rsid w:val="001A7740"/>
    <w:rsid w:val="001A7E65"/>
    <w:rsid w:val="001B0096"/>
    <w:rsid w:val="001B0249"/>
    <w:rsid w:val="001B0263"/>
    <w:rsid w:val="001B035F"/>
    <w:rsid w:val="001B03EC"/>
    <w:rsid w:val="001B0601"/>
    <w:rsid w:val="001B06E8"/>
    <w:rsid w:val="001B06F5"/>
    <w:rsid w:val="001B0A07"/>
    <w:rsid w:val="001B0B5D"/>
    <w:rsid w:val="001B0DC1"/>
    <w:rsid w:val="001B17B9"/>
    <w:rsid w:val="001B1825"/>
    <w:rsid w:val="001B1A8E"/>
    <w:rsid w:val="001B1B57"/>
    <w:rsid w:val="001B2B14"/>
    <w:rsid w:val="001B2D9C"/>
    <w:rsid w:val="001B2D9F"/>
    <w:rsid w:val="001B2E24"/>
    <w:rsid w:val="001B359A"/>
    <w:rsid w:val="001B3DB5"/>
    <w:rsid w:val="001B3E2E"/>
    <w:rsid w:val="001B40FC"/>
    <w:rsid w:val="001B41B9"/>
    <w:rsid w:val="001B41DE"/>
    <w:rsid w:val="001B43E3"/>
    <w:rsid w:val="001B4664"/>
    <w:rsid w:val="001B48CC"/>
    <w:rsid w:val="001B4EF3"/>
    <w:rsid w:val="001B4FD7"/>
    <w:rsid w:val="001B51F2"/>
    <w:rsid w:val="001B5908"/>
    <w:rsid w:val="001B5A2A"/>
    <w:rsid w:val="001B5E6B"/>
    <w:rsid w:val="001B5FEF"/>
    <w:rsid w:val="001B60FD"/>
    <w:rsid w:val="001B6133"/>
    <w:rsid w:val="001B6566"/>
    <w:rsid w:val="001B66E4"/>
    <w:rsid w:val="001B6BE8"/>
    <w:rsid w:val="001B7673"/>
    <w:rsid w:val="001B7E4A"/>
    <w:rsid w:val="001B7EEA"/>
    <w:rsid w:val="001C01A4"/>
    <w:rsid w:val="001C0547"/>
    <w:rsid w:val="001C0665"/>
    <w:rsid w:val="001C0ECC"/>
    <w:rsid w:val="001C1EE4"/>
    <w:rsid w:val="001C1FE0"/>
    <w:rsid w:val="001C23DC"/>
    <w:rsid w:val="001C250C"/>
    <w:rsid w:val="001C266D"/>
    <w:rsid w:val="001C28FF"/>
    <w:rsid w:val="001C2E82"/>
    <w:rsid w:val="001C3212"/>
    <w:rsid w:val="001C3269"/>
    <w:rsid w:val="001C3286"/>
    <w:rsid w:val="001C36D5"/>
    <w:rsid w:val="001C3880"/>
    <w:rsid w:val="001C3C63"/>
    <w:rsid w:val="001C480A"/>
    <w:rsid w:val="001C4A33"/>
    <w:rsid w:val="001C4E73"/>
    <w:rsid w:val="001C579B"/>
    <w:rsid w:val="001C5AF0"/>
    <w:rsid w:val="001C5ED0"/>
    <w:rsid w:val="001C61D1"/>
    <w:rsid w:val="001C66FA"/>
    <w:rsid w:val="001C6E2C"/>
    <w:rsid w:val="001C7042"/>
    <w:rsid w:val="001C76D9"/>
    <w:rsid w:val="001C79B7"/>
    <w:rsid w:val="001D001D"/>
    <w:rsid w:val="001D00ED"/>
    <w:rsid w:val="001D0824"/>
    <w:rsid w:val="001D0975"/>
    <w:rsid w:val="001D0A57"/>
    <w:rsid w:val="001D0C76"/>
    <w:rsid w:val="001D1913"/>
    <w:rsid w:val="001D1DB4"/>
    <w:rsid w:val="001D2271"/>
    <w:rsid w:val="001D2700"/>
    <w:rsid w:val="001D301E"/>
    <w:rsid w:val="001D3384"/>
    <w:rsid w:val="001D35E0"/>
    <w:rsid w:val="001D3846"/>
    <w:rsid w:val="001D3ADA"/>
    <w:rsid w:val="001D42DA"/>
    <w:rsid w:val="001D45D8"/>
    <w:rsid w:val="001D473D"/>
    <w:rsid w:val="001D47C8"/>
    <w:rsid w:val="001D4968"/>
    <w:rsid w:val="001D4B81"/>
    <w:rsid w:val="001D5C83"/>
    <w:rsid w:val="001D61DD"/>
    <w:rsid w:val="001D67C9"/>
    <w:rsid w:val="001D69FF"/>
    <w:rsid w:val="001D6AEF"/>
    <w:rsid w:val="001D6E0B"/>
    <w:rsid w:val="001D7456"/>
    <w:rsid w:val="001D7697"/>
    <w:rsid w:val="001D7B4B"/>
    <w:rsid w:val="001D7CEB"/>
    <w:rsid w:val="001E00D9"/>
    <w:rsid w:val="001E0335"/>
    <w:rsid w:val="001E0603"/>
    <w:rsid w:val="001E0B6F"/>
    <w:rsid w:val="001E0EF2"/>
    <w:rsid w:val="001E10AA"/>
    <w:rsid w:val="001E1905"/>
    <w:rsid w:val="001E1A90"/>
    <w:rsid w:val="001E2222"/>
    <w:rsid w:val="001E2409"/>
    <w:rsid w:val="001E2BF7"/>
    <w:rsid w:val="001E2C29"/>
    <w:rsid w:val="001E2D41"/>
    <w:rsid w:val="001E3218"/>
    <w:rsid w:val="001E333A"/>
    <w:rsid w:val="001E3F60"/>
    <w:rsid w:val="001E4229"/>
    <w:rsid w:val="001E4965"/>
    <w:rsid w:val="001E4F87"/>
    <w:rsid w:val="001E51F0"/>
    <w:rsid w:val="001E539B"/>
    <w:rsid w:val="001E59AA"/>
    <w:rsid w:val="001E5F5B"/>
    <w:rsid w:val="001E6444"/>
    <w:rsid w:val="001E6560"/>
    <w:rsid w:val="001E6941"/>
    <w:rsid w:val="001E6D18"/>
    <w:rsid w:val="001E6DBE"/>
    <w:rsid w:val="001E717E"/>
    <w:rsid w:val="001E77D7"/>
    <w:rsid w:val="001E781A"/>
    <w:rsid w:val="001E78C6"/>
    <w:rsid w:val="001F026D"/>
    <w:rsid w:val="001F0E05"/>
    <w:rsid w:val="001F1907"/>
    <w:rsid w:val="001F19D9"/>
    <w:rsid w:val="001F217E"/>
    <w:rsid w:val="001F21E3"/>
    <w:rsid w:val="001F2506"/>
    <w:rsid w:val="001F25BC"/>
    <w:rsid w:val="001F2662"/>
    <w:rsid w:val="001F2790"/>
    <w:rsid w:val="001F2842"/>
    <w:rsid w:val="001F2CAB"/>
    <w:rsid w:val="001F32A2"/>
    <w:rsid w:val="001F32DB"/>
    <w:rsid w:val="001F3721"/>
    <w:rsid w:val="001F40B1"/>
    <w:rsid w:val="001F40F3"/>
    <w:rsid w:val="001F43E6"/>
    <w:rsid w:val="001F4ACF"/>
    <w:rsid w:val="001F507B"/>
    <w:rsid w:val="001F5546"/>
    <w:rsid w:val="001F590B"/>
    <w:rsid w:val="001F5C74"/>
    <w:rsid w:val="001F626C"/>
    <w:rsid w:val="001F6939"/>
    <w:rsid w:val="001F702F"/>
    <w:rsid w:val="001F785A"/>
    <w:rsid w:val="001F7A19"/>
    <w:rsid w:val="001F7C89"/>
    <w:rsid w:val="00200BA3"/>
    <w:rsid w:val="00200D4A"/>
    <w:rsid w:val="00201010"/>
    <w:rsid w:val="0020140D"/>
    <w:rsid w:val="00201DAA"/>
    <w:rsid w:val="00201F08"/>
    <w:rsid w:val="00202162"/>
    <w:rsid w:val="00202242"/>
    <w:rsid w:val="002024FC"/>
    <w:rsid w:val="00202910"/>
    <w:rsid w:val="00202E7D"/>
    <w:rsid w:val="002030C7"/>
    <w:rsid w:val="00203946"/>
    <w:rsid w:val="00203A22"/>
    <w:rsid w:val="00203E5A"/>
    <w:rsid w:val="0020438F"/>
    <w:rsid w:val="00204416"/>
    <w:rsid w:val="002051D1"/>
    <w:rsid w:val="00205335"/>
    <w:rsid w:val="00205A98"/>
    <w:rsid w:val="00205B13"/>
    <w:rsid w:val="0020618F"/>
    <w:rsid w:val="002061ED"/>
    <w:rsid w:val="00206A2E"/>
    <w:rsid w:val="00206D12"/>
    <w:rsid w:val="00206D61"/>
    <w:rsid w:val="00207054"/>
    <w:rsid w:val="00207CDA"/>
    <w:rsid w:val="00207F6C"/>
    <w:rsid w:val="0021042E"/>
    <w:rsid w:val="002105B5"/>
    <w:rsid w:val="0021066F"/>
    <w:rsid w:val="0021067A"/>
    <w:rsid w:val="002108C3"/>
    <w:rsid w:val="002111CB"/>
    <w:rsid w:val="0021146E"/>
    <w:rsid w:val="00211521"/>
    <w:rsid w:val="002116E6"/>
    <w:rsid w:val="00211A61"/>
    <w:rsid w:val="002121B4"/>
    <w:rsid w:val="0021222C"/>
    <w:rsid w:val="0021224F"/>
    <w:rsid w:val="00212498"/>
    <w:rsid w:val="002129D2"/>
    <w:rsid w:val="00212B71"/>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7F6"/>
    <w:rsid w:val="002159E3"/>
    <w:rsid w:val="00216731"/>
    <w:rsid w:val="00216AA8"/>
    <w:rsid w:val="00216B51"/>
    <w:rsid w:val="00217179"/>
    <w:rsid w:val="00217623"/>
    <w:rsid w:val="00217663"/>
    <w:rsid w:val="002200CE"/>
    <w:rsid w:val="002202B2"/>
    <w:rsid w:val="002208D3"/>
    <w:rsid w:val="00220922"/>
    <w:rsid w:val="00220FE1"/>
    <w:rsid w:val="002212E1"/>
    <w:rsid w:val="0022188D"/>
    <w:rsid w:val="00221A53"/>
    <w:rsid w:val="00221CBB"/>
    <w:rsid w:val="0022235D"/>
    <w:rsid w:val="002225F4"/>
    <w:rsid w:val="002226A1"/>
    <w:rsid w:val="002227D7"/>
    <w:rsid w:val="00222EBE"/>
    <w:rsid w:val="002234C6"/>
    <w:rsid w:val="0022363C"/>
    <w:rsid w:val="00223837"/>
    <w:rsid w:val="00223872"/>
    <w:rsid w:val="002238C5"/>
    <w:rsid w:val="00223C47"/>
    <w:rsid w:val="00223C48"/>
    <w:rsid w:val="00223F5F"/>
    <w:rsid w:val="0022454D"/>
    <w:rsid w:val="0022458A"/>
    <w:rsid w:val="0022461A"/>
    <w:rsid w:val="002246E5"/>
    <w:rsid w:val="00224A0C"/>
    <w:rsid w:val="00224E03"/>
    <w:rsid w:val="00225AFE"/>
    <w:rsid w:val="00225B36"/>
    <w:rsid w:val="00225DB9"/>
    <w:rsid w:val="00226DDA"/>
    <w:rsid w:val="00227356"/>
    <w:rsid w:val="002274A2"/>
    <w:rsid w:val="00227A67"/>
    <w:rsid w:val="00227E28"/>
    <w:rsid w:val="00230DA1"/>
    <w:rsid w:val="0023118C"/>
    <w:rsid w:val="00231D1A"/>
    <w:rsid w:val="00231DCD"/>
    <w:rsid w:val="00232054"/>
    <w:rsid w:val="0023212E"/>
    <w:rsid w:val="00232713"/>
    <w:rsid w:val="00232A6C"/>
    <w:rsid w:val="00232D8E"/>
    <w:rsid w:val="00233092"/>
    <w:rsid w:val="002331D4"/>
    <w:rsid w:val="002336F7"/>
    <w:rsid w:val="00233F3E"/>
    <w:rsid w:val="00234086"/>
    <w:rsid w:val="00234783"/>
    <w:rsid w:val="00234847"/>
    <w:rsid w:val="0023489C"/>
    <w:rsid w:val="0023492D"/>
    <w:rsid w:val="00234946"/>
    <w:rsid w:val="00234A76"/>
    <w:rsid w:val="00234B91"/>
    <w:rsid w:val="002350BB"/>
    <w:rsid w:val="002353B4"/>
    <w:rsid w:val="0023581F"/>
    <w:rsid w:val="00235DA7"/>
    <w:rsid w:val="0023644B"/>
    <w:rsid w:val="00237232"/>
    <w:rsid w:val="00237FC2"/>
    <w:rsid w:val="00240C2F"/>
    <w:rsid w:val="00240D14"/>
    <w:rsid w:val="00240EC3"/>
    <w:rsid w:val="00241272"/>
    <w:rsid w:val="0024137F"/>
    <w:rsid w:val="002414C0"/>
    <w:rsid w:val="002419F5"/>
    <w:rsid w:val="00241BDB"/>
    <w:rsid w:val="002423C8"/>
    <w:rsid w:val="00242AF1"/>
    <w:rsid w:val="00242DD3"/>
    <w:rsid w:val="00242E82"/>
    <w:rsid w:val="00242ECB"/>
    <w:rsid w:val="00242FE5"/>
    <w:rsid w:val="002435D8"/>
    <w:rsid w:val="0024361F"/>
    <w:rsid w:val="00243A4F"/>
    <w:rsid w:val="002448CA"/>
    <w:rsid w:val="00244CA6"/>
    <w:rsid w:val="00244E13"/>
    <w:rsid w:val="00244E76"/>
    <w:rsid w:val="002453BB"/>
    <w:rsid w:val="00245782"/>
    <w:rsid w:val="00245E16"/>
    <w:rsid w:val="00245E6B"/>
    <w:rsid w:val="00245E9B"/>
    <w:rsid w:val="0024659A"/>
    <w:rsid w:val="00246641"/>
    <w:rsid w:val="00246D1F"/>
    <w:rsid w:val="00246FFA"/>
    <w:rsid w:val="0024718C"/>
    <w:rsid w:val="00247C55"/>
    <w:rsid w:val="00247DD1"/>
    <w:rsid w:val="00247E35"/>
    <w:rsid w:val="00250539"/>
    <w:rsid w:val="0025076B"/>
    <w:rsid w:val="00250837"/>
    <w:rsid w:val="002508C6"/>
    <w:rsid w:val="0025139E"/>
    <w:rsid w:val="00251411"/>
    <w:rsid w:val="002514ED"/>
    <w:rsid w:val="002516AE"/>
    <w:rsid w:val="00251D6C"/>
    <w:rsid w:val="002522AA"/>
    <w:rsid w:val="00252E5F"/>
    <w:rsid w:val="002532EF"/>
    <w:rsid w:val="00253515"/>
    <w:rsid w:val="00253B81"/>
    <w:rsid w:val="00253C2A"/>
    <w:rsid w:val="00254418"/>
    <w:rsid w:val="0025453C"/>
    <w:rsid w:val="002545A7"/>
    <w:rsid w:val="0025476C"/>
    <w:rsid w:val="0025477E"/>
    <w:rsid w:val="002548E4"/>
    <w:rsid w:val="0025498D"/>
    <w:rsid w:val="00255024"/>
    <w:rsid w:val="00255368"/>
    <w:rsid w:val="00255723"/>
    <w:rsid w:val="002558D3"/>
    <w:rsid w:val="00255A3D"/>
    <w:rsid w:val="00255C02"/>
    <w:rsid w:val="00255DBC"/>
    <w:rsid w:val="002568B9"/>
    <w:rsid w:val="00256B59"/>
    <w:rsid w:val="00256B63"/>
    <w:rsid w:val="00256F13"/>
    <w:rsid w:val="00256F2C"/>
    <w:rsid w:val="00256FBE"/>
    <w:rsid w:val="0025707B"/>
    <w:rsid w:val="002572E1"/>
    <w:rsid w:val="002574F9"/>
    <w:rsid w:val="002576F7"/>
    <w:rsid w:val="00257917"/>
    <w:rsid w:val="00257A2F"/>
    <w:rsid w:val="00257B00"/>
    <w:rsid w:val="00257E66"/>
    <w:rsid w:val="00257E96"/>
    <w:rsid w:val="00257EA1"/>
    <w:rsid w:val="00257EFC"/>
    <w:rsid w:val="002601B6"/>
    <w:rsid w:val="00260393"/>
    <w:rsid w:val="0026066E"/>
    <w:rsid w:val="0026076B"/>
    <w:rsid w:val="002607A7"/>
    <w:rsid w:val="00260DF6"/>
    <w:rsid w:val="0026102D"/>
    <w:rsid w:val="002610C9"/>
    <w:rsid w:val="0026123C"/>
    <w:rsid w:val="002612A4"/>
    <w:rsid w:val="00261957"/>
    <w:rsid w:val="00262766"/>
    <w:rsid w:val="00262840"/>
    <w:rsid w:val="00262B61"/>
    <w:rsid w:val="00262F14"/>
    <w:rsid w:val="002630CA"/>
    <w:rsid w:val="00263216"/>
    <w:rsid w:val="002633DD"/>
    <w:rsid w:val="002635A3"/>
    <w:rsid w:val="002635AF"/>
    <w:rsid w:val="00263DAF"/>
    <w:rsid w:val="002642B8"/>
    <w:rsid w:val="00264903"/>
    <w:rsid w:val="002649B0"/>
    <w:rsid w:val="00265127"/>
    <w:rsid w:val="00265BE4"/>
    <w:rsid w:val="00265CEF"/>
    <w:rsid w:val="00265D6A"/>
    <w:rsid w:val="002660F8"/>
    <w:rsid w:val="00266450"/>
    <w:rsid w:val="002665AE"/>
    <w:rsid w:val="002668EE"/>
    <w:rsid w:val="00266929"/>
    <w:rsid w:val="00266E26"/>
    <w:rsid w:val="00267056"/>
    <w:rsid w:val="002672E8"/>
    <w:rsid w:val="0026747F"/>
    <w:rsid w:val="002677AB"/>
    <w:rsid w:val="00267868"/>
    <w:rsid w:val="002678C0"/>
    <w:rsid w:val="00267C97"/>
    <w:rsid w:val="00267E69"/>
    <w:rsid w:val="0027004B"/>
    <w:rsid w:val="0027015F"/>
    <w:rsid w:val="002707DF"/>
    <w:rsid w:val="0027155A"/>
    <w:rsid w:val="00271780"/>
    <w:rsid w:val="00271834"/>
    <w:rsid w:val="00272691"/>
    <w:rsid w:val="002729F0"/>
    <w:rsid w:val="00272C5F"/>
    <w:rsid w:val="00272F15"/>
    <w:rsid w:val="00273365"/>
    <w:rsid w:val="002736EB"/>
    <w:rsid w:val="00273A6F"/>
    <w:rsid w:val="00273B77"/>
    <w:rsid w:val="002748CC"/>
    <w:rsid w:val="00274C0F"/>
    <w:rsid w:val="0027524C"/>
    <w:rsid w:val="0027547F"/>
    <w:rsid w:val="00275B0A"/>
    <w:rsid w:val="002760AE"/>
    <w:rsid w:val="00276535"/>
    <w:rsid w:val="0027659A"/>
    <w:rsid w:val="00276811"/>
    <w:rsid w:val="002774B3"/>
    <w:rsid w:val="002775C5"/>
    <w:rsid w:val="0027773C"/>
    <w:rsid w:val="002777EE"/>
    <w:rsid w:val="002777EF"/>
    <w:rsid w:val="00277CFF"/>
    <w:rsid w:val="00277D64"/>
    <w:rsid w:val="00277F62"/>
    <w:rsid w:val="00277F8E"/>
    <w:rsid w:val="002803C7"/>
    <w:rsid w:val="002806EA"/>
    <w:rsid w:val="00280FFB"/>
    <w:rsid w:val="00281230"/>
    <w:rsid w:val="00281F22"/>
    <w:rsid w:val="00281F3C"/>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138"/>
    <w:rsid w:val="00285317"/>
    <w:rsid w:val="00285B2D"/>
    <w:rsid w:val="00285C22"/>
    <w:rsid w:val="00285F78"/>
    <w:rsid w:val="00286352"/>
    <w:rsid w:val="00286512"/>
    <w:rsid w:val="002868DA"/>
    <w:rsid w:val="00286EE8"/>
    <w:rsid w:val="0028750A"/>
    <w:rsid w:val="002876F2"/>
    <w:rsid w:val="00287A20"/>
    <w:rsid w:val="00291293"/>
    <w:rsid w:val="00291310"/>
    <w:rsid w:val="0029134A"/>
    <w:rsid w:val="00291420"/>
    <w:rsid w:val="002914EA"/>
    <w:rsid w:val="00291D4F"/>
    <w:rsid w:val="002920BF"/>
    <w:rsid w:val="002925FE"/>
    <w:rsid w:val="002926DF"/>
    <w:rsid w:val="0029272A"/>
    <w:rsid w:val="00292A72"/>
    <w:rsid w:val="00292CF3"/>
    <w:rsid w:val="00292DE9"/>
    <w:rsid w:val="00292ED1"/>
    <w:rsid w:val="002930F2"/>
    <w:rsid w:val="002936E1"/>
    <w:rsid w:val="002938BC"/>
    <w:rsid w:val="00293965"/>
    <w:rsid w:val="00293CC3"/>
    <w:rsid w:val="0029413E"/>
    <w:rsid w:val="00294807"/>
    <w:rsid w:val="00294B68"/>
    <w:rsid w:val="00294CC5"/>
    <w:rsid w:val="00295342"/>
    <w:rsid w:val="00295416"/>
    <w:rsid w:val="0029544A"/>
    <w:rsid w:val="00295925"/>
    <w:rsid w:val="00295A3E"/>
    <w:rsid w:val="00295BEB"/>
    <w:rsid w:val="00295CDB"/>
    <w:rsid w:val="0029666B"/>
    <w:rsid w:val="00296697"/>
    <w:rsid w:val="00296806"/>
    <w:rsid w:val="00297116"/>
    <w:rsid w:val="002972E6"/>
    <w:rsid w:val="00297940"/>
    <w:rsid w:val="002A0162"/>
    <w:rsid w:val="002A0374"/>
    <w:rsid w:val="002A0496"/>
    <w:rsid w:val="002A0626"/>
    <w:rsid w:val="002A068E"/>
    <w:rsid w:val="002A0ABB"/>
    <w:rsid w:val="002A0C2E"/>
    <w:rsid w:val="002A1604"/>
    <w:rsid w:val="002A1702"/>
    <w:rsid w:val="002A175B"/>
    <w:rsid w:val="002A179C"/>
    <w:rsid w:val="002A2663"/>
    <w:rsid w:val="002A2815"/>
    <w:rsid w:val="002A2AEB"/>
    <w:rsid w:val="002A2CA7"/>
    <w:rsid w:val="002A2E21"/>
    <w:rsid w:val="002A3082"/>
    <w:rsid w:val="002A30EB"/>
    <w:rsid w:val="002A3F4F"/>
    <w:rsid w:val="002A456F"/>
    <w:rsid w:val="002A4A8F"/>
    <w:rsid w:val="002A4B07"/>
    <w:rsid w:val="002A4F9F"/>
    <w:rsid w:val="002A538D"/>
    <w:rsid w:val="002A5B4A"/>
    <w:rsid w:val="002A5C98"/>
    <w:rsid w:val="002A613A"/>
    <w:rsid w:val="002A67DB"/>
    <w:rsid w:val="002A6B5F"/>
    <w:rsid w:val="002A7D30"/>
    <w:rsid w:val="002A7D43"/>
    <w:rsid w:val="002B0472"/>
    <w:rsid w:val="002B0685"/>
    <w:rsid w:val="002B1783"/>
    <w:rsid w:val="002B1CF8"/>
    <w:rsid w:val="002B1FE6"/>
    <w:rsid w:val="002B205F"/>
    <w:rsid w:val="002B3124"/>
    <w:rsid w:val="002B32A2"/>
    <w:rsid w:val="002B32FF"/>
    <w:rsid w:val="002B34F0"/>
    <w:rsid w:val="002B39F1"/>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6E0F"/>
    <w:rsid w:val="002B7301"/>
    <w:rsid w:val="002B731D"/>
    <w:rsid w:val="002B77DB"/>
    <w:rsid w:val="002B79AB"/>
    <w:rsid w:val="002B7C18"/>
    <w:rsid w:val="002B7DD4"/>
    <w:rsid w:val="002B7F0A"/>
    <w:rsid w:val="002B7F82"/>
    <w:rsid w:val="002C01B7"/>
    <w:rsid w:val="002C047D"/>
    <w:rsid w:val="002C086F"/>
    <w:rsid w:val="002C0B70"/>
    <w:rsid w:val="002C0CCB"/>
    <w:rsid w:val="002C1560"/>
    <w:rsid w:val="002C16F9"/>
    <w:rsid w:val="002C1B3B"/>
    <w:rsid w:val="002C1E10"/>
    <w:rsid w:val="002C1E3F"/>
    <w:rsid w:val="002C1E68"/>
    <w:rsid w:val="002C24BC"/>
    <w:rsid w:val="002C24FC"/>
    <w:rsid w:val="002C274E"/>
    <w:rsid w:val="002C2C77"/>
    <w:rsid w:val="002C303C"/>
    <w:rsid w:val="002C3098"/>
    <w:rsid w:val="002C31CF"/>
    <w:rsid w:val="002C3427"/>
    <w:rsid w:val="002C3A8D"/>
    <w:rsid w:val="002C3C2B"/>
    <w:rsid w:val="002C413D"/>
    <w:rsid w:val="002C482C"/>
    <w:rsid w:val="002C4CBC"/>
    <w:rsid w:val="002C4CC0"/>
    <w:rsid w:val="002C4D8F"/>
    <w:rsid w:val="002C5488"/>
    <w:rsid w:val="002C56E5"/>
    <w:rsid w:val="002C60CF"/>
    <w:rsid w:val="002C61C0"/>
    <w:rsid w:val="002C69D3"/>
    <w:rsid w:val="002C6C4C"/>
    <w:rsid w:val="002C6CFA"/>
    <w:rsid w:val="002C6DA3"/>
    <w:rsid w:val="002C6EB3"/>
    <w:rsid w:val="002C6FE8"/>
    <w:rsid w:val="002C7007"/>
    <w:rsid w:val="002C71AD"/>
    <w:rsid w:val="002C73B4"/>
    <w:rsid w:val="002C75EC"/>
    <w:rsid w:val="002C7887"/>
    <w:rsid w:val="002C78A5"/>
    <w:rsid w:val="002C7A18"/>
    <w:rsid w:val="002C7F0A"/>
    <w:rsid w:val="002D0582"/>
    <w:rsid w:val="002D0A49"/>
    <w:rsid w:val="002D0D2C"/>
    <w:rsid w:val="002D102D"/>
    <w:rsid w:val="002D11A0"/>
    <w:rsid w:val="002D179A"/>
    <w:rsid w:val="002D1AA5"/>
    <w:rsid w:val="002D2114"/>
    <w:rsid w:val="002D217C"/>
    <w:rsid w:val="002D2650"/>
    <w:rsid w:val="002D2653"/>
    <w:rsid w:val="002D28E8"/>
    <w:rsid w:val="002D294B"/>
    <w:rsid w:val="002D2AF2"/>
    <w:rsid w:val="002D2B8B"/>
    <w:rsid w:val="002D3518"/>
    <w:rsid w:val="002D355D"/>
    <w:rsid w:val="002D3C83"/>
    <w:rsid w:val="002D3FCF"/>
    <w:rsid w:val="002D40F9"/>
    <w:rsid w:val="002D53D2"/>
    <w:rsid w:val="002D55F2"/>
    <w:rsid w:val="002D59E1"/>
    <w:rsid w:val="002D5E50"/>
    <w:rsid w:val="002D5EE0"/>
    <w:rsid w:val="002D66B6"/>
    <w:rsid w:val="002D6A39"/>
    <w:rsid w:val="002D6E2F"/>
    <w:rsid w:val="002D71DA"/>
    <w:rsid w:val="002D7856"/>
    <w:rsid w:val="002D7FD8"/>
    <w:rsid w:val="002E0260"/>
    <w:rsid w:val="002E0373"/>
    <w:rsid w:val="002E0FA9"/>
    <w:rsid w:val="002E1259"/>
    <w:rsid w:val="002E1292"/>
    <w:rsid w:val="002E18CF"/>
    <w:rsid w:val="002E19F2"/>
    <w:rsid w:val="002E2009"/>
    <w:rsid w:val="002E205A"/>
    <w:rsid w:val="002E2060"/>
    <w:rsid w:val="002E245E"/>
    <w:rsid w:val="002E2A62"/>
    <w:rsid w:val="002E2D5A"/>
    <w:rsid w:val="002E2FA2"/>
    <w:rsid w:val="002E33BF"/>
    <w:rsid w:val="002E34B2"/>
    <w:rsid w:val="002E3759"/>
    <w:rsid w:val="002E3A94"/>
    <w:rsid w:val="002E3B29"/>
    <w:rsid w:val="002E3DB0"/>
    <w:rsid w:val="002E3F9C"/>
    <w:rsid w:val="002E420F"/>
    <w:rsid w:val="002E4751"/>
    <w:rsid w:val="002E478B"/>
    <w:rsid w:val="002E47D9"/>
    <w:rsid w:val="002E491B"/>
    <w:rsid w:val="002E52CE"/>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0DA"/>
    <w:rsid w:val="002F0297"/>
    <w:rsid w:val="002F0486"/>
    <w:rsid w:val="002F06B7"/>
    <w:rsid w:val="002F083C"/>
    <w:rsid w:val="002F0DCA"/>
    <w:rsid w:val="002F16F6"/>
    <w:rsid w:val="002F186E"/>
    <w:rsid w:val="002F1C32"/>
    <w:rsid w:val="002F1DE2"/>
    <w:rsid w:val="002F1FF6"/>
    <w:rsid w:val="002F20A1"/>
    <w:rsid w:val="002F210A"/>
    <w:rsid w:val="002F2638"/>
    <w:rsid w:val="002F273C"/>
    <w:rsid w:val="002F2A55"/>
    <w:rsid w:val="002F2C60"/>
    <w:rsid w:val="002F2C79"/>
    <w:rsid w:val="002F2EA8"/>
    <w:rsid w:val="002F3F02"/>
    <w:rsid w:val="002F3F68"/>
    <w:rsid w:val="002F424F"/>
    <w:rsid w:val="002F4307"/>
    <w:rsid w:val="002F43E4"/>
    <w:rsid w:val="002F472A"/>
    <w:rsid w:val="002F4AA2"/>
    <w:rsid w:val="002F5615"/>
    <w:rsid w:val="002F5750"/>
    <w:rsid w:val="002F5925"/>
    <w:rsid w:val="002F5A12"/>
    <w:rsid w:val="002F5B91"/>
    <w:rsid w:val="002F5C89"/>
    <w:rsid w:val="002F62EA"/>
    <w:rsid w:val="002F62EC"/>
    <w:rsid w:val="002F638F"/>
    <w:rsid w:val="002F692D"/>
    <w:rsid w:val="002F6D95"/>
    <w:rsid w:val="002F7098"/>
    <w:rsid w:val="002F710A"/>
    <w:rsid w:val="002F754C"/>
    <w:rsid w:val="002F76E9"/>
    <w:rsid w:val="002F77C8"/>
    <w:rsid w:val="002F7B1B"/>
    <w:rsid w:val="00300183"/>
    <w:rsid w:val="003003B1"/>
    <w:rsid w:val="00300667"/>
    <w:rsid w:val="00301319"/>
    <w:rsid w:val="00301708"/>
    <w:rsid w:val="0030172E"/>
    <w:rsid w:val="0030178D"/>
    <w:rsid w:val="00301875"/>
    <w:rsid w:val="0030249B"/>
    <w:rsid w:val="00302724"/>
    <w:rsid w:val="00302914"/>
    <w:rsid w:val="00302C6B"/>
    <w:rsid w:val="00302CB9"/>
    <w:rsid w:val="003031D6"/>
    <w:rsid w:val="00303B78"/>
    <w:rsid w:val="0030400F"/>
    <w:rsid w:val="0030406B"/>
    <w:rsid w:val="00304168"/>
    <w:rsid w:val="0030459D"/>
    <w:rsid w:val="00304B51"/>
    <w:rsid w:val="00304CFA"/>
    <w:rsid w:val="00304F22"/>
    <w:rsid w:val="0030551B"/>
    <w:rsid w:val="003055C7"/>
    <w:rsid w:val="00305915"/>
    <w:rsid w:val="00305AA3"/>
    <w:rsid w:val="00305EDE"/>
    <w:rsid w:val="00305F79"/>
    <w:rsid w:val="00306BD1"/>
    <w:rsid w:val="00306C7C"/>
    <w:rsid w:val="003070B0"/>
    <w:rsid w:val="003070FB"/>
    <w:rsid w:val="0030717E"/>
    <w:rsid w:val="00307576"/>
    <w:rsid w:val="0030794C"/>
    <w:rsid w:val="00307A6E"/>
    <w:rsid w:val="00307AF8"/>
    <w:rsid w:val="00307C22"/>
    <w:rsid w:val="00310C4D"/>
    <w:rsid w:val="00310F27"/>
    <w:rsid w:val="0031107D"/>
    <w:rsid w:val="003111FB"/>
    <w:rsid w:val="003112A7"/>
    <w:rsid w:val="0031149A"/>
    <w:rsid w:val="00311841"/>
    <w:rsid w:val="003124D5"/>
    <w:rsid w:val="00312A78"/>
    <w:rsid w:val="00312BD4"/>
    <w:rsid w:val="0031363B"/>
    <w:rsid w:val="003140FF"/>
    <w:rsid w:val="0031424E"/>
    <w:rsid w:val="0031487C"/>
    <w:rsid w:val="003149FB"/>
    <w:rsid w:val="00314D1E"/>
    <w:rsid w:val="00314D7F"/>
    <w:rsid w:val="00314DC3"/>
    <w:rsid w:val="00315203"/>
    <w:rsid w:val="003152F5"/>
    <w:rsid w:val="003155EF"/>
    <w:rsid w:val="003158B8"/>
    <w:rsid w:val="00315D6E"/>
    <w:rsid w:val="00316144"/>
    <w:rsid w:val="00316609"/>
    <w:rsid w:val="00316679"/>
    <w:rsid w:val="00316882"/>
    <w:rsid w:val="00316B2F"/>
    <w:rsid w:val="00316C1C"/>
    <w:rsid w:val="00316D4A"/>
    <w:rsid w:val="00316EA8"/>
    <w:rsid w:val="003173C9"/>
    <w:rsid w:val="00317496"/>
    <w:rsid w:val="003175EF"/>
    <w:rsid w:val="00320310"/>
    <w:rsid w:val="00320400"/>
    <w:rsid w:val="003204CC"/>
    <w:rsid w:val="00320768"/>
    <w:rsid w:val="00320864"/>
    <w:rsid w:val="003209E1"/>
    <w:rsid w:val="003209F3"/>
    <w:rsid w:val="00320B7F"/>
    <w:rsid w:val="00320D72"/>
    <w:rsid w:val="00320E91"/>
    <w:rsid w:val="003212DD"/>
    <w:rsid w:val="0032136A"/>
    <w:rsid w:val="003213F9"/>
    <w:rsid w:val="00322336"/>
    <w:rsid w:val="00322714"/>
    <w:rsid w:val="00322EDD"/>
    <w:rsid w:val="00323134"/>
    <w:rsid w:val="00323176"/>
    <w:rsid w:val="00323259"/>
    <w:rsid w:val="00323442"/>
    <w:rsid w:val="0032353A"/>
    <w:rsid w:val="00323F5E"/>
    <w:rsid w:val="00323FE8"/>
    <w:rsid w:val="0032407F"/>
    <w:rsid w:val="003240FA"/>
    <w:rsid w:val="00324370"/>
    <w:rsid w:val="003243DC"/>
    <w:rsid w:val="00324AE3"/>
    <w:rsid w:val="00324BCA"/>
    <w:rsid w:val="00324EA6"/>
    <w:rsid w:val="00325004"/>
    <w:rsid w:val="003250E4"/>
    <w:rsid w:val="00325859"/>
    <w:rsid w:val="00325871"/>
    <w:rsid w:val="00325883"/>
    <w:rsid w:val="00325976"/>
    <w:rsid w:val="00325995"/>
    <w:rsid w:val="00325F44"/>
    <w:rsid w:val="003263ED"/>
    <w:rsid w:val="00326CDC"/>
    <w:rsid w:val="00326D21"/>
    <w:rsid w:val="003271E5"/>
    <w:rsid w:val="00327440"/>
    <w:rsid w:val="00327641"/>
    <w:rsid w:val="00327988"/>
    <w:rsid w:val="003279A9"/>
    <w:rsid w:val="00327B89"/>
    <w:rsid w:val="00327C35"/>
    <w:rsid w:val="00327EC1"/>
    <w:rsid w:val="003309CD"/>
    <w:rsid w:val="00330E38"/>
    <w:rsid w:val="00330F43"/>
    <w:rsid w:val="00331098"/>
    <w:rsid w:val="003314EF"/>
    <w:rsid w:val="00331920"/>
    <w:rsid w:val="00331E32"/>
    <w:rsid w:val="00331E9C"/>
    <w:rsid w:val="0033204E"/>
    <w:rsid w:val="00332192"/>
    <w:rsid w:val="00332320"/>
    <w:rsid w:val="0033234F"/>
    <w:rsid w:val="0033279F"/>
    <w:rsid w:val="00332D07"/>
    <w:rsid w:val="00332E67"/>
    <w:rsid w:val="0033311C"/>
    <w:rsid w:val="003331A3"/>
    <w:rsid w:val="0033326C"/>
    <w:rsid w:val="00333350"/>
    <w:rsid w:val="00333391"/>
    <w:rsid w:val="003339E0"/>
    <w:rsid w:val="00333CFA"/>
    <w:rsid w:val="00334269"/>
    <w:rsid w:val="0033462E"/>
    <w:rsid w:val="00334DCB"/>
    <w:rsid w:val="00334FAF"/>
    <w:rsid w:val="003351C6"/>
    <w:rsid w:val="00335861"/>
    <w:rsid w:val="00335C0F"/>
    <w:rsid w:val="00335F83"/>
    <w:rsid w:val="00336C6A"/>
    <w:rsid w:val="00336FFA"/>
    <w:rsid w:val="0033720B"/>
    <w:rsid w:val="003373E8"/>
    <w:rsid w:val="0033749C"/>
    <w:rsid w:val="003376AC"/>
    <w:rsid w:val="00337DB3"/>
    <w:rsid w:val="00337FA4"/>
    <w:rsid w:val="00340226"/>
    <w:rsid w:val="00340628"/>
    <w:rsid w:val="0034064B"/>
    <w:rsid w:val="00340B86"/>
    <w:rsid w:val="00341558"/>
    <w:rsid w:val="003415EF"/>
    <w:rsid w:val="00341689"/>
    <w:rsid w:val="00341706"/>
    <w:rsid w:val="00341978"/>
    <w:rsid w:val="0034263C"/>
    <w:rsid w:val="00343007"/>
    <w:rsid w:val="00343221"/>
    <w:rsid w:val="0034333C"/>
    <w:rsid w:val="00343583"/>
    <w:rsid w:val="003435B1"/>
    <w:rsid w:val="0034365E"/>
    <w:rsid w:val="0034374E"/>
    <w:rsid w:val="0034385D"/>
    <w:rsid w:val="003439F1"/>
    <w:rsid w:val="00343CF3"/>
    <w:rsid w:val="00343E06"/>
    <w:rsid w:val="00344048"/>
    <w:rsid w:val="00344210"/>
    <w:rsid w:val="0034448C"/>
    <w:rsid w:val="00344898"/>
    <w:rsid w:val="00344DE4"/>
    <w:rsid w:val="00344F38"/>
    <w:rsid w:val="00344F69"/>
    <w:rsid w:val="00345137"/>
    <w:rsid w:val="00345426"/>
    <w:rsid w:val="0034551D"/>
    <w:rsid w:val="0034575A"/>
    <w:rsid w:val="0034617E"/>
    <w:rsid w:val="00346864"/>
    <w:rsid w:val="0034695C"/>
    <w:rsid w:val="00346AB8"/>
    <w:rsid w:val="00346F89"/>
    <w:rsid w:val="0034772A"/>
    <w:rsid w:val="00347A15"/>
    <w:rsid w:val="00347D72"/>
    <w:rsid w:val="00347D80"/>
    <w:rsid w:val="00347DA1"/>
    <w:rsid w:val="00350014"/>
    <w:rsid w:val="0035085F"/>
    <w:rsid w:val="00350C14"/>
    <w:rsid w:val="00351049"/>
    <w:rsid w:val="003510A4"/>
    <w:rsid w:val="0035151F"/>
    <w:rsid w:val="003515FA"/>
    <w:rsid w:val="00351B4B"/>
    <w:rsid w:val="00351B87"/>
    <w:rsid w:val="00352212"/>
    <w:rsid w:val="00352308"/>
    <w:rsid w:val="003524E0"/>
    <w:rsid w:val="003525F3"/>
    <w:rsid w:val="003527EC"/>
    <w:rsid w:val="00352F62"/>
    <w:rsid w:val="00352FB0"/>
    <w:rsid w:val="0035319F"/>
    <w:rsid w:val="003536B3"/>
    <w:rsid w:val="0035371D"/>
    <w:rsid w:val="00353FC0"/>
    <w:rsid w:val="00354C78"/>
    <w:rsid w:val="00354E00"/>
    <w:rsid w:val="00355449"/>
    <w:rsid w:val="0035566A"/>
    <w:rsid w:val="003559C3"/>
    <w:rsid w:val="00355A76"/>
    <w:rsid w:val="00355C05"/>
    <w:rsid w:val="00355DBD"/>
    <w:rsid w:val="00355E64"/>
    <w:rsid w:val="00356063"/>
    <w:rsid w:val="003560CF"/>
    <w:rsid w:val="00356218"/>
    <w:rsid w:val="003562FC"/>
    <w:rsid w:val="003563D6"/>
    <w:rsid w:val="00357611"/>
    <w:rsid w:val="003577AD"/>
    <w:rsid w:val="00360085"/>
    <w:rsid w:val="00360803"/>
    <w:rsid w:val="00360BB2"/>
    <w:rsid w:val="00360D38"/>
    <w:rsid w:val="00360D6E"/>
    <w:rsid w:val="00360E4D"/>
    <w:rsid w:val="00361258"/>
    <w:rsid w:val="00361507"/>
    <w:rsid w:val="00361B6D"/>
    <w:rsid w:val="00361C99"/>
    <w:rsid w:val="003620BB"/>
    <w:rsid w:val="00362275"/>
    <w:rsid w:val="003623C9"/>
    <w:rsid w:val="00362407"/>
    <w:rsid w:val="003625A3"/>
    <w:rsid w:val="0036288C"/>
    <w:rsid w:val="00362C9C"/>
    <w:rsid w:val="00362F88"/>
    <w:rsid w:val="00363152"/>
    <w:rsid w:val="003634F6"/>
    <w:rsid w:val="00363DD4"/>
    <w:rsid w:val="00364010"/>
    <w:rsid w:val="00364035"/>
    <w:rsid w:val="00364515"/>
    <w:rsid w:val="003646EA"/>
    <w:rsid w:val="003648EB"/>
    <w:rsid w:val="00364937"/>
    <w:rsid w:val="00364AB1"/>
    <w:rsid w:val="00364E9E"/>
    <w:rsid w:val="00364F3A"/>
    <w:rsid w:val="00365234"/>
    <w:rsid w:val="00365409"/>
    <w:rsid w:val="003654E0"/>
    <w:rsid w:val="00365A6E"/>
    <w:rsid w:val="00365B18"/>
    <w:rsid w:val="00365CB7"/>
    <w:rsid w:val="0036620E"/>
    <w:rsid w:val="00366448"/>
    <w:rsid w:val="00366E47"/>
    <w:rsid w:val="00366E85"/>
    <w:rsid w:val="00367237"/>
    <w:rsid w:val="00367433"/>
    <w:rsid w:val="00367506"/>
    <w:rsid w:val="00367C6D"/>
    <w:rsid w:val="0037077F"/>
    <w:rsid w:val="00371979"/>
    <w:rsid w:val="003719B5"/>
    <w:rsid w:val="003720CD"/>
    <w:rsid w:val="00372238"/>
    <w:rsid w:val="00372411"/>
    <w:rsid w:val="00372D6A"/>
    <w:rsid w:val="003730C4"/>
    <w:rsid w:val="00373882"/>
    <w:rsid w:val="00373C43"/>
    <w:rsid w:val="00373EF7"/>
    <w:rsid w:val="00373F15"/>
    <w:rsid w:val="00374116"/>
    <w:rsid w:val="0037475E"/>
    <w:rsid w:val="00374B9C"/>
    <w:rsid w:val="00374C98"/>
    <w:rsid w:val="00374CB3"/>
    <w:rsid w:val="00374E28"/>
    <w:rsid w:val="00375211"/>
    <w:rsid w:val="0037597E"/>
    <w:rsid w:val="00375DEB"/>
    <w:rsid w:val="00375EA7"/>
    <w:rsid w:val="00375F22"/>
    <w:rsid w:val="00375FC9"/>
    <w:rsid w:val="00376591"/>
    <w:rsid w:val="003766AE"/>
    <w:rsid w:val="0037687F"/>
    <w:rsid w:val="00376E0E"/>
    <w:rsid w:val="00377465"/>
    <w:rsid w:val="00377746"/>
    <w:rsid w:val="00377A2A"/>
    <w:rsid w:val="00377B3D"/>
    <w:rsid w:val="00377B56"/>
    <w:rsid w:val="00377EEE"/>
    <w:rsid w:val="003800A2"/>
    <w:rsid w:val="003801EB"/>
    <w:rsid w:val="003802F4"/>
    <w:rsid w:val="003807AA"/>
    <w:rsid w:val="00380ADA"/>
    <w:rsid w:val="00380BC3"/>
    <w:rsid w:val="00380E16"/>
    <w:rsid w:val="00381292"/>
    <w:rsid w:val="003812F9"/>
    <w:rsid w:val="00381301"/>
    <w:rsid w:val="00381C37"/>
    <w:rsid w:val="0038228C"/>
    <w:rsid w:val="003822D0"/>
    <w:rsid w:val="00382F78"/>
    <w:rsid w:val="00383034"/>
    <w:rsid w:val="00383094"/>
    <w:rsid w:val="00383DCF"/>
    <w:rsid w:val="00383E2A"/>
    <w:rsid w:val="003843DB"/>
    <w:rsid w:val="003847DC"/>
    <w:rsid w:val="0038483B"/>
    <w:rsid w:val="00384CB5"/>
    <w:rsid w:val="00384D57"/>
    <w:rsid w:val="00384FF6"/>
    <w:rsid w:val="003855BE"/>
    <w:rsid w:val="00385DFA"/>
    <w:rsid w:val="0038656B"/>
    <w:rsid w:val="00386B4D"/>
    <w:rsid w:val="00386C04"/>
    <w:rsid w:val="00387255"/>
    <w:rsid w:val="0038728C"/>
    <w:rsid w:val="0038747E"/>
    <w:rsid w:val="0038764C"/>
    <w:rsid w:val="00390132"/>
    <w:rsid w:val="00390542"/>
    <w:rsid w:val="0039064A"/>
    <w:rsid w:val="003909C7"/>
    <w:rsid w:val="00390FD0"/>
    <w:rsid w:val="00391029"/>
    <w:rsid w:val="00391341"/>
    <w:rsid w:val="00391971"/>
    <w:rsid w:val="00391CAE"/>
    <w:rsid w:val="00391E7B"/>
    <w:rsid w:val="00391F1A"/>
    <w:rsid w:val="00392076"/>
    <w:rsid w:val="003923C0"/>
    <w:rsid w:val="00392776"/>
    <w:rsid w:val="00393569"/>
    <w:rsid w:val="00393761"/>
    <w:rsid w:val="0039386E"/>
    <w:rsid w:val="003938F4"/>
    <w:rsid w:val="00393909"/>
    <w:rsid w:val="00393A74"/>
    <w:rsid w:val="0039449F"/>
    <w:rsid w:val="0039465E"/>
    <w:rsid w:val="0039492A"/>
    <w:rsid w:val="00394BB9"/>
    <w:rsid w:val="00394D35"/>
    <w:rsid w:val="00395446"/>
    <w:rsid w:val="0039586F"/>
    <w:rsid w:val="003962F6"/>
    <w:rsid w:val="00396D0A"/>
    <w:rsid w:val="00397552"/>
    <w:rsid w:val="003976CA"/>
    <w:rsid w:val="003977C6"/>
    <w:rsid w:val="00397AB4"/>
    <w:rsid w:val="00397B1D"/>
    <w:rsid w:val="00397C35"/>
    <w:rsid w:val="00397D18"/>
    <w:rsid w:val="003A0019"/>
    <w:rsid w:val="003A065C"/>
    <w:rsid w:val="003A07C3"/>
    <w:rsid w:val="003A0D1E"/>
    <w:rsid w:val="003A108A"/>
    <w:rsid w:val="003A157B"/>
    <w:rsid w:val="003A1B36"/>
    <w:rsid w:val="003A1C36"/>
    <w:rsid w:val="003A2464"/>
    <w:rsid w:val="003A256B"/>
    <w:rsid w:val="003A2B38"/>
    <w:rsid w:val="003A2D6B"/>
    <w:rsid w:val="003A2E9E"/>
    <w:rsid w:val="003A300C"/>
    <w:rsid w:val="003A3C43"/>
    <w:rsid w:val="003A3C50"/>
    <w:rsid w:val="003A3CBC"/>
    <w:rsid w:val="003A3EF7"/>
    <w:rsid w:val="003A438A"/>
    <w:rsid w:val="003A43CA"/>
    <w:rsid w:val="003A491A"/>
    <w:rsid w:val="003A52F3"/>
    <w:rsid w:val="003A5A1E"/>
    <w:rsid w:val="003A5D77"/>
    <w:rsid w:val="003A5FE8"/>
    <w:rsid w:val="003A6376"/>
    <w:rsid w:val="003A644A"/>
    <w:rsid w:val="003A644B"/>
    <w:rsid w:val="003A6E12"/>
    <w:rsid w:val="003B00E4"/>
    <w:rsid w:val="003B0C7E"/>
    <w:rsid w:val="003B0D69"/>
    <w:rsid w:val="003B0E88"/>
    <w:rsid w:val="003B0F10"/>
    <w:rsid w:val="003B1454"/>
    <w:rsid w:val="003B18B6"/>
    <w:rsid w:val="003B1967"/>
    <w:rsid w:val="003B19CC"/>
    <w:rsid w:val="003B1B8D"/>
    <w:rsid w:val="003B1E91"/>
    <w:rsid w:val="003B22EF"/>
    <w:rsid w:val="003B25F7"/>
    <w:rsid w:val="003B263D"/>
    <w:rsid w:val="003B28FC"/>
    <w:rsid w:val="003B2E1C"/>
    <w:rsid w:val="003B2F73"/>
    <w:rsid w:val="003B396B"/>
    <w:rsid w:val="003B3BF2"/>
    <w:rsid w:val="003B4054"/>
    <w:rsid w:val="003B4245"/>
    <w:rsid w:val="003B4749"/>
    <w:rsid w:val="003B47F6"/>
    <w:rsid w:val="003B51FA"/>
    <w:rsid w:val="003B561D"/>
    <w:rsid w:val="003B563C"/>
    <w:rsid w:val="003B597A"/>
    <w:rsid w:val="003B637A"/>
    <w:rsid w:val="003B67F4"/>
    <w:rsid w:val="003B682E"/>
    <w:rsid w:val="003B6914"/>
    <w:rsid w:val="003B6933"/>
    <w:rsid w:val="003B6A61"/>
    <w:rsid w:val="003B6AEC"/>
    <w:rsid w:val="003B73F9"/>
    <w:rsid w:val="003B7C89"/>
    <w:rsid w:val="003B7D9C"/>
    <w:rsid w:val="003B7FED"/>
    <w:rsid w:val="003C0B60"/>
    <w:rsid w:val="003C0CD8"/>
    <w:rsid w:val="003C0F44"/>
    <w:rsid w:val="003C110D"/>
    <w:rsid w:val="003C15F0"/>
    <w:rsid w:val="003C2087"/>
    <w:rsid w:val="003C235D"/>
    <w:rsid w:val="003C2814"/>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154"/>
    <w:rsid w:val="003C72A9"/>
    <w:rsid w:val="003C75AD"/>
    <w:rsid w:val="003C75E9"/>
    <w:rsid w:val="003C7F0E"/>
    <w:rsid w:val="003D0663"/>
    <w:rsid w:val="003D0B88"/>
    <w:rsid w:val="003D0E4C"/>
    <w:rsid w:val="003D1089"/>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337"/>
    <w:rsid w:val="003D443E"/>
    <w:rsid w:val="003D4727"/>
    <w:rsid w:val="003D4AFD"/>
    <w:rsid w:val="003D4F3D"/>
    <w:rsid w:val="003D4F95"/>
    <w:rsid w:val="003D4FAB"/>
    <w:rsid w:val="003D5013"/>
    <w:rsid w:val="003D5341"/>
    <w:rsid w:val="003D536C"/>
    <w:rsid w:val="003D5A9A"/>
    <w:rsid w:val="003D5CA8"/>
    <w:rsid w:val="003D5F42"/>
    <w:rsid w:val="003D5FE5"/>
    <w:rsid w:val="003D60A9"/>
    <w:rsid w:val="003D6125"/>
    <w:rsid w:val="003D65E7"/>
    <w:rsid w:val="003D6808"/>
    <w:rsid w:val="003D6841"/>
    <w:rsid w:val="003D68AA"/>
    <w:rsid w:val="003D6A9F"/>
    <w:rsid w:val="003D6AE2"/>
    <w:rsid w:val="003D6BB6"/>
    <w:rsid w:val="003D719E"/>
    <w:rsid w:val="003D71C6"/>
    <w:rsid w:val="003D73B8"/>
    <w:rsid w:val="003D7ADF"/>
    <w:rsid w:val="003D7CAB"/>
    <w:rsid w:val="003D7E4B"/>
    <w:rsid w:val="003E046B"/>
    <w:rsid w:val="003E09DA"/>
    <w:rsid w:val="003E0D91"/>
    <w:rsid w:val="003E189C"/>
    <w:rsid w:val="003E259C"/>
    <w:rsid w:val="003E268B"/>
    <w:rsid w:val="003E2F42"/>
    <w:rsid w:val="003E329A"/>
    <w:rsid w:val="003E355E"/>
    <w:rsid w:val="003E37C7"/>
    <w:rsid w:val="003E400F"/>
    <w:rsid w:val="003E460B"/>
    <w:rsid w:val="003E46E2"/>
    <w:rsid w:val="003E5365"/>
    <w:rsid w:val="003E5B57"/>
    <w:rsid w:val="003E5C5D"/>
    <w:rsid w:val="003E5D0E"/>
    <w:rsid w:val="003E613A"/>
    <w:rsid w:val="003E61AE"/>
    <w:rsid w:val="003E6538"/>
    <w:rsid w:val="003E68BA"/>
    <w:rsid w:val="003E6C7F"/>
    <w:rsid w:val="003E6E2A"/>
    <w:rsid w:val="003E6F36"/>
    <w:rsid w:val="003E7587"/>
    <w:rsid w:val="003E7944"/>
    <w:rsid w:val="003F0107"/>
    <w:rsid w:val="003F016C"/>
    <w:rsid w:val="003F04A6"/>
    <w:rsid w:val="003F050C"/>
    <w:rsid w:val="003F0827"/>
    <w:rsid w:val="003F0883"/>
    <w:rsid w:val="003F0BD4"/>
    <w:rsid w:val="003F0D7F"/>
    <w:rsid w:val="003F12FC"/>
    <w:rsid w:val="003F192B"/>
    <w:rsid w:val="003F1A28"/>
    <w:rsid w:val="003F208F"/>
    <w:rsid w:val="003F21F2"/>
    <w:rsid w:val="003F23F0"/>
    <w:rsid w:val="003F2CCD"/>
    <w:rsid w:val="003F3484"/>
    <w:rsid w:val="003F34FA"/>
    <w:rsid w:val="003F356C"/>
    <w:rsid w:val="003F3706"/>
    <w:rsid w:val="003F46CC"/>
    <w:rsid w:val="003F4C97"/>
    <w:rsid w:val="003F5387"/>
    <w:rsid w:val="003F553E"/>
    <w:rsid w:val="003F5924"/>
    <w:rsid w:val="003F5B51"/>
    <w:rsid w:val="003F5C6E"/>
    <w:rsid w:val="003F5E54"/>
    <w:rsid w:val="003F60D6"/>
    <w:rsid w:val="003F62B2"/>
    <w:rsid w:val="003F6677"/>
    <w:rsid w:val="003F6699"/>
    <w:rsid w:val="003F66D2"/>
    <w:rsid w:val="003F6D20"/>
    <w:rsid w:val="003F6D3C"/>
    <w:rsid w:val="003F706F"/>
    <w:rsid w:val="003F70BC"/>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22F4"/>
    <w:rsid w:val="00402B70"/>
    <w:rsid w:val="00402D01"/>
    <w:rsid w:val="00403198"/>
    <w:rsid w:val="00403401"/>
    <w:rsid w:val="00403655"/>
    <w:rsid w:val="004039B7"/>
    <w:rsid w:val="00403A95"/>
    <w:rsid w:val="00403EEC"/>
    <w:rsid w:val="00403FBE"/>
    <w:rsid w:val="00403FED"/>
    <w:rsid w:val="00404109"/>
    <w:rsid w:val="00404310"/>
    <w:rsid w:val="004046DE"/>
    <w:rsid w:val="004047DC"/>
    <w:rsid w:val="00404AE4"/>
    <w:rsid w:val="00404E2B"/>
    <w:rsid w:val="004059EE"/>
    <w:rsid w:val="0040602D"/>
    <w:rsid w:val="004062D0"/>
    <w:rsid w:val="00406831"/>
    <w:rsid w:val="00406972"/>
    <w:rsid w:val="00406B34"/>
    <w:rsid w:val="00406D8E"/>
    <w:rsid w:val="00406FEA"/>
    <w:rsid w:val="00406FEF"/>
    <w:rsid w:val="004079C3"/>
    <w:rsid w:val="004105A5"/>
    <w:rsid w:val="00410783"/>
    <w:rsid w:val="00410AC0"/>
    <w:rsid w:val="00410B64"/>
    <w:rsid w:val="00410D01"/>
    <w:rsid w:val="00410D08"/>
    <w:rsid w:val="00411170"/>
    <w:rsid w:val="004118EF"/>
    <w:rsid w:val="0041198A"/>
    <w:rsid w:val="00411C95"/>
    <w:rsid w:val="00411D1D"/>
    <w:rsid w:val="00411F4F"/>
    <w:rsid w:val="00412070"/>
    <w:rsid w:val="0041273E"/>
    <w:rsid w:val="004129D8"/>
    <w:rsid w:val="00412B58"/>
    <w:rsid w:val="00412DD9"/>
    <w:rsid w:val="00412FCA"/>
    <w:rsid w:val="004134C0"/>
    <w:rsid w:val="004137C3"/>
    <w:rsid w:val="004139C7"/>
    <w:rsid w:val="00413C85"/>
    <w:rsid w:val="00413D17"/>
    <w:rsid w:val="00413D22"/>
    <w:rsid w:val="00413EF6"/>
    <w:rsid w:val="00413FED"/>
    <w:rsid w:val="00414061"/>
    <w:rsid w:val="004144FA"/>
    <w:rsid w:val="00414961"/>
    <w:rsid w:val="00414AF3"/>
    <w:rsid w:val="00415034"/>
    <w:rsid w:val="00415859"/>
    <w:rsid w:val="00416074"/>
    <w:rsid w:val="0041613F"/>
    <w:rsid w:val="0041642A"/>
    <w:rsid w:val="004166BE"/>
    <w:rsid w:val="00416F79"/>
    <w:rsid w:val="00417302"/>
    <w:rsid w:val="004174A6"/>
    <w:rsid w:val="0041751D"/>
    <w:rsid w:val="0041763C"/>
    <w:rsid w:val="00417721"/>
    <w:rsid w:val="00417878"/>
    <w:rsid w:val="004179FA"/>
    <w:rsid w:val="00417CCB"/>
    <w:rsid w:val="00417D81"/>
    <w:rsid w:val="00417D88"/>
    <w:rsid w:val="004201D4"/>
    <w:rsid w:val="004202B6"/>
    <w:rsid w:val="00420644"/>
    <w:rsid w:val="00420AD5"/>
    <w:rsid w:val="00421127"/>
    <w:rsid w:val="004212E7"/>
    <w:rsid w:val="004214FF"/>
    <w:rsid w:val="00421679"/>
    <w:rsid w:val="00421A21"/>
    <w:rsid w:val="00421E1B"/>
    <w:rsid w:val="004220E1"/>
    <w:rsid w:val="004223D9"/>
    <w:rsid w:val="00422470"/>
    <w:rsid w:val="0042281A"/>
    <w:rsid w:val="00422A8B"/>
    <w:rsid w:val="00422CB8"/>
    <w:rsid w:val="00423011"/>
    <w:rsid w:val="00423071"/>
    <w:rsid w:val="00423D9E"/>
    <w:rsid w:val="00423ED1"/>
    <w:rsid w:val="00423F58"/>
    <w:rsid w:val="00424029"/>
    <w:rsid w:val="004240F4"/>
    <w:rsid w:val="00424219"/>
    <w:rsid w:val="0042446D"/>
    <w:rsid w:val="0042475B"/>
    <w:rsid w:val="00425189"/>
    <w:rsid w:val="004258D8"/>
    <w:rsid w:val="00425AFD"/>
    <w:rsid w:val="00425FF1"/>
    <w:rsid w:val="00426222"/>
    <w:rsid w:val="004262BE"/>
    <w:rsid w:val="0042652B"/>
    <w:rsid w:val="004266F4"/>
    <w:rsid w:val="00426793"/>
    <w:rsid w:val="00426BB2"/>
    <w:rsid w:val="00426C57"/>
    <w:rsid w:val="004277D4"/>
    <w:rsid w:val="004278F3"/>
    <w:rsid w:val="00427BF8"/>
    <w:rsid w:val="00427C53"/>
    <w:rsid w:val="00427C58"/>
    <w:rsid w:val="00427DA3"/>
    <w:rsid w:val="00427F00"/>
    <w:rsid w:val="00430398"/>
    <w:rsid w:val="00430550"/>
    <w:rsid w:val="00430847"/>
    <w:rsid w:val="00430889"/>
    <w:rsid w:val="00431029"/>
    <w:rsid w:val="0043190B"/>
    <w:rsid w:val="00431BE0"/>
    <w:rsid w:val="00431C02"/>
    <w:rsid w:val="00432806"/>
    <w:rsid w:val="004329EC"/>
    <w:rsid w:val="00433811"/>
    <w:rsid w:val="00433C21"/>
    <w:rsid w:val="00433CA5"/>
    <w:rsid w:val="00433DC7"/>
    <w:rsid w:val="00433EB0"/>
    <w:rsid w:val="00434052"/>
    <w:rsid w:val="004341F2"/>
    <w:rsid w:val="004344BD"/>
    <w:rsid w:val="0043478B"/>
    <w:rsid w:val="00434E3C"/>
    <w:rsid w:val="00434F39"/>
    <w:rsid w:val="00434FB8"/>
    <w:rsid w:val="00435090"/>
    <w:rsid w:val="004351D8"/>
    <w:rsid w:val="004351EA"/>
    <w:rsid w:val="004371E6"/>
    <w:rsid w:val="00437395"/>
    <w:rsid w:val="00437539"/>
    <w:rsid w:val="004376C6"/>
    <w:rsid w:val="00437C89"/>
    <w:rsid w:val="00437D75"/>
    <w:rsid w:val="00437FDD"/>
    <w:rsid w:val="00440982"/>
    <w:rsid w:val="004412E3"/>
    <w:rsid w:val="004414D1"/>
    <w:rsid w:val="0044181F"/>
    <w:rsid w:val="00441CE0"/>
    <w:rsid w:val="004424D0"/>
    <w:rsid w:val="00442664"/>
    <w:rsid w:val="00442698"/>
    <w:rsid w:val="00442E6B"/>
    <w:rsid w:val="004432E9"/>
    <w:rsid w:val="00443D58"/>
    <w:rsid w:val="004443CE"/>
    <w:rsid w:val="004444E4"/>
    <w:rsid w:val="004445EE"/>
    <w:rsid w:val="00444C80"/>
    <w:rsid w:val="00445047"/>
    <w:rsid w:val="004450CF"/>
    <w:rsid w:val="004450F5"/>
    <w:rsid w:val="00445240"/>
    <w:rsid w:val="00445242"/>
    <w:rsid w:val="004454A7"/>
    <w:rsid w:val="0044615A"/>
    <w:rsid w:val="0044643D"/>
    <w:rsid w:val="004475A5"/>
    <w:rsid w:val="00447BA1"/>
    <w:rsid w:val="00447E54"/>
    <w:rsid w:val="00447F58"/>
    <w:rsid w:val="00450045"/>
    <w:rsid w:val="00450A4C"/>
    <w:rsid w:val="00450B36"/>
    <w:rsid w:val="00450C4A"/>
    <w:rsid w:val="00450D61"/>
    <w:rsid w:val="004512EF"/>
    <w:rsid w:val="00451635"/>
    <w:rsid w:val="004517F7"/>
    <w:rsid w:val="00451855"/>
    <w:rsid w:val="00451A48"/>
    <w:rsid w:val="00451C56"/>
    <w:rsid w:val="00451EDD"/>
    <w:rsid w:val="00452101"/>
    <w:rsid w:val="0045273B"/>
    <w:rsid w:val="00452FFF"/>
    <w:rsid w:val="0045329A"/>
    <w:rsid w:val="0045332B"/>
    <w:rsid w:val="0045368B"/>
    <w:rsid w:val="0045371A"/>
    <w:rsid w:val="00453915"/>
    <w:rsid w:val="004539D3"/>
    <w:rsid w:val="00453AAB"/>
    <w:rsid w:val="0045433E"/>
    <w:rsid w:val="00454484"/>
    <w:rsid w:val="0045467E"/>
    <w:rsid w:val="0045474A"/>
    <w:rsid w:val="004547C5"/>
    <w:rsid w:val="00455BAF"/>
    <w:rsid w:val="00455DDF"/>
    <w:rsid w:val="004572DE"/>
    <w:rsid w:val="004573B9"/>
    <w:rsid w:val="0045775F"/>
    <w:rsid w:val="00457974"/>
    <w:rsid w:val="00457BA9"/>
    <w:rsid w:val="00457CE7"/>
    <w:rsid w:val="00457D7B"/>
    <w:rsid w:val="004602F0"/>
    <w:rsid w:val="004609FF"/>
    <w:rsid w:val="00460E5D"/>
    <w:rsid w:val="00461247"/>
    <w:rsid w:val="004612E5"/>
    <w:rsid w:val="00461DE7"/>
    <w:rsid w:val="00461E78"/>
    <w:rsid w:val="00462663"/>
    <w:rsid w:val="004630CA"/>
    <w:rsid w:val="0046344E"/>
    <w:rsid w:val="004634F0"/>
    <w:rsid w:val="00463618"/>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73"/>
    <w:rsid w:val="00467C95"/>
    <w:rsid w:val="00467C98"/>
    <w:rsid w:val="00467D1A"/>
    <w:rsid w:val="00467F82"/>
    <w:rsid w:val="00467FFE"/>
    <w:rsid w:val="0047031B"/>
    <w:rsid w:val="004703CB"/>
    <w:rsid w:val="0047061C"/>
    <w:rsid w:val="00470C28"/>
    <w:rsid w:val="00471433"/>
    <w:rsid w:val="004718AC"/>
    <w:rsid w:val="00471A07"/>
    <w:rsid w:val="00472C2C"/>
    <w:rsid w:val="00472EE0"/>
    <w:rsid w:val="0047328E"/>
    <w:rsid w:val="004732A1"/>
    <w:rsid w:val="004733E8"/>
    <w:rsid w:val="004733F6"/>
    <w:rsid w:val="004749CA"/>
    <w:rsid w:val="00474C1A"/>
    <w:rsid w:val="00474E69"/>
    <w:rsid w:val="00475536"/>
    <w:rsid w:val="004756B3"/>
    <w:rsid w:val="00475819"/>
    <w:rsid w:val="00475BFE"/>
    <w:rsid w:val="00475FBE"/>
    <w:rsid w:val="004760BF"/>
    <w:rsid w:val="00476135"/>
    <w:rsid w:val="004762DE"/>
    <w:rsid w:val="00476909"/>
    <w:rsid w:val="00476D32"/>
    <w:rsid w:val="00476DCB"/>
    <w:rsid w:val="00476DF2"/>
    <w:rsid w:val="004772BE"/>
    <w:rsid w:val="00477345"/>
    <w:rsid w:val="00477474"/>
    <w:rsid w:val="0047755C"/>
    <w:rsid w:val="00477B2F"/>
    <w:rsid w:val="00477E80"/>
    <w:rsid w:val="00480613"/>
    <w:rsid w:val="004809F8"/>
    <w:rsid w:val="00480C6A"/>
    <w:rsid w:val="00480FCE"/>
    <w:rsid w:val="004814EF"/>
    <w:rsid w:val="00481EC5"/>
    <w:rsid w:val="00482757"/>
    <w:rsid w:val="00482AF4"/>
    <w:rsid w:val="00482DA5"/>
    <w:rsid w:val="004832E8"/>
    <w:rsid w:val="00484384"/>
    <w:rsid w:val="00484427"/>
    <w:rsid w:val="00484447"/>
    <w:rsid w:val="00484646"/>
    <w:rsid w:val="0048479D"/>
    <w:rsid w:val="00484ADC"/>
    <w:rsid w:val="00484B40"/>
    <w:rsid w:val="0048506F"/>
    <w:rsid w:val="00485453"/>
    <w:rsid w:val="0048584D"/>
    <w:rsid w:val="00485887"/>
    <w:rsid w:val="00485AEA"/>
    <w:rsid w:val="00485B21"/>
    <w:rsid w:val="00485D5C"/>
    <w:rsid w:val="00485F5E"/>
    <w:rsid w:val="0048605A"/>
    <w:rsid w:val="0048638C"/>
    <w:rsid w:val="00486535"/>
    <w:rsid w:val="0048673D"/>
    <w:rsid w:val="00487358"/>
    <w:rsid w:val="00487D5D"/>
    <w:rsid w:val="00490156"/>
    <w:rsid w:val="004913CB"/>
    <w:rsid w:val="00491F05"/>
    <w:rsid w:val="004923A9"/>
    <w:rsid w:val="00492526"/>
    <w:rsid w:val="004926AF"/>
    <w:rsid w:val="004927F0"/>
    <w:rsid w:val="00492957"/>
    <w:rsid w:val="00492BA2"/>
    <w:rsid w:val="004936A2"/>
    <w:rsid w:val="00493788"/>
    <w:rsid w:val="004943D4"/>
    <w:rsid w:val="00494487"/>
    <w:rsid w:val="004948A7"/>
    <w:rsid w:val="00494943"/>
    <w:rsid w:val="00494CCC"/>
    <w:rsid w:val="00494D36"/>
    <w:rsid w:val="00494E13"/>
    <w:rsid w:val="0049532C"/>
    <w:rsid w:val="00495760"/>
    <w:rsid w:val="004957AC"/>
    <w:rsid w:val="00495A25"/>
    <w:rsid w:val="00495E7E"/>
    <w:rsid w:val="004960E6"/>
    <w:rsid w:val="0049621B"/>
    <w:rsid w:val="004968E1"/>
    <w:rsid w:val="00496A63"/>
    <w:rsid w:val="00496D65"/>
    <w:rsid w:val="00496F51"/>
    <w:rsid w:val="00496FDF"/>
    <w:rsid w:val="004975C5"/>
    <w:rsid w:val="00497980"/>
    <w:rsid w:val="00497DEE"/>
    <w:rsid w:val="00497E72"/>
    <w:rsid w:val="004A042B"/>
    <w:rsid w:val="004A0874"/>
    <w:rsid w:val="004A09A8"/>
    <w:rsid w:val="004A190B"/>
    <w:rsid w:val="004A271C"/>
    <w:rsid w:val="004A2735"/>
    <w:rsid w:val="004A287A"/>
    <w:rsid w:val="004A2C43"/>
    <w:rsid w:val="004A3740"/>
    <w:rsid w:val="004A3E33"/>
    <w:rsid w:val="004A40C8"/>
    <w:rsid w:val="004A43CD"/>
    <w:rsid w:val="004A4CC9"/>
    <w:rsid w:val="004A4D31"/>
    <w:rsid w:val="004A4DAC"/>
    <w:rsid w:val="004A4F70"/>
    <w:rsid w:val="004A4FAE"/>
    <w:rsid w:val="004A55E1"/>
    <w:rsid w:val="004A5C2E"/>
    <w:rsid w:val="004A668E"/>
    <w:rsid w:val="004A66CF"/>
    <w:rsid w:val="004A67AE"/>
    <w:rsid w:val="004A6B8B"/>
    <w:rsid w:val="004A6DC8"/>
    <w:rsid w:val="004A6F06"/>
    <w:rsid w:val="004A723D"/>
    <w:rsid w:val="004A72DD"/>
    <w:rsid w:val="004A780C"/>
    <w:rsid w:val="004A7D56"/>
    <w:rsid w:val="004A7EE1"/>
    <w:rsid w:val="004A7FEA"/>
    <w:rsid w:val="004B00E8"/>
    <w:rsid w:val="004B04D4"/>
    <w:rsid w:val="004B06C4"/>
    <w:rsid w:val="004B10CE"/>
    <w:rsid w:val="004B1467"/>
    <w:rsid w:val="004B19EA"/>
    <w:rsid w:val="004B23D6"/>
    <w:rsid w:val="004B2462"/>
    <w:rsid w:val="004B2507"/>
    <w:rsid w:val="004B27C1"/>
    <w:rsid w:val="004B295B"/>
    <w:rsid w:val="004B29BF"/>
    <w:rsid w:val="004B2BCD"/>
    <w:rsid w:val="004B2D94"/>
    <w:rsid w:val="004B2F07"/>
    <w:rsid w:val="004B2FFF"/>
    <w:rsid w:val="004B3B93"/>
    <w:rsid w:val="004B40EC"/>
    <w:rsid w:val="004B422C"/>
    <w:rsid w:val="004B455D"/>
    <w:rsid w:val="004B45E0"/>
    <w:rsid w:val="004B47BE"/>
    <w:rsid w:val="004B520C"/>
    <w:rsid w:val="004B58CF"/>
    <w:rsid w:val="004B59FC"/>
    <w:rsid w:val="004B5C0C"/>
    <w:rsid w:val="004B67D0"/>
    <w:rsid w:val="004B6ADD"/>
    <w:rsid w:val="004B6AEF"/>
    <w:rsid w:val="004B6D34"/>
    <w:rsid w:val="004B72E9"/>
    <w:rsid w:val="004B740A"/>
    <w:rsid w:val="004B7797"/>
    <w:rsid w:val="004B7A83"/>
    <w:rsid w:val="004B7ED6"/>
    <w:rsid w:val="004B7F4F"/>
    <w:rsid w:val="004C0DC8"/>
    <w:rsid w:val="004C128E"/>
    <w:rsid w:val="004C138D"/>
    <w:rsid w:val="004C14E8"/>
    <w:rsid w:val="004C1816"/>
    <w:rsid w:val="004C1895"/>
    <w:rsid w:val="004C1DF7"/>
    <w:rsid w:val="004C1FDC"/>
    <w:rsid w:val="004C290B"/>
    <w:rsid w:val="004C3C80"/>
    <w:rsid w:val="004C4110"/>
    <w:rsid w:val="004C4FD8"/>
    <w:rsid w:val="004C5391"/>
    <w:rsid w:val="004C5B94"/>
    <w:rsid w:val="004C5C55"/>
    <w:rsid w:val="004C5ED2"/>
    <w:rsid w:val="004C5F45"/>
    <w:rsid w:val="004C6175"/>
    <w:rsid w:val="004C6301"/>
    <w:rsid w:val="004C6D40"/>
    <w:rsid w:val="004C7183"/>
    <w:rsid w:val="004C72E5"/>
    <w:rsid w:val="004C74B8"/>
    <w:rsid w:val="004C74DE"/>
    <w:rsid w:val="004C7646"/>
    <w:rsid w:val="004C77F5"/>
    <w:rsid w:val="004C7A7A"/>
    <w:rsid w:val="004C7D5E"/>
    <w:rsid w:val="004C7E40"/>
    <w:rsid w:val="004D00E2"/>
    <w:rsid w:val="004D01E7"/>
    <w:rsid w:val="004D04D1"/>
    <w:rsid w:val="004D0BAE"/>
    <w:rsid w:val="004D0CFE"/>
    <w:rsid w:val="004D0D11"/>
    <w:rsid w:val="004D0EEC"/>
    <w:rsid w:val="004D0FE9"/>
    <w:rsid w:val="004D121F"/>
    <w:rsid w:val="004D1271"/>
    <w:rsid w:val="004D1670"/>
    <w:rsid w:val="004D1753"/>
    <w:rsid w:val="004D1847"/>
    <w:rsid w:val="004D1F1E"/>
    <w:rsid w:val="004D2107"/>
    <w:rsid w:val="004D2155"/>
    <w:rsid w:val="004D218E"/>
    <w:rsid w:val="004D24AC"/>
    <w:rsid w:val="004D2C88"/>
    <w:rsid w:val="004D2D7F"/>
    <w:rsid w:val="004D3206"/>
    <w:rsid w:val="004D33DC"/>
    <w:rsid w:val="004D3B42"/>
    <w:rsid w:val="004D3FE0"/>
    <w:rsid w:val="004D45F9"/>
    <w:rsid w:val="004D4B45"/>
    <w:rsid w:val="004D505B"/>
    <w:rsid w:val="004D5236"/>
    <w:rsid w:val="004D5BA1"/>
    <w:rsid w:val="004D5DEB"/>
    <w:rsid w:val="004D5E88"/>
    <w:rsid w:val="004D6181"/>
    <w:rsid w:val="004D619F"/>
    <w:rsid w:val="004D65FF"/>
    <w:rsid w:val="004D6724"/>
    <w:rsid w:val="004D67DD"/>
    <w:rsid w:val="004D6898"/>
    <w:rsid w:val="004D6F53"/>
    <w:rsid w:val="004D724A"/>
    <w:rsid w:val="004D737C"/>
    <w:rsid w:val="004D78CA"/>
    <w:rsid w:val="004D7992"/>
    <w:rsid w:val="004D7BAD"/>
    <w:rsid w:val="004D7C05"/>
    <w:rsid w:val="004E0004"/>
    <w:rsid w:val="004E06F3"/>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4DE"/>
    <w:rsid w:val="004E352F"/>
    <w:rsid w:val="004E35E3"/>
    <w:rsid w:val="004E38B3"/>
    <w:rsid w:val="004E3F8D"/>
    <w:rsid w:val="004E405C"/>
    <w:rsid w:val="004E4191"/>
    <w:rsid w:val="004E43C5"/>
    <w:rsid w:val="004E5131"/>
    <w:rsid w:val="004E54FA"/>
    <w:rsid w:val="004E59F4"/>
    <w:rsid w:val="004E5A6A"/>
    <w:rsid w:val="004E5CF3"/>
    <w:rsid w:val="004E5DE9"/>
    <w:rsid w:val="004E5EBD"/>
    <w:rsid w:val="004E61BF"/>
    <w:rsid w:val="004E62BB"/>
    <w:rsid w:val="004E62CE"/>
    <w:rsid w:val="004E6529"/>
    <w:rsid w:val="004E6E27"/>
    <w:rsid w:val="004E73B9"/>
    <w:rsid w:val="004E746D"/>
    <w:rsid w:val="004E747F"/>
    <w:rsid w:val="004E7B4A"/>
    <w:rsid w:val="004F0AC0"/>
    <w:rsid w:val="004F0BBD"/>
    <w:rsid w:val="004F0C3C"/>
    <w:rsid w:val="004F0FB7"/>
    <w:rsid w:val="004F147A"/>
    <w:rsid w:val="004F14BB"/>
    <w:rsid w:val="004F1987"/>
    <w:rsid w:val="004F19E0"/>
    <w:rsid w:val="004F1A01"/>
    <w:rsid w:val="004F1C44"/>
    <w:rsid w:val="004F1F2A"/>
    <w:rsid w:val="004F2631"/>
    <w:rsid w:val="004F2761"/>
    <w:rsid w:val="004F2B31"/>
    <w:rsid w:val="004F354E"/>
    <w:rsid w:val="004F3D6A"/>
    <w:rsid w:val="004F451F"/>
    <w:rsid w:val="004F4550"/>
    <w:rsid w:val="004F479B"/>
    <w:rsid w:val="004F4829"/>
    <w:rsid w:val="004F5801"/>
    <w:rsid w:val="004F588D"/>
    <w:rsid w:val="004F5AB2"/>
    <w:rsid w:val="004F5DD8"/>
    <w:rsid w:val="004F60C3"/>
    <w:rsid w:val="004F63FC"/>
    <w:rsid w:val="004F65BF"/>
    <w:rsid w:val="004F665E"/>
    <w:rsid w:val="004F727F"/>
    <w:rsid w:val="004F7949"/>
    <w:rsid w:val="004F79BC"/>
    <w:rsid w:val="004F7D38"/>
    <w:rsid w:val="004F7DEC"/>
    <w:rsid w:val="00500A68"/>
    <w:rsid w:val="005015B8"/>
    <w:rsid w:val="00501781"/>
    <w:rsid w:val="00501CED"/>
    <w:rsid w:val="00501DCA"/>
    <w:rsid w:val="00501EDB"/>
    <w:rsid w:val="00502093"/>
    <w:rsid w:val="00502310"/>
    <w:rsid w:val="0050238F"/>
    <w:rsid w:val="005026AF"/>
    <w:rsid w:val="00502CE0"/>
    <w:rsid w:val="00503836"/>
    <w:rsid w:val="00503912"/>
    <w:rsid w:val="00503994"/>
    <w:rsid w:val="00503E5E"/>
    <w:rsid w:val="005040B9"/>
    <w:rsid w:val="00504100"/>
    <w:rsid w:val="005042AA"/>
    <w:rsid w:val="005044C6"/>
    <w:rsid w:val="00504D57"/>
    <w:rsid w:val="00504E58"/>
    <w:rsid w:val="00505167"/>
    <w:rsid w:val="00505A92"/>
    <w:rsid w:val="00506192"/>
    <w:rsid w:val="005061F1"/>
    <w:rsid w:val="005062A2"/>
    <w:rsid w:val="00506330"/>
    <w:rsid w:val="00506351"/>
    <w:rsid w:val="00506389"/>
    <w:rsid w:val="00506E9C"/>
    <w:rsid w:val="00507114"/>
    <w:rsid w:val="005071C1"/>
    <w:rsid w:val="005073ED"/>
    <w:rsid w:val="00507613"/>
    <w:rsid w:val="005078B7"/>
    <w:rsid w:val="00507F2E"/>
    <w:rsid w:val="005101FE"/>
    <w:rsid w:val="00510AA3"/>
    <w:rsid w:val="00510FC4"/>
    <w:rsid w:val="00511043"/>
    <w:rsid w:val="005113BA"/>
    <w:rsid w:val="005114DA"/>
    <w:rsid w:val="005115EA"/>
    <w:rsid w:val="00511B43"/>
    <w:rsid w:val="00511C84"/>
    <w:rsid w:val="00511CF8"/>
    <w:rsid w:val="00512467"/>
    <w:rsid w:val="0051283C"/>
    <w:rsid w:val="0051286E"/>
    <w:rsid w:val="00512B85"/>
    <w:rsid w:val="00513017"/>
    <w:rsid w:val="00513415"/>
    <w:rsid w:val="00513952"/>
    <w:rsid w:val="005139D4"/>
    <w:rsid w:val="00513B89"/>
    <w:rsid w:val="00513C5F"/>
    <w:rsid w:val="0051404C"/>
    <w:rsid w:val="0051454D"/>
    <w:rsid w:val="0051456D"/>
    <w:rsid w:val="005151CF"/>
    <w:rsid w:val="00515218"/>
    <w:rsid w:val="005152E7"/>
    <w:rsid w:val="005153D7"/>
    <w:rsid w:val="0051562E"/>
    <w:rsid w:val="005160D3"/>
    <w:rsid w:val="0051689B"/>
    <w:rsid w:val="00516955"/>
    <w:rsid w:val="00516F25"/>
    <w:rsid w:val="0051737F"/>
    <w:rsid w:val="00517C22"/>
    <w:rsid w:val="00517D81"/>
    <w:rsid w:val="00520120"/>
    <w:rsid w:val="00520297"/>
    <w:rsid w:val="005203F1"/>
    <w:rsid w:val="00520AF7"/>
    <w:rsid w:val="00520B48"/>
    <w:rsid w:val="00520F0D"/>
    <w:rsid w:val="00521456"/>
    <w:rsid w:val="00521587"/>
    <w:rsid w:val="005215DE"/>
    <w:rsid w:val="00521BC3"/>
    <w:rsid w:val="00521D8D"/>
    <w:rsid w:val="00522008"/>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4E10"/>
    <w:rsid w:val="00525585"/>
    <w:rsid w:val="0052572C"/>
    <w:rsid w:val="00525C12"/>
    <w:rsid w:val="00525DB7"/>
    <w:rsid w:val="00526037"/>
    <w:rsid w:val="005261C3"/>
    <w:rsid w:val="00526508"/>
    <w:rsid w:val="005266F5"/>
    <w:rsid w:val="00526BC3"/>
    <w:rsid w:val="0052714C"/>
    <w:rsid w:val="005271BF"/>
    <w:rsid w:val="005274CB"/>
    <w:rsid w:val="00527539"/>
    <w:rsid w:val="00527774"/>
    <w:rsid w:val="005277AF"/>
    <w:rsid w:val="00527F76"/>
    <w:rsid w:val="005300A2"/>
    <w:rsid w:val="00530182"/>
    <w:rsid w:val="0053020D"/>
    <w:rsid w:val="0053078F"/>
    <w:rsid w:val="00530999"/>
    <w:rsid w:val="00530AE1"/>
    <w:rsid w:val="00530D58"/>
    <w:rsid w:val="00530E27"/>
    <w:rsid w:val="005312D7"/>
    <w:rsid w:val="00531A34"/>
    <w:rsid w:val="00531B5C"/>
    <w:rsid w:val="00531B6E"/>
    <w:rsid w:val="00532795"/>
    <w:rsid w:val="00532999"/>
    <w:rsid w:val="00532B85"/>
    <w:rsid w:val="00532C69"/>
    <w:rsid w:val="00532CA3"/>
    <w:rsid w:val="005330B6"/>
    <w:rsid w:val="00533106"/>
    <w:rsid w:val="00533632"/>
    <w:rsid w:val="00533800"/>
    <w:rsid w:val="00533D0E"/>
    <w:rsid w:val="005348EA"/>
    <w:rsid w:val="00534D75"/>
    <w:rsid w:val="00534EAB"/>
    <w:rsid w:val="00534FAB"/>
    <w:rsid w:val="0053555B"/>
    <w:rsid w:val="005358FC"/>
    <w:rsid w:val="0053601D"/>
    <w:rsid w:val="005364D5"/>
    <w:rsid w:val="005366F9"/>
    <w:rsid w:val="00536772"/>
    <w:rsid w:val="00536794"/>
    <w:rsid w:val="0053695E"/>
    <w:rsid w:val="00536CB4"/>
    <w:rsid w:val="005370E6"/>
    <w:rsid w:val="00537571"/>
    <w:rsid w:val="0053788F"/>
    <w:rsid w:val="00537991"/>
    <w:rsid w:val="00537B0C"/>
    <w:rsid w:val="00537CA8"/>
    <w:rsid w:val="0054021D"/>
    <w:rsid w:val="005408F3"/>
    <w:rsid w:val="00540FB4"/>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404"/>
    <w:rsid w:val="00545486"/>
    <w:rsid w:val="00545B04"/>
    <w:rsid w:val="00545B69"/>
    <w:rsid w:val="00545FE5"/>
    <w:rsid w:val="00546140"/>
    <w:rsid w:val="005468CE"/>
    <w:rsid w:val="00546E95"/>
    <w:rsid w:val="00546FAE"/>
    <w:rsid w:val="00547121"/>
    <w:rsid w:val="0054730B"/>
    <w:rsid w:val="00547367"/>
    <w:rsid w:val="00547676"/>
    <w:rsid w:val="00547BBC"/>
    <w:rsid w:val="00550B09"/>
    <w:rsid w:val="0055139C"/>
    <w:rsid w:val="005518A5"/>
    <w:rsid w:val="00551CCB"/>
    <w:rsid w:val="005520D8"/>
    <w:rsid w:val="00552262"/>
    <w:rsid w:val="005528D8"/>
    <w:rsid w:val="0055291F"/>
    <w:rsid w:val="00552D80"/>
    <w:rsid w:val="00553BFA"/>
    <w:rsid w:val="00553D49"/>
    <w:rsid w:val="00553EE7"/>
    <w:rsid w:val="005540B0"/>
    <w:rsid w:val="00554394"/>
    <w:rsid w:val="00555389"/>
    <w:rsid w:val="00555529"/>
    <w:rsid w:val="00555A60"/>
    <w:rsid w:val="00555A81"/>
    <w:rsid w:val="00556090"/>
    <w:rsid w:val="00556147"/>
    <w:rsid w:val="00556449"/>
    <w:rsid w:val="0055673B"/>
    <w:rsid w:val="00556CF1"/>
    <w:rsid w:val="00556F53"/>
    <w:rsid w:val="005600D9"/>
    <w:rsid w:val="00560202"/>
    <w:rsid w:val="00560474"/>
    <w:rsid w:val="0056095D"/>
    <w:rsid w:val="00560C17"/>
    <w:rsid w:val="005612D4"/>
    <w:rsid w:val="005617E4"/>
    <w:rsid w:val="00561894"/>
    <w:rsid w:val="00561B0F"/>
    <w:rsid w:val="00561C51"/>
    <w:rsid w:val="00561C7B"/>
    <w:rsid w:val="00561E79"/>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FA8"/>
    <w:rsid w:val="005641E0"/>
    <w:rsid w:val="005645BF"/>
    <w:rsid w:val="00564742"/>
    <w:rsid w:val="005649C1"/>
    <w:rsid w:val="00564A8D"/>
    <w:rsid w:val="00564E1C"/>
    <w:rsid w:val="00564EF9"/>
    <w:rsid w:val="0056505F"/>
    <w:rsid w:val="005650A1"/>
    <w:rsid w:val="00565236"/>
    <w:rsid w:val="0056525E"/>
    <w:rsid w:val="0056559C"/>
    <w:rsid w:val="005657D5"/>
    <w:rsid w:val="00565A14"/>
    <w:rsid w:val="00565C54"/>
    <w:rsid w:val="00566406"/>
    <w:rsid w:val="00566920"/>
    <w:rsid w:val="00566BE3"/>
    <w:rsid w:val="0056729D"/>
    <w:rsid w:val="00567388"/>
    <w:rsid w:val="00567771"/>
    <w:rsid w:val="0056794A"/>
    <w:rsid w:val="00567C4D"/>
    <w:rsid w:val="00567FF8"/>
    <w:rsid w:val="00570022"/>
    <w:rsid w:val="005701A4"/>
    <w:rsid w:val="00570308"/>
    <w:rsid w:val="00570F52"/>
    <w:rsid w:val="00570F61"/>
    <w:rsid w:val="00570F6C"/>
    <w:rsid w:val="00571186"/>
    <w:rsid w:val="005714E3"/>
    <w:rsid w:val="0057184E"/>
    <w:rsid w:val="005719BF"/>
    <w:rsid w:val="00571CE7"/>
    <w:rsid w:val="0057203E"/>
    <w:rsid w:val="005722D6"/>
    <w:rsid w:val="005723C6"/>
    <w:rsid w:val="005723CE"/>
    <w:rsid w:val="0057261A"/>
    <w:rsid w:val="00572920"/>
    <w:rsid w:val="00572A17"/>
    <w:rsid w:val="00572AEF"/>
    <w:rsid w:val="00572DE6"/>
    <w:rsid w:val="0057335D"/>
    <w:rsid w:val="00573603"/>
    <w:rsid w:val="00573E20"/>
    <w:rsid w:val="0057429C"/>
    <w:rsid w:val="00574356"/>
    <w:rsid w:val="00574AA7"/>
    <w:rsid w:val="00575027"/>
    <w:rsid w:val="00575415"/>
    <w:rsid w:val="0057550B"/>
    <w:rsid w:val="00575688"/>
    <w:rsid w:val="005759BB"/>
    <w:rsid w:val="005759D6"/>
    <w:rsid w:val="00575B6C"/>
    <w:rsid w:val="00575B80"/>
    <w:rsid w:val="005762A7"/>
    <w:rsid w:val="00576599"/>
    <w:rsid w:val="005768EC"/>
    <w:rsid w:val="00576ADD"/>
    <w:rsid w:val="005775DC"/>
    <w:rsid w:val="005776B2"/>
    <w:rsid w:val="00577A36"/>
    <w:rsid w:val="00577B34"/>
    <w:rsid w:val="00577CC6"/>
    <w:rsid w:val="0058013B"/>
    <w:rsid w:val="0058017E"/>
    <w:rsid w:val="00580871"/>
    <w:rsid w:val="0058096C"/>
    <w:rsid w:val="00580A17"/>
    <w:rsid w:val="00581218"/>
    <w:rsid w:val="00581E16"/>
    <w:rsid w:val="00582135"/>
    <w:rsid w:val="0058284C"/>
    <w:rsid w:val="005829D9"/>
    <w:rsid w:val="00583392"/>
    <w:rsid w:val="0058371E"/>
    <w:rsid w:val="00583763"/>
    <w:rsid w:val="005837C3"/>
    <w:rsid w:val="005837D6"/>
    <w:rsid w:val="00583C35"/>
    <w:rsid w:val="00583CED"/>
    <w:rsid w:val="00583D4D"/>
    <w:rsid w:val="0058419D"/>
    <w:rsid w:val="00584272"/>
    <w:rsid w:val="00584849"/>
    <w:rsid w:val="0058498B"/>
    <w:rsid w:val="00584F37"/>
    <w:rsid w:val="00585089"/>
    <w:rsid w:val="005850D7"/>
    <w:rsid w:val="0058559C"/>
    <w:rsid w:val="005856F9"/>
    <w:rsid w:val="00585F9F"/>
    <w:rsid w:val="0058616C"/>
    <w:rsid w:val="00586632"/>
    <w:rsid w:val="00586E83"/>
    <w:rsid w:val="00587575"/>
    <w:rsid w:val="00587793"/>
    <w:rsid w:val="00587D44"/>
    <w:rsid w:val="00590924"/>
    <w:rsid w:val="00590DAE"/>
    <w:rsid w:val="005916D7"/>
    <w:rsid w:val="00591922"/>
    <w:rsid w:val="00591ADE"/>
    <w:rsid w:val="00591DA8"/>
    <w:rsid w:val="00591F6C"/>
    <w:rsid w:val="00592364"/>
    <w:rsid w:val="00592519"/>
    <w:rsid w:val="0059252B"/>
    <w:rsid w:val="0059266F"/>
    <w:rsid w:val="005928D2"/>
    <w:rsid w:val="00593016"/>
    <w:rsid w:val="005932C5"/>
    <w:rsid w:val="00593D9B"/>
    <w:rsid w:val="00593E67"/>
    <w:rsid w:val="005943F7"/>
    <w:rsid w:val="00594663"/>
    <w:rsid w:val="0059468D"/>
    <w:rsid w:val="0059495B"/>
    <w:rsid w:val="00594A07"/>
    <w:rsid w:val="00594BF2"/>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A001B"/>
    <w:rsid w:val="005A05DB"/>
    <w:rsid w:val="005A0BE9"/>
    <w:rsid w:val="005A19B5"/>
    <w:rsid w:val="005A1AFC"/>
    <w:rsid w:val="005A2654"/>
    <w:rsid w:val="005A2CE4"/>
    <w:rsid w:val="005A304D"/>
    <w:rsid w:val="005A3A01"/>
    <w:rsid w:val="005A3A30"/>
    <w:rsid w:val="005A3E67"/>
    <w:rsid w:val="005A438D"/>
    <w:rsid w:val="005A43C6"/>
    <w:rsid w:val="005A4716"/>
    <w:rsid w:val="005A478A"/>
    <w:rsid w:val="005A525B"/>
    <w:rsid w:val="005A5A2D"/>
    <w:rsid w:val="005A5D06"/>
    <w:rsid w:val="005A63A1"/>
    <w:rsid w:val="005A698C"/>
    <w:rsid w:val="005A732F"/>
    <w:rsid w:val="005A7816"/>
    <w:rsid w:val="005A7A22"/>
    <w:rsid w:val="005A7DB3"/>
    <w:rsid w:val="005B0021"/>
    <w:rsid w:val="005B0141"/>
    <w:rsid w:val="005B0566"/>
    <w:rsid w:val="005B07F3"/>
    <w:rsid w:val="005B09F1"/>
    <w:rsid w:val="005B0A1E"/>
    <w:rsid w:val="005B0B0F"/>
    <w:rsid w:val="005B1318"/>
    <w:rsid w:val="005B1371"/>
    <w:rsid w:val="005B141B"/>
    <w:rsid w:val="005B219E"/>
    <w:rsid w:val="005B2295"/>
    <w:rsid w:val="005B2388"/>
    <w:rsid w:val="005B24BA"/>
    <w:rsid w:val="005B2728"/>
    <w:rsid w:val="005B29E6"/>
    <w:rsid w:val="005B2D41"/>
    <w:rsid w:val="005B3568"/>
    <w:rsid w:val="005B372D"/>
    <w:rsid w:val="005B380A"/>
    <w:rsid w:val="005B4112"/>
    <w:rsid w:val="005B4279"/>
    <w:rsid w:val="005B4791"/>
    <w:rsid w:val="005B4A83"/>
    <w:rsid w:val="005B4CC0"/>
    <w:rsid w:val="005B4CD4"/>
    <w:rsid w:val="005B4D89"/>
    <w:rsid w:val="005B550D"/>
    <w:rsid w:val="005B58E6"/>
    <w:rsid w:val="005B5B5F"/>
    <w:rsid w:val="005B5F45"/>
    <w:rsid w:val="005B6279"/>
    <w:rsid w:val="005B6AB8"/>
    <w:rsid w:val="005B6D80"/>
    <w:rsid w:val="005B7006"/>
    <w:rsid w:val="005B71B6"/>
    <w:rsid w:val="005B7496"/>
    <w:rsid w:val="005B791A"/>
    <w:rsid w:val="005B7A27"/>
    <w:rsid w:val="005B7C30"/>
    <w:rsid w:val="005B7CA7"/>
    <w:rsid w:val="005B7EB2"/>
    <w:rsid w:val="005B7F42"/>
    <w:rsid w:val="005B7F85"/>
    <w:rsid w:val="005C01F9"/>
    <w:rsid w:val="005C0318"/>
    <w:rsid w:val="005C037B"/>
    <w:rsid w:val="005C05BD"/>
    <w:rsid w:val="005C05DF"/>
    <w:rsid w:val="005C0AC6"/>
    <w:rsid w:val="005C0C24"/>
    <w:rsid w:val="005C0C64"/>
    <w:rsid w:val="005C0DFA"/>
    <w:rsid w:val="005C0FAE"/>
    <w:rsid w:val="005C12DB"/>
    <w:rsid w:val="005C135A"/>
    <w:rsid w:val="005C178D"/>
    <w:rsid w:val="005C1C9C"/>
    <w:rsid w:val="005C1D0C"/>
    <w:rsid w:val="005C2EF4"/>
    <w:rsid w:val="005C3010"/>
    <w:rsid w:val="005C3389"/>
    <w:rsid w:val="005C35A7"/>
    <w:rsid w:val="005C3823"/>
    <w:rsid w:val="005C3996"/>
    <w:rsid w:val="005C3A6F"/>
    <w:rsid w:val="005C3AD0"/>
    <w:rsid w:val="005C44D8"/>
    <w:rsid w:val="005C47B0"/>
    <w:rsid w:val="005C4825"/>
    <w:rsid w:val="005C5099"/>
    <w:rsid w:val="005C56C5"/>
    <w:rsid w:val="005C5A0C"/>
    <w:rsid w:val="005C5D6C"/>
    <w:rsid w:val="005C5E14"/>
    <w:rsid w:val="005C6731"/>
    <w:rsid w:val="005C6B7B"/>
    <w:rsid w:val="005C6D0F"/>
    <w:rsid w:val="005C6E92"/>
    <w:rsid w:val="005C7174"/>
    <w:rsid w:val="005C72FE"/>
    <w:rsid w:val="005C73B2"/>
    <w:rsid w:val="005C73EC"/>
    <w:rsid w:val="005C7AD7"/>
    <w:rsid w:val="005C7E22"/>
    <w:rsid w:val="005D003D"/>
    <w:rsid w:val="005D00DC"/>
    <w:rsid w:val="005D00EA"/>
    <w:rsid w:val="005D00F5"/>
    <w:rsid w:val="005D01AC"/>
    <w:rsid w:val="005D0932"/>
    <w:rsid w:val="005D0F94"/>
    <w:rsid w:val="005D146F"/>
    <w:rsid w:val="005D14EC"/>
    <w:rsid w:val="005D1B18"/>
    <w:rsid w:val="005D1BD4"/>
    <w:rsid w:val="005D1D2D"/>
    <w:rsid w:val="005D1DEE"/>
    <w:rsid w:val="005D220F"/>
    <w:rsid w:val="005D2A01"/>
    <w:rsid w:val="005D2DAC"/>
    <w:rsid w:val="005D2F8B"/>
    <w:rsid w:val="005D310D"/>
    <w:rsid w:val="005D3CFF"/>
    <w:rsid w:val="005D462F"/>
    <w:rsid w:val="005D48C7"/>
    <w:rsid w:val="005D4E87"/>
    <w:rsid w:val="005D4F67"/>
    <w:rsid w:val="005D500F"/>
    <w:rsid w:val="005D51FE"/>
    <w:rsid w:val="005D54B2"/>
    <w:rsid w:val="005D5A7F"/>
    <w:rsid w:val="005D5F8F"/>
    <w:rsid w:val="005D6168"/>
    <w:rsid w:val="005D62EA"/>
    <w:rsid w:val="005D6ABE"/>
    <w:rsid w:val="005D7222"/>
    <w:rsid w:val="005D763D"/>
    <w:rsid w:val="005D7656"/>
    <w:rsid w:val="005D77AE"/>
    <w:rsid w:val="005D78B9"/>
    <w:rsid w:val="005D7B52"/>
    <w:rsid w:val="005D7DC5"/>
    <w:rsid w:val="005E004A"/>
    <w:rsid w:val="005E010E"/>
    <w:rsid w:val="005E01B3"/>
    <w:rsid w:val="005E0799"/>
    <w:rsid w:val="005E0EA1"/>
    <w:rsid w:val="005E0F03"/>
    <w:rsid w:val="005E0F49"/>
    <w:rsid w:val="005E1139"/>
    <w:rsid w:val="005E1759"/>
    <w:rsid w:val="005E187A"/>
    <w:rsid w:val="005E19F8"/>
    <w:rsid w:val="005E1B7F"/>
    <w:rsid w:val="005E1BAA"/>
    <w:rsid w:val="005E1DD3"/>
    <w:rsid w:val="005E2282"/>
    <w:rsid w:val="005E24D5"/>
    <w:rsid w:val="005E26B1"/>
    <w:rsid w:val="005E2D7E"/>
    <w:rsid w:val="005E3502"/>
    <w:rsid w:val="005E3773"/>
    <w:rsid w:val="005E3ACA"/>
    <w:rsid w:val="005E3B91"/>
    <w:rsid w:val="005E40FA"/>
    <w:rsid w:val="005E4102"/>
    <w:rsid w:val="005E428D"/>
    <w:rsid w:val="005E4B01"/>
    <w:rsid w:val="005E4CDA"/>
    <w:rsid w:val="005E4F2F"/>
    <w:rsid w:val="005E53CC"/>
    <w:rsid w:val="005E5A61"/>
    <w:rsid w:val="005E5E42"/>
    <w:rsid w:val="005E61CD"/>
    <w:rsid w:val="005E6303"/>
    <w:rsid w:val="005E6395"/>
    <w:rsid w:val="005E6521"/>
    <w:rsid w:val="005E6EEA"/>
    <w:rsid w:val="005E711F"/>
    <w:rsid w:val="005E7430"/>
    <w:rsid w:val="005E762C"/>
    <w:rsid w:val="005E77BE"/>
    <w:rsid w:val="005E7939"/>
    <w:rsid w:val="005E7C31"/>
    <w:rsid w:val="005E7EF1"/>
    <w:rsid w:val="005E7FA3"/>
    <w:rsid w:val="005F0BE2"/>
    <w:rsid w:val="005F0E58"/>
    <w:rsid w:val="005F1614"/>
    <w:rsid w:val="005F1D1B"/>
    <w:rsid w:val="005F1F55"/>
    <w:rsid w:val="005F1FBD"/>
    <w:rsid w:val="005F2D0E"/>
    <w:rsid w:val="005F32FB"/>
    <w:rsid w:val="005F3410"/>
    <w:rsid w:val="005F341A"/>
    <w:rsid w:val="005F388C"/>
    <w:rsid w:val="005F3BA8"/>
    <w:rsid w:val="005F3C33"/>
    <w:rsid w:val="005F3CBE"/>
    <w:rsid w:val="005F3D75"/>
    <w:rsid w:val="005F3ED7"/>
    <w:rsid w:val="005F4177"/>
    <w:rsid w:val="005F41AE"/>
    <w:rsid w:val="005F4354"/>
    <w:rsid w:val="005F465D"/>
    <w:rsid w:val="005F4A3F"/>
    <w:rsid w:val="005F4E82"/>
    <w:rsid w:val="005F51D9"/>
    <w:rsid w:val="005F53A9"/>
    <w:rsid w:val="005F5485"/>
    <w:rsid w:val="005F5559"/>
    <w:rsid w:val="005F58A5"/>
    <w:rsid w:val="005F58B7"/>
    <w:rsid w:val="005F5A80"/>
    <w:rsid w:val="005F5E57"/>
    <w:rsid w:val="005F60A9"/>
    <w:rsid w:val="005F6673"/>
    <w:rsid w:val="005F6847"/>
    <w:rsid w:val="005F72F9"/>
    <w:rsid w:val="005F733D"/>
    <w:rsid w:val="005F75AE"/>
    <w:rsid w:val="005F7E2E"/>
    <w:rsid w:val="005F7E65"/>
    <w:rsid w:val="00600BB8"/>
    <w:rsid w:val="00600CA9"/>
    <w:rsid w:val="006019C7"/>
    <w:rsid w:val="00601C0F"/>
    <w:rsid w:val="00601EAB"/>
    <w:rsid w:val="00602C22"/>
    <w:rsid w:val="00602F46"/>
    <w:rsid w:val="006030A7"/>
    <w:rsid w:val="00603370"/>
    <w:rsid w:val="0060341C"/>
    <w:rsid w:val="006037B9"/>
    <w:rsid w:val="00603A0A"/>
    <w:rsid w:val="00603EA1"/>
    <w:rsid w:val="006044FF"/>
    <w:rsid w:val="006057E3"/>
    <w:rsid w:val="00605A47"/>
    <w:rsid w:val="00605CF3"/>
    <w:rsid w:val="00605E07"/>
    <w:rsid w:val="00605E08"/>
    <w:rsid w:val="00606325"/>
    <w:rsid w:val="006063A7"/>
    <w:rsid w:val="006063FF"/>
    <w:rsid w:val="006067D9"/>
    <w:rsid w:val="00606D33"/>
    <w:rsid w:val="006071C8"/>
    <w:rsid w:val="00607412"/>
    <w:rsid w:val="00607562"/>
    <w:rsid w:val="0060797A"/>
    <w:rsid w:val="00607AC6"/>
    <w:rsid w:val="00607CB4"/>
    <w:rsid w:val="00607CC5"/>
    <w:rsid w:val="00607EF5"/>
    <w:rsid w:val="00610402"/>
    <w:rsid w:val="0061059E"/>
    <w:rsid w:val="0061087A"/>
    <w:rsid w:val="00610CA4"/>
    <w:rsid w:val="00611537"/>
    <w:rsid w:val="00611718"/>
    <w:rsid w:val="006119DF"/>
    <w:rsid w:val="00611B41"/>
    <w:rsid w:val="00611C8E"/>
    <w:rsid w:val="00611DF8"/>
    <w:rsid w:val="00611F13"/>
    <w:rsid w:val="0061208F"/>
    <w:rsid w:val="006120C0"/>
    <w:rsid w:val="00612D51"/>
    <w:rsid w:val="00613005"/>
    <w:rsid w:val="00613340"/>
    <w:rsid w:val="006135AB"/>
    <w:rsid w:val="00613B5D"/>
    <w:rsid w:val="00613E28"/>
    <w:rsid w:val="00614060"/>
    <w:rsid w:val="0061444E"/>
    <w:rsid w:val="00614518"/>
    <w:rsid w:val="006148B5"/>
    <w:rsid w:val="00615382"/>
    <w:rsid w:val="00615486"/>
    <w:rsid w:val="006155B7"/>
    <w:rsid w:val="006157C3"/>
    <w:rsid w:val="00615910"/>
    <w:rsid w:val="00615E5E"/>
    <w:rsid w:val="0061649C"/>
    <w:rsid w:val="00616609"/>
    <w:rsid w:val="006166DD"/>
    <w:rsid w:val="00616DE3"/>
    <w:rsid w:val="00616FF9"/>
    <w:rsid w:val="00617130"/>
    <w:rsid w:val="006173A7"/>
    <w:rsid w:val="00617622"/>
    <w:rsid w:val="006177BE"/>
    <w:rsid w:val="00617804"/>
    <w:rsid w:val="00617888"/>
    <w:rsid w:val="00620178"/>
    <w:rsid w:val="0062027E"/>
    <w:rsid w:val="00620CC7"/>
    <w:rsid w:val="00620DBC"/>
    <w:rsid w:val="00621116"/>
    <w:rsid w:val="00621793"/>
    <w:rsid w:val="00621E3A"/>
    <w:rsid w:val="00622096"/>
    <w:rsid w:val="00622D8F"/>
    <w:rsid w:val="00623073"/>
    <w:rsid w:val="006230AF"/>
    <w:rsid w:val="006231F7"/>
    <w:rsid w:val="006237F9"/>
    <w:rsid w:val="00623FEC"/>
    <w:rsid w:val="00624072"/>
    <w:rsid w:val="006242B5"/>
    <w:rsid w:val="006247CF"/>
    <w:rsid w:val="006249A7"/>
    <w:rsid w:val="00624C69"/>
    <w:rsid w:val="006251DF"/>
    <w:rsid w:val="00625486"/>
    <w:rsid w:val="00625663"/>
    <w:rsid w:val="00625787"/>
    <w:rsid w:val="006257C9"/>
    <w:rsid w:val="00625BFA"/>
    <w:rsid w:val="00625FA2"/>
    <w:rsid w:val="00626387"/>
    <w:rsid w:val="006267B9"/>
    <w:rsid w:val="0062717A"/>
    <w:rsid w:val="006271CE"/>
    <w:rsid w:val="00627338"/>
    <w:rsid w:val="0062745D"/>
    <w:rsid w:val="006277D0"/>
    <w:rsid w:val="006277F2"/>
    <w:rsid w:val="00627F8E"/>
    <w:rsid w:val="006309C1"/>
    <w:rsid w:val="00630F32"/>
    <w:rsid w:val="006310A2"/>
    <w:rsid w:val="00631467"/>
    <w:rsid w:val="0063148A"/>
    <w:rsid w:val="00631716"/>
    <w:rsid w:val="00631E2E"/>
    <w:rsid w:val="00632743"/>
    <w:rsid w:val="00632D73"/>
    <w:rsid w:val="00632E12"/>
    <w:rsid w:val="00632E63"/>
    <w:rsid w:val="00633014"/>
    <w:rsid w:val="00633042"/>
    <w:rsid w:val="006330AD"/>
    <w:rsid w:val="00633A99"/>
    <w:rsid w:val="00633BDE"/>
    <w:rsid w:val="0063437B"/>
    <w:rsid w:val="00634604"/>
    <w:rsid w:val="006346C5"/>
    <w:rsid w:val="006348C9"/>
    <w:rsid w:val="0063504A"/>
    <w:rsid w:val="00635856"/>
    <w:rsid w:val="006359B9"/>
    <w:rsid w:val="00636271"/>
    <w:rsid w:val="006364A2"/>
    <w:rsid w:val="00636BFB"/>
    <w:rsid w:val="00636CCB"/>
    <w:rsid w:val="00636D24"/>
    <w:rsid w:val="00636E3E"/>
    <w:rsid w:val="00636E76"/>
    <w:rsid w:val="00636EAC"/>
    <w:rsid w:val="00636FE7"/>
    <w:rsid w:val="006378F3"/>
    <w:rsid w:val="00637AC1"/>
    <w:rsid w:val="00637E0A"/>
    <w:rsid w:val="0064043C"/>
    <w:rsid w:val="00640936"/>
    <w:rsid w:val="006409DA"/>
    <w:rsid w:val="00640D8F"/>
    <w:rsid w:val="006417CE"/>
    <w:rsid w:val="00641E35"/>
    <w:rsid w:val="00641EED"/>
    <w:rsid w:val="00642270"/>
    <w:rsid w:val="0064227E"/>
    <w:rsid w:val="006424AF"/>
    <w:rsid w:val="00642D9F"/>
    <w:rsid w:val="00642DEE"/>
    <w:rsid w:val="00642FE1"/>
    <w:rsid w:val="006433D8"/>
    <w:rsid w:val="00643551"/>
    <w:rsid w:val="0064396B"/>
    <w:rsid w:val="00643AA5"/>
    <w:rsid w:val="00643B82"/>
    <w:rsid w:val="00643BA9"/>
    <w:rsid w:val="006444A7"/>
    <w:rsid w:val="006447B9"/>
    <w:rsid w:val="00644F68"/>
    <w:rsid w:val="00645367"/>
    <w:rsid w:val="00645672"/>
    <w:rsid w:val="00645C4E"/>
    <w:rsid w:val="00645CC8"/>
    <w:rsid w:val="00645D1C"/>
    <w:rsid w:val="00645E35"/>
    <w:rsid w:val="00646037"/>
    <w:rsid w:val="00646336"/>
    <w:rsid w:val="00646C0B"/>
    <w:rsid w:val="00646C31"/>
    <w:rsid w:val="0064738C"/>
    <w:rsid w:val="006476E8"/>
    <w:rsid w:val="0065011D"/>
    <w:rsid w:val="00650670"/>
    <w:rsid w:val="0065068C"/>
    <w:rsid w:val="006508A3"/>
    <w:rsid w:val="006508C3"/>
    <w:rsid w:val="00650D0C"/>
    <w:rsid w:val="00650E91"/>
    <w:rsid w:val="00650F9D"/>
    <w:rsid w:val="00651200"/>
    <w:rsid w:val="006512C6"/>
    <w:rsid w:val="0065162E"/>
    <w:rsid w:val="00651B07"/>
    <w:rsid w:val="00651EDA"/>
    <w:rsid w:val="006520F4"/>
    <w:rsid w:val="00652257"/>
    <w:rsid w:val="00652341"/>
    <w:rsid w:val="006529D1"/>
    <w:rsid w:val="006534C9"/>
    <w:rsid w:val="006536B7"/>
    <w:rsid w:val="006538D8"/>
    <w:rsid w:val="00653B0B"/>
    <w:rsid w:val="00653DBA"/>
    <w:rsid w:val="00653F2C"/>
    <w:rsid w:val="00653F70"/>
    <w:rsid w:val="006541E9"/>
    <w:rsid w:val="0065431C"/>
    <w:rsid w:val="00654508"/>
    <w:rsid w:val="00654A96"/>
    <w:rsid w:val="00654B0C"/>
    <w:rsid w:val="00654BAD"/>
    <w:rsid w:val="00654BC7"/>
    <w:rsid w:val="00654CA2"/>
    <w:rsid w:val="006553AB"/>
    <w:rsid w:val="00655743"/>
    <w:rsid w:val="00655E0F"/>
    <w:rsid w:val="00655FBF"/>
    <w:rsid w:val="006560FA"/>
    <w:rsid w:val="006567D6"/>
    <w:rsid w:val="00656A8C"/>
    <w:rsid w:val="00657001"/>
    <w:rsid w:val="00657386"/>
    <w:rsid w:val="006573AE"/>
    <w:rsid w:val="00657713"/>
    <w:rsid w:val="00657AA8"/>
    <w:rsid w:val="00660046"/>
    <w:rsid w:val="006602AF"/>
    <w:rsid w:val="006604AB"/>
    <w:rsid w:val="0066090F"/>
    <w:rsid w:val="00660B2F"/>
    <w:rsid w:val="00661BC3"/>
    <w:rsid w:val="00661D45"/>
    <w:rsid w:val="00661F73"/>
    <w:rsid w:val="006620D4"/>
    <w:rsid w:val="0066279A"/>
    <w:rsid w:val="006629B3"/>
    <w:rsid w:val="00662A3B"/>
    <w:rsid w:val="00662CBB"/>
    <w:rsid w:val="00662D0A"/>
    <w:rsid w:val="00662D10"/>
    <w:rsid w:val="00662DA0"/>
    <w:rsid w:val="006633A8"/>
    <w:rsid w:val="006637FB"/>
    <w:rsid w:val="00663826"/>
    <w:rsid w:val="006638AD"/>
    <w:rsid w:val="006638C5"/>
    <w:rsid w:val="00663C75"/>
    <w:rsid w:val="006644C5"/>
    <w:rsid w:val="0066459B"/>
    <w:rsid w:val="0066463F"/>
    <w:rsid w:val="0066467C"/>
    <w:rsid w:val="006648D7"/>
    <w:rsid w:val="00665023"/>
    <w:rsid w:val="0066580C"/>
    <w:rsid w:val="0066588E"/>
    <w:rsid w:val="00665F4A"/>
    <w:rsid w:val="006662B3"/>
    <w:rsid w:val="006665A5"/>
    <w:rsid w:val="00666864"/>
    <w:rsid w:val="006669EF"/>
    <w:rsid w:val="006673CA"/>
    <w:rsid w:val="006673EF"/>
    <w:rsid w:val="00667A30"/>
    <w:rsid w:val="00667B01"/>
    <w:rsid w:val="00667C38"/>
    <w:rsid w:val="00667E28"/>
    <w:rsid w:val="00667F34"/>
    <w:rsid w:val="00670163"/>
    <w:rsid w:val="006703F2"/>
    <w:rsid w:val="006705FA"/>
    <w:rsid w:val="00670706"/>
    <w:rsid w:val="00670B70"/>
    <w:rsid w:val="00670E20"/>
    <w:rsid w:val="006713A3"/>
    <w:rsid w:val="0067173F"/>
    <w:rsid w:val="00671B02"/>
    <w:rsid w:val="00671B55"/>
    <w:rsid w:val="00671BF5"/>
    <w:rsid w:val="00671CF5"/>
    <w:rsid w:val="0067206B"/>
    <w:rsid w:val="006725A3"/>
    <w:rsid w:val="00672A0C"/>
    <w:rsid w:val="0067398C"/>
    <w:rsid w:val="00673C26"/>
    <w:rsid w:val="00673DF2"/>
    <w:rsid w:val="006748C5"/>
    <w:rsid w:val="00674A32"/>
    <w:rsid w:val="00674CC4"/>
    <w:rsid w:val="00674D67"/>
    <w:rsid w:val="00675125"/>
    <w:rsid w:val="006755CD"/>
    <w:rsid w:val="006759FB"/>
    <w:rsid w:val="00675BE3"/>
    <w:rsid w:val="00675D8D"/>
    <w:rsid w:val="0067620D"/>
    <w:rsid w:val="0067645F"/>
    <w:rsid w:val="006770FD"/>
    <w:rsid w:val="006773AC"/>
    <w:rsid w:val="0067747C"/>
    <w:rsid w:val="0067748A"/>
    <w:rsid w:val="006776FA"/>
    <w:rsid w:val="00677BD7"/>
    <w:rsid w:val="00677EAF"/>
    <w:rsid w:val="006802EF"/>
    <w:rsid w:val="0068087A"/>
    <w:rsid w:val="00680F1A"/>
    <w:rsid w:val="006812AF"/>
    <w:rsid w:val="006813E2"/>
    <w:rsid w:val="00681441"/>
    <w:rsid w:val="00681675"/>
    <w:rsid w:val="00682065"/>
    <w:rsid w:val="006827C3"/>
    <w:rsid w:val="00682D3E"/>
    <w:rsid w:val="00683264"/>
    <w:rsid w:val="0068327D"/>
    <w:rsid w:val="0068387C"/>
    <w:rsid w:val="006839B5"/>
    <w:rsid w:val="00684015"/>
    <w:rsid w:val="00684084"/>
    <w:rsid w:val="00684399"/>
    <w:rsid w:val="00684909"/>
    <w:rsid w:val="00684F03"/>
    <w:rsid w:val="00685B5D"/>
    <w:rsid w:val="00685C1D"/>
    <w:rsid w:val="00685C38"/>
    <w:rsid w:val="00685E6B"/>
    <w:rsid w:val="006861A2"/>
    <w:rsid w:val="00686278"/>
    <w:rsid w:val="006862BE"/>
    <w:rsid w:val="00686323"/>
    <w:rsid w:val="0068653F"/>
    <w:rsid w:val="00686EBB"/>
    <w:rsid w:val="00686ECA"/>
    <w:rsid w:val="0068793F"/>
    <w:rsid w:val="00687CD2"/>
    <w:rsid w:val="006902CC"/>
    <w:rsid w:val="00690430"/>
    <w:rsid w:val="00690708"/>
    <w:rsid w:val="006910D4"/>
    <w:rsid w:val="00691AF1"/>
    <w:rsid w:val="00691DA7"/>
    <w:rsid w:val="0069254A"/>
    <w:rsid w:val="0069262E"/>
    <w:rsid w:val="0069266F"/>
    <w:rsid w:val="0069331F"/>
    <w:rsid w:val="00693932"/>
    <w:rsid w:val="00693AD8"/>
    <w:rsid w:val="00693FB2"/>
    <w:rsid w:val="00694333"/>
    <w:rsid w:val="00694637"/>
    <w:rsid w:val="00694658"/>
    <w:rsid w:val="00694880"/>
    <w:rsid w:val="00694AF0"/>
    <w:rsid w:val="00694EAD"/>
    <w:rsid w:val="0069509E"/>
    <w:rsid w:val="006952D5"/>
    <w:rsid w:val="00695A4A"/>
    <w:rsid w:val="00695DD2"/>
    <w:rsid w:val="006960FC"/>
    <w:rsid w:val="0069610A"/>
    <w:rsid w:val="006962AF"/>
    <w:rsid w:val="0069655A"/>
    <w:rsid w:val="006967A2"/>
    <w:rsid w:val="00696C34"/>
    <w:rsid w:val="00696F7D"/>
    <w:rsid w:val="00696F8E"/>
    <w:rsid w:val="006A00DD"/>
    <w:rsid w:val="006A01ED"/>
    <w:rsid w:val="006A046B"/>
    <w:rsid w:val="006A0940"/>
    <w:rsid w:val="006A0961"/>
    <w:rsid w:val="006A0AEF"/>
    <w:rsid w:val="006A0E9D"/>
    <w:rsid w:val="006A1654"/>
    <w:rsid w:val="006A16DB"/>
    <w:rsid w:val="006A1EDD"/>
    <w:rsid w:val="006A2203"/>
    <w:rsid w:val="006A23FC"/>
    <w:rsid w:val="006A265B"/>
    <w:rsid w:val="006A28A8"/>
    <w:rsid w:val="006A2F30"/>
    <w:rsid w:val="006A3E46"/>
    <w:rsid w:val="006A4686"/>
    <w:rsid w:val="006A4792"/>
    <w:rsid w:val="006A4888"/>
    <w:rsid w:val="006A4BA5"/>
    <w:rsid w:val="006A4BEA"/>
    <w:rsid w:val="006A52C3"/>
    <w:rsid w:val="006A581C"/>
    <w:rsid w:val="006A58C0"/>
    <w:rsid w:val="006A5AFC"/>
    <w:rsid w:val="006A5C10"/>
    <w:rsid w:val="006A5CC6"/>
    <w:rsid w:val="006A5DFD"/>
    <w:rsid w:val="006A5FB7"/>
    <w:rsid w:val="006A605A"/>
    <w:rsid w:val="006A67D7"/>
    <w:rsid w:val="006A686B"/>
    <w:rsid w:val="006A6DDE"/>
    <w:rsid w:val="006A6E03"/>
    <w:rsid w:val="006A7291"/>
    <w:rsid w:val="006A7330"/>
    <w:rsid w:val="006A740D"/>
    <w:rsid w:val="006A7567"/>
    <w:rsid w:val="006A75C7"/>
    <w:rsid w:val="006A787A"/>
    <w:rsid w:val="006A787D"/>
    <w:rsid w:val="006A7ECF"/>
    <w:rsid w:val="006B0249"/>
    <w:rsid w:val="006B03B6"/>
    <w:rsid w:val="006B0411"/>
    <w:rsid w:val="006B0509"/>
    <w:rsid w:val="006B0617"/>
    <w:rsid w:val="006B0621"/>
    <w:rsid w:val="006B0662"/>
    <w:rsid w:val="006B087B"/>
    <w:rsid w:val="006B0E9E"/>
    <w:rsid w:val="006B0F2D"/>
    <w:rsid w:val="006B0F9F"/>
    <w:rsid w:val="006B1073"/>
    <w:rsid w:val="006B1306"/>
    <w:rsid w:val="006B17B6"/>
    <w:rsid w:val="006B1B22"/>
    <w:rsid w:val="006B2094"/>
    <w:rsid w:val="006B288E"/>
    <w:rsid w:val="006B2A42"/>
    <w:rsid w:val="006B2B27"/>
    <w:rsid w:val="006B2DA8"/>
    <w:rsid w:val="006B3131"/>
    <w:rsid w:val="006B3250"/>
    <w:rsid w:val="006B34F1"/>
    <w:rsid w:val="006B353E"/>
    <w:rsid w:val="006B3719"/>
    <w:rsid w:val="006B3BEC"/>
    <w:rsid w:val="006B3EA6"/>
    <w:rsid w:val="006B4413"/>
    <w:rsid w:val="006B4812"/>
    <w:rsid w:val="006B4A02"/>
    <w:rsid w:val="006B52D5"/>
    <w:rsid w:val="006B5411"/>
    <w:rsid w:val="006B5A4A"/>
    <w:rsid w:val="006B5AE4"/>
    <w:rsid w:val="006B5B6C"/>
    <w:rsid w:val="006B5E36"/>
    <w:rsid w:val="006B6086"/>
    <w:rsid w:val="006B68CD"/>
    <w:rsid w:val="006B6BA8"/>
    <w:rsid w:val="006B6BEB"/>
    <w:rsid w:val="006B6C2D"/>
    <w:rsid w:val="006B6E9B"/>
    <w:rsid w:val="006B7055"/>
    <w:rsid w:val="006B70A8"/>
    <w:rsid w:val="006B737F"/>
    <w:rsid w:val="006B77DF"/>
    <w:rsid w:val="006B7822"/>
    <w:rsid w:val="006B7B73"/>
    <w:rsid w:val="006B7C8B"/>
    <w:rsid w:val="006B7E71"/>
    <w:rsid w:val="006B7FE6"/>
    <w:rsid w:val="006C01CE"/>
    <w:rsid w:val="006C06AB"/>
    <w:rsid w:val="006C098F"/>
    <w:rsid w:val="006C0D2C"/>
    <w:rsid w:val="006C0F9C"/>
    <w:rsid w:val="006C13EC"/>
    <w:rsid w:val="006C1521"/>
    <w:rsid w:val="006C1BBF"/>
    <w:rsid w:val="006C1BD5"/>
    <w:rsid w:val="006C1CE3"/>
    <w:rsid w:val="006C1E98"/>
    <w:rsid w:val="006C1EBA"/>
    <w:rsid w:val="006C1FBE"/>
    <w:rsid w:val="006C2040"/>
    <w:rsid w:val="006C2360"/>
    <w:rsid w:val="006C25BE"/>
    <w:rsid w:val="006C2CFD"/>
    <w:rsid w:val="006C30E9"/>
    <w:rsid w:val="006C311D"/>
    <w:rsid w:val="006C3701"/>
    <w:rsid w:val="006C3D22"/>
    <w:rsid w:val="006C40B7"/>
    <w:rsid w:val="006C40FE"/>
    <w:rsid w:val="006C41B6"/>
    <w:rsid w:val="006C4599"/>
    <w:rsid w:val="006C460E"/>
    <w:rsid w:val="006C4F25"/>
    <w:rsid w:val="006C51D3"/>
    <w:rsid w:val="006C51E2"/>
    <w:rsid w:val="006C52EA"/>
    <w:rsid w:val="006C52ED"/>
    <w:rsid w:val="006C5407"/>
    <w:rsid w:val="006C5628"/>
    <w:rsid w:val="006C6271"/>
    <w:rsid w:val="006C659E"/>
    <w:rsid w:val="006C6763"/>
    <w:rsid w:val="006C6EF3"/>
    <w:rsid w:val="006C700A"/>
    <w:rsid w:val="006C76EE"/>
    <w:rsid w:val="006C770E"/>
    <w:rsid w:val="006C79E6"/>
    <w:rsid w:val="006D005F"/>
    <w:rsid w:val="006D008C"/>
    <w:rsid w:val="006D0093"/>
    <w:rsid w:val="006D02F2"/>
    <w:rsid w:val="006D0B86"/>
    <w:rsid w:val="006D1268"/>
    <w:rsid w:val="006D1507"/>
    <w:rsid w:val="006D15C6"/>
    <w:rsid w:val="006D1DE5"/>
    <w:rsid w:val="006D2564"/>
    <w:rsid w:val="006D289B"/>
    <w:rsid w:val="006D308D"/>
    <w:rsid w:val="006D312C"/>
    <w:rsid w:val="006D313E"/>
    <w:rsid w:val="006D39C5"/>
    <w:rsid w:val="006D3CEA"/>
    <w:rsid w:val="006D4054"/>
    <w:rsid w:val="006D40D3"/>
    <w:rsid w:val="006D4232"/>
    <w:rsid w:val="006D432A"/>
    <w:rsid w:val="006D44B0"/>
    <w:rsid w:val="006D4B24"/>
    <w:rsid w:val="006D4D80"/>
    <w:rsid w:val="006D4DA4"/>
    <w:rsid w:val="006D4E34"/>
    <w:rsid w:val="006D516E"/>
    <w:rsid w:val="006D5176"/>
    <w:rsid w:val="006D5232"/>
    <w:rsid w:val="006D54B1"/>
    <w:rsid w:val="006D597F"/>
    <w:rsid w:val="006D5A10"/>
    <w:rsid w:val="006D5AA1"/>
    <w:rsid w:val="006D5C41"/>
    <w:rsid w:val="006D6498"/>
    <w:rsid w:val="006D66E6"/>
    <w:rsid w:val="006D6935"/>
    <w:rsid w:val="006D7722"/>
    <w:rsid w:val="006D78C7"/>
    <w:rsid w:val="006D7B48"/>
    <w:rsid w:val="006D7C93"/>
    <w:rsid w:val="006D7CDC"/>
    <w:rsid w:val="006D7E56"/>
    <w:rsid w:val="006D7FD1"/>
    <w:rsid w:val="006E02B2"/>
    <w:rsid w:val="006E02EC"/>
    <w:rsid w:val="006E042C"/>
    <w:rsid w:val="006E07DD"/>
    <w:rsid w:val="006E09EE"/>
    <w:rsid w:val="006E14EB"/>
    <w:rsid w:val="006E16B4"/>
    <w:rsid w:val="006E1835"/>
    <w:rsid w:val="006E1A0B"/>
    <w:rsid w:val="006E1BBB"/>
    <w:rsid w:val="006E1C76"/>
    <w:rsid w:val="006E1D1E"/>
    <w:rsid w:val="006E2743"/>
    <w:rsid w:val="006E275A"/>
    <w:rsid w:val="006E2793"/>
    <w:rsid w:val="006E2E58"/>
    <w:rsid w:val="006E3689"/>
    <w:rsid w:val="006E39C5"/>
    <w:rsid w:val="006E39CD"/>
    <w:rsid w:val="006E3C5E"/>
    <w:rsid w:val="006E3F99"/>
    <w:rsid w:val="006E43ED"/>
    <w:rsid w:val="006E452D"/>
    <w:rsid w:val="006E498A"/>
    <w:rsid w:val="006E4AFC"/>
    <w:rsid w:val="006E516E"/>
    <w:rsid w:val="006E545E"/>
    <w:rsid w:val="006E592B"/>
    <w:rsid w:val="006E5AD2"/>
    <w:rsid w:val="006E619C"/>
    <w:rsid w:val="006E6265"/>
    <w:rsid w:val="006E636D"/>
    <w:rsid w:val="006E646D"/>
    <w:rsid w:val="006E65B9"/>
    <w:rsid w:val="006E6CEA"/>
    <w:rsid w:val="006E6F62"/>
    <w:rsid w:val="006E71D4"/>
    <w:rsid w:val="006E77B7"/>
    <w:rsid w:val="006E796E"/>
    <w:rsid w:val="006E7A92"/>
    <w:rsid w:val="006E7CAE"/>
    <w:rsid w:val="006E7FC6"/>
    <w:rsid w:val="006F007F"/>
    <w:rsid w:val="006F02B6"/>
    <w:rsid w:val="006F05BD"/>
    <w:rsid w:val="006F05E8"/>
    <w:rsid w:val="006F0B64"/>
    <w:rsid w:val="006F1221"/>
    <w:rsid w:val="006F12B7"/>
    <w:rsid w:val="006F1BA2"/>
    <w:rsid w:val="006F1BEC"/>
    <w:rsid w:val="006F1D1B"/>
    <w:rsid w:val="006F2017"/>
    <w:rsid w:val="006F216B"/>
    <w:rsid w:val="006F2632"/>
    <w:rsid w:val="006F27A7"/>
    <w:rsid w:val="006F294E"/>
    <w:rsid w:val="006F2BC3"/>
    <w:rsid w:val="006F2BDF"/>
    <w:rsid w:val="006F2C20"/>
    <w:rsid w:val="006F2EDF"/>
    <w:rsid w:val="006F2F75"/>
    <w:rsid w:val="006F3191"/>
    <w:rsid w:val="006F47D5"/>
    <w:rsid w:val="006F4D5B"/>
    <w:rsid w:val="006F4E2F"/>
    <w:rsid w:val="006F4E93"/>
    <w:rsid w:val="006F54BF"/>
    <w:rsid w:val="006F5B38"/>
    <w:rsid w:val="006F5E8E"/>
    <w:rsid w:val="006F5FC3"/>
    <w:rsid w:val="006F610E"/>
    <w:rsid w:val="006F6826"/>
    <w:rsid w:val="006F69D1"/>
    <w:rsid w:val="006F6B72"/>
    <w:rsid w:val="006F6DF6"/>
    <w:rsid w:val="006F6EC3"/>
    <w:rsid w:val="006F72EA"/>
    <w:rsid w:val="006F75CE"/>
    <w:rsid w:val="006F75EC"/>
    <w:rsid w:val="0070021A"/>
    <w:rsid w:val="00700740"/>
    <w:rsid w:val="00700833"/>
    <w:rsid w:val="007008BC"/>
    <w:rsid w:val="00700CDB"/>
    <w:rsid w:val="00701598"/>
    <w:rsid w:val="00701984"/>
    <w:rsid w:val="00701C13"/>
    <w:rsid w:val="00701CD4"/>
    <w:rsid w:val="00701F47"/>
    <w:rsid w:val="007020F3"/>
    <w:rsid w:val="00702264"/>
    <w:rsid w:val="007026FF"/>
    <w:rsid w:val="007029D1"/>
    <w:rsid w:val="00702B10"/>
    <w:rsid w:val="00702B4C"/>
    <w:rsid w:val="00702E8D"/>
    <w:rsid w:val="007037A3"/>
    <w:rsid w:val="00703924"/>
    <w:rsid w:val="00703B9F"/>
    <w:rsid w:val="00704217"/>
    <w:rsid w:val="0070480A"/>
    <w:rsid w:val="00705126"/>
    <w:rsid w:val="00705165"/>
    <w:rsid w:val="00705657"/>
    <w:rsid w:val="007056DB"/>
    <w:rsid w:val="0070573A"/>
    <w:rsid w:val="00705829"/>
    <w:rsid w:val="00705FFE"/>
    <w:rsid w:val="007064A6"/>
    <w:rsid w:val="00707185"/>
    <w:rsid w:val="00707306"/>
    <w:rsid w:val="007075FB"/>
    <w:rsid w:val="00707949"/>
    <w:rsid w:val="00707A69"/>
    <w:rsid w:val="00707C98"/>
    <w:rsid w:val="00707E3D"/>
    <w:rsid w:val="00710120"/>
    <w:rsid w:val="00710208"/>
    <w:rsid w:val="0071024E"/>
    <w:rsid w:val="0071032D"/>
    <w:rsid w:val="00710744"/>
    <w:rsid w:val="00710925"/>
    <w:rsid w:val="00711502"/>
    <w:rsid w:val="00711B9D"/>
    <w:rsid w:val="00711E15"/>
    <w:rsid w:val="0071216C"/>
    <w:rsid w:val="00712D39"/>
    <w:rsid w:val="00712FD3"/>
    <w:rsid w:val="007132B2"/>
    <w:rsid w:val="007132C2"/>
    <w:rsid w:val="0071379D"/>
    <w:rsid w:val="0071381E"/>
    <w:rsid w:val="00714454"/>
    <w:rsid w:val="00714791"/>
    <w:rsid w:val="007147D8"/>
    <w:rsid w:val="00714BE9"/>
    <w:rsid w:val="0071511E"/>
    <w:rsid w:val="00715671"/>
    <w:rsid w:val="007156B3"/>
    <w:rsid w:val="00715D50"/>
    <w:rsid w:val="0071622D"/>
    <w:rsid w:val="0071667A"/>
    <w:rsid w:val="00716841"/>
    <w:rsid w:val="007168F4"/>
    <w:rsid w:val="00716955"/>
    <w:rsid w:val="00716FE0"/>
    <w:rsid w:val="00717075"/>
    <w:rsid w:val="007173A7"/>
    <w:rsid w:val="0071757B"/>
    <w:rsid w:val="0072083B"/>
    <w:rsid w:val="00720C46"/>
    <w:rsid w:val="00720C64"/>
    <w:rsid w:val="007211B1"/>
    <w:rsid w:val="0072125A"/>
    <w:rsid w:val="007213E2"/>
    <w:rsid w:val="007213FB"/>
    <w:rsid w:val="00721EF6"/>
    <w:rsid w:val="007223CE"/>
    <w:rsid w:val="00722ACF"/>
    <w:rsid w:val="00722DFF"/>
    <w:rsid w:val="007230FC"/>
    <w:rsid w:val="0072334E"/>
    <w:rsid w:val="0072339B"/>
    <w:rsid w:val="007239ED"/>
    <w:rsid w:val="00723A42"/>
    <w:rsid w:val="00723D95"/>
    <w:rsid w:val="00723F52"/>
    <w:rsid w:val="007240C6"/>
    <w:rsid w:val="007245D1"/>
    <w:rsid w:val="00724884"/>
    <w:rsid w:val="00724B36"/>
    <w:rsid w:val="00724D54"/>
    <w:rsid w:val="00725847"/>
    <w:rsid w:val="00725CEF"/>
    <w:rsid w:val="0072604A"/>
    <w:rsid w:val="007265A3"/>
    <w:rsid w:val="0072671E"/>
    <w:rsid w:val="00726CF9"/>
    <w:rsid w:val="00727143"/>
    <w:rsid w:val="00727504"/>
    <w:rsid w:val="00727AD5"/>
    <w:rsid w:val="00727CED"/>
    <w:rsid w:val="00727D65"/>
    <w:rsid w:val="00727E7E"/>
    <w:rsid w:val="00727FA8"/>
    <w:rsid w:val="007300B4"/>
    <w:rsid w:val="00730357"/>
    <w:rsid w:val="007305F7"/>
    <w:rsid w:val="00731004"/>
    <w:rsid w:val="00731A0E"/>
    <w:rsid w:val="00731A98"/>
    <w:rsid w:val="00731D71"/>
    <w:rsid w:val="00732525"/>
    <w:rsid w:val="00732729"/>
    <w:rsid w:val="00732A8C"/>
    <w:rsid w:val="00732B85"/>
    <w:rsid w:val="00732C32"/>
    <w:rsid w:val="00732EC3"/>
    <w:rsid w:val="00733396"/>
    <w:rsid w:val="007335FF"/>
    <w:rsid w:val="00733605"/>
    <w:rsid w:val="00733BDF"/>
    <w:rsid w:val="0073418A"/>
    <w:rsid w:val="0073468C"/>
    <w:rsid w:val="007347CF"/>
    <w:rsid w:val="0073480B"/>
    <w:rsid w:val="00734859"/>
    <w:rsid w:val="00735327"/>
    <w:rsid w:val="0073551F"/>
    <w:rsid w:val="00735831"/>
    <w:rsid w:val="0073617A"/>
    <w:rsid w:val="00736672"/>
    <w:rsid w:val="007366A5"/>
    <w:rsid w:val="007367BB"/>
    <w:rsid w:val="00736E95"/>
    <w:rsid w:val="00737332"/>
    <w:rsid w:val="00737796"/>
    <w:rsid w:val="00737F84"/>
    <w:rsid w:val="007400FA"/>
    <w:rsid w:val="0074043D"/>
    <w:rsid w:val="007407F5"/>
    <w:rsid w:val="00741730"/>
    <w:rsid w:val="0074199B"/>
    <w:rsid w:val="00741A32"/>
    <w:rsid w:val="00741D8D"/>
    <w:rsid w:val="0074228C"/>
    <w:rsid w:val="00742E03"/>
    <w:rsid w:val="00743322"/>
    <w:rsid w:val="0074362C"/>
    <w:rsid w:val="0074395A"/>
    <w:rsid w:val="00743B6B"/>
    <w:rsid w:val="00743CBF"/>
    <w:rsid w:val="00743CE9"/>
    <w:rsid w:val="00743D4E"/>
    <w:rsid w:val="00744D4B"/>
    <w:rsid w:val="0074507D"/>
    <w:rsid w:val="00745250"/>
    <w:rsid w:val="00745411"/>
    <w:rsid w:val="00745660"/>
    <w:rsid w:val="00745CC0"/>
    <w:rsid w:val="00746187"/>
    <w:rsid w:val="0074618E"/>
    <w:rsid w:val="007466D5"/>
    <w:rsid w:val="00746C9A"/>
    <w:rsid w:val="00746DAC"/>
    <w:rsid w:val="00746F55"/>
    <w:rsid w:val="00747084"/>
    <w:rsid w:val="00747487"/>
    <w:rsid w:val="007475F9"/>
    <w:rsid w:val="007478D3"/>
    <w:rsid w:val="007479B1"/>
    <w:rsid w:val="00747E59"/>
    <w:rsid w:val="00747E65"/>
    <w:rsid w:val="00747F0E"/>
    <w:rsid w:val="007503A7"/>
    <w:rsid w:val="007505E3"/>
    <w:rsid w:val="00750669"/>
    <w:rsid w:val="007509A2"/>
    <w:rsid w:val="007509FD"/>
    <w:rsid w:val="00750B50"/>
    <w:rsid w:val="00750FD8"/>
    <w:rsid w:val="007510F3"/>
    <w:rsid w:val="007517A2"/>
    <w:rsid w:val="007522C9"/>
    <w:rsid w:val="00752BC6"/>
    <w:rsid w:val="00752CDD"/>
    <w:rsid w:val="00752E82"/>
    <w:rsid w:val="00753050"/>
    <w:rsid w:val="00753872"/>
    <w:rsid w:val="00753EA6"/>
    <w:rsid w:val="007541DF"/>
    <w:rsid w:val="0075498A"/>
    <w:rsid w:val="00754BA2"/>
    <w:rsid w:val="00754FBC"/>
    <w:rsid w:val="00755711"/>
    <w:rsid w:val="00755DE2"/>
    <w:rsid w:val="00755E92"/>
    <w:rsid w:val="00756152"/>
    <w:rsid w:val="00756528"/>
    <w:rsid w:val="00756990"/>
    <w:rsid w:val="007569B4"/>
    <w:rsid w:val="00756C68"/>
    <w:rsid w:val="00756C80"/>
    <w:rsid w:val="00756CF7"/>
    <w:rsid w:val="00756F2D"/>
    <w:rsid w:val="00757482"/>
    <w:rsid w:val="007575A4"/>
    <w:rsid w:val="00757AAF"/>
    <w:rsid w:val="00757C04"/>
    <w:rsid w:val="00757CFD"/>
    <w:rsid w:val="00757D58"/>
    <w:rsid w:val="007600E7"/>
    <w:rsid w:val="007602AB"/>
    <w:rsid w:val="0076032A"/>
    <w:rsid w:val="00760974"/>
    <w:rsid w:val="007611DE"/>
    <w:rsid w:val="00761315"/>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41AF"/>
    <w:rsid w:val="007641E6"/>
    <w:rsid w:val="007644C6"/>
    <w:rsid w:val="0076454B"/>
    <w:rsid w:val="00764701"/>
    <w:rsid w:val="00764B4B"/>
    <w:rsid w:val="00764B85"/>
    <w:rsid w:val="0076525F"/>
    <w:rsid w:val="00765305"/>
    <w:rsid w:val="007660BA"/>
    <w:rsid w:val="007663CB"/>
    <w:rsid w:val="00766D6A"/>
    <w:rsid w:val="00766DEF"/>
    <w:rsid w:val="007673E3"/>
    <w:rsid w:val="00767436"/>
    <w:rsid w:val="0076745B"/>
    <w:rsid w:val="00767770"/>
    <w:rsid w:val="00767AB3"/>
    <w:rsid w:val="00767D53"/>
    <w:rsid w:val="007706D2"/>
    <w:rsid w:val="00770933"/>
    <w:rsid w:val="00770A24"/>
    <w:rsid w:val="00770B00"/>
    <w:rsid w:val="00770B8D"/>
    <w:rsid w:val="00771359"/>
    <w:rsid w:val="007713CD"/>
    <w:rsid w:val="0077147F"/>
    <w:rsid w:val="0077192F"/>
    <w:rsid w:val="00771BA4"/>
    <w:rsid w:val="00772135"/>
    <w:rsid w:val="00772FB0"/>
    <w:rsid w:val="007730D7"/>
    <w:rsid w:val="0077390A"/>
    <w:rsid w:val="00773C75"/>
    <w:rsid w:val="007741B2"/>
    <w:rsid w:val="0077446B"/>
    <w:rsid w:val="007744AA"/>
    <w:rsid w:val="00774773"/>
    <w:rsid w:val="00774B90"/>
    <w:rsid w:val="00775160"/>
    <w:rsid w:val="00775AD8"/>
    <w:rsid w:val="00775BA2"/>
    <w:rsid w:val="00775E44"/>
    <w:rsid w:val="007762A1"/>
    <w:rsid w:val="00776529"/>
    <w:rsid w:val="0077671D"/>
    <w:rsid w:val="007767BC"/>
    <w:rsid w:val="00776F16"/>
    <w:rsid w:val="00776F9A"/>
    <w:rsid w:val="00777132"/>
    <w:rsid w:val="00777245"/>
    <w:rsid w:val="007772ED"/>
    <w:rsid w:val="00777C19"/>
    <w:rsid w:val="00777D6C"/>
    <w:rsid w:val="00777FA0"/>
    <w:rsid w:val="007801F5"/>
    <w:rsid w:val="00780234"/>
    <w:rsid w:val="00780705"/>
    <w:rsid w:val="00780912"/>
    <w:rsid w:val="00780F5A"/>
    <w:rsid w:val="007811C4"/>
    <w:rsid w:val="007811D2"/>
    <w:rsid w:val="007817EA"/>
    <w:rsid w:val="00781A29"/>
    <w:rsid w:val="007822A0"/>
    <w:rsid w:val="00782B6E"/>
    <w:rsid w:val="00782C79"/>
    <w:rsid w:val="00782DA0"/>
    <w:rsid w:val="0078346C"/>
    <w:rsid w:val="007835EE"/>
    <w:rsid w:val="00783CA4"/>
    <w:rsid w:val="007842FB"/>
    <w:rsid w:val="00784445"/>
    <w:rsid w:val="007847A9"/>
    <w:rsid w:val="00784A5C"/>
    <w:rsid w:val="00784B0B"/>
    <w:rsid w:val="00784CA6"/>
    <w:rsid w:val="00784D1D"/>
    <w:rsid w:val="00784EE6"/>
    <w:rsid w:val="00785A0F"/>
    <w:rsid w:val="00785E8F"/>
    <w:rsid w:val="00785F2E"/>
    <w:rsid w:val="00786124"/>
    <w:rsid w:val="0078696D"/>
    <w:rsid w:val="0078741B"/>
    <w:rsid w:val="00787E79"/>
    <w:rsid w:val="0079037B"/>
    <w:rsid w:val="00790983"/>
    <w:rsid w:val="00791598"/>
    <w:rsid w:val="0079190E"/>
    <w:rsid w:val="00791DDA"/>
    <w:rsid w:val="00792150"/>
    <w:rsid w:val="00792A90"/>
    <w:rsid w:val="00792BD7"/>
    <w:rsid w:val="00792D38"/>
    <w:rsid w:val="0079347F"/>
    <w:rsid w:val="007934C4"/>
    <w:rsid w:val="007936E2"/>
    <w:rsid w:val="007939A8"/>
    <w:rsid w:val="00793A1A"/>
    <w:rsid w:val="00793A92"/>
    <w:rsid w:val="00794005"/>
    <w:rsid w:val="007940B9"/>
    <w:rsid w:val="0079500B"/>
    <w:rsid w:val="0079514B"/>
    <w:rsid w:val="00795367"/>
    <w:rsid w:val="007956EA"/>
    <w:rsid w:val="00795905"/>
    <w:rsid w:val="0079632D"/>
    <w:rsid w:val="00796338"/>
    <w:rsid w:val="00796646"/>
    <w:rsid w:val="00796ACA"/>
    <w:rsid w:val="00796C3A"/>
    <w:rsid w:val="00796D1A"/>
    <w:rsid w:val="00797110"/>
    <w:rsid w:val="007975C8"/>
    <w:rsid w:val="00797783"/>
    <w:rsid w:val="00797929"/>
    <w:rsid w:val="007A06F3"/>
    <w:rsid w:val="007A0E91"/>
    <w:rsid w:val="007A102D"/>
    <w:rsid w:val="007A1622"/>
    <w:rsid w:val="007A16A3"/>
    <w:rsid w:val="007A16D7"/>
    <w:rsid w:val="007A1C2C"/>
    <w:rsid w:val="007A2266"/>
    <w:rsid w:val="007A2652"/>
    <w:rsid w:val="007A2701"/>
    <w:rsid w:val="007A2712"/>
    <w:rsid w:val="007A2B88"/>
    <w:rsid w:val="007A2DC1"/>
    <w:rsid w:val="007A3014"/>
    <w:rsid w:val="007A3124"/>
    <w:rsid w:val="007A3343"/>
    <w:rsid w:val="007A3FEE"/>
    <w:rsid w:val="007A4189"/>
    <w:rsid w:val="007A440D"/>
    <w:rsid w:val="007A44B3"/>
    <w:rsid w:val="007A482A"/>
    <w:rsid w:val="007A4CEB"/>
    <w:rsid w:val="007A4D47"/>
    <w:rsid w:val="007A4EAC"/>
    <w:rsid w:val="007A5232"/>
    <w:rsid w:val="007A5262"/>
    <w:rsid w:val="007A58DA"/>
    <w:rsid w:val="007A5932"/>
    <w:rsid w:val="007A5981"/>
    <w:rsid w:val="007A5AAC"/>
    <w:rsid w:val="007A5D5A"/>
    <w:rsid w:val="007A6172"/>
    <w:rsid w:val="007A65C6"/>
    <w:rsid w:val="007A69B2"/>
    <w:rsid w:val="007A6C69"/>
    <w:rsid w:val="007A6D0C"/>
    <w:rsid w:val="007A6EB6"/>
    <w:rsid w:val="007A7BD3"/>
    <w:rsid w:val="007B03EE"/>
    <w:rsid w:val="007B08FA"/>
    <w:rsid w:val="007B0958"/>
    <w:rsid w:val="007B0C3C"/>
    <w:rsid w:val="007B1093"/>
    <w:rsid w:val="007B17A9"/>
    <w:rsid w:val="007B18C5"/>
    <w:rsid w:val="007B19D7"/>
    <w:rsid w:val="007B1AF9"/>
    <w:rsid w:val="007B1F9D"/>
    <w:rsid w:val="007B242B"/>
    <w:rsid w:val="007B24DB"/>
    <w:rsid w:val="007B2570"/>
    <w:rsid w:val="007B2592"/>
    <w:rsid w:val="007B2A28"/>
    <w:rsid w:val="007B2B9B"/>
    <w:rsid w:val="007B2CE6"/>
    <w:rsid w:val="007B2FF4"/>
    <w:rsid w:val="007B3384"/>
    <w:rsid w:val="007B3485"/>
    <w:rsid w:val="007B34D3"/>
    <w:rsid w:val="007B3CA3"/>
    <w:rsid w:val="007B3CB9"/>
    <w:rsid w:val="007B3CBF"/>
    <w:rsid w:val="007B4944"/>
    <w:rsid w:val="007B4CEA"/>
    <w:rsid w:val="007B4E5A"/>
    <w:rsid w:val="007B4E82"/>
    <w:rsid w:val="007B55A3"/>
    <w:rsid w:val="007B59D6"/>
    <w:rsid w:val="007B5A39"/>
    <w:rsid w:val="007B5B8D"/>
    <w:rsid w:val="007B5C7F"/>
    <w:rsid w:val="007B5F14"/>
    <w:rsid w:val="007B6158"/>
    <w:rsid w:val="007B6470"/>
    <w:rsid w:val="007B65E6"/>
    <w:rsid w:val="007B6AD0"/>
    <w:rsid w:val="007B6C8F"/>
    <w:rsid w:val="007B6D64"/>
    <w:rsid w:val="007B6EA2"/>
    <w:rsid w:val="007B79E3"/>
    <w:rsid w:val="007B7B58"/>
    <w:rsid w:val="007B7F61"/>
    <w:rsid w:val="007C1000"/>
    <w:rsid w:val="007C12B9"/>
    <w:rsid w:val="007C1739"/>
    <w:rsid w:val="007C1E9F"/>
    <w:rsid w:val="007C1EA8"/>
    <w:rsid w:val="007C2320"/>
    <w:rsid w:val="007C2329"/>
    <w:rsid w:val="007C24F3"/>
    <w:rsid w:val="007C2510"/>
    <w:rsid w:val="007C2C11"/>
    <w:rsid w:val="007C2C3B"/>
    <w:rsid w:val="007C2E61"/>
    <w:rsid w:val="007C2EA1"/>
    <w:rsid w:val="007C31B2"/>
    <w:rsid w:val="007C395B"/>
    <w:rsid w:val="007C3C88"/>
    <w:rsid w:val="007C4274"/>
    <w:rsid w:val="007C4AED"/>
    <w:rsid w:val="007C4E60"/>
    <w:rsid w:val="007C5280"/>
    <w:rsid w:val="007C5465"/>
    <w:rsid w:val="007C593F"/>
    <w:rsid w:val="007C5AAF"/>
    <w:rsid w:val="007C5D21"/>
    <w:rsid w:val="007C64B7"/>
    <w:rsid w:val="007C6CE2"/>
    <w:rsid w:val="007C6D95"/>
    <w:rsid w:val="007C6EBB"/>
    <w:rsid w:val="007C6FC1"/>
    <w:rsid w:val="007C72FD"/>
    <w:rsid w:val="007C73A8"/>
    <w:rsid w:val="007C749D"/>
    <w:rsid w:val="007C7FD5"/>
    <w:rsid w:val="007D020D"/>
    <w:rsid w:val="007D03C8"/>
    <w:rsid w:val="007D0D08"/>
    <w:rsid w:val="007D0E3E"/>
    <w:rsid w:val="007D1262"/>
    <w:rsid w:val="007D1A23"/>
    <w:rsid w:val="007D1D00"/>
    <w:rsid w:val="007D1DFB"/>
    <w:rsid w:val="007D22D0"/>
    <w:rsid w:val="007D2A1A"/>
    <w:rsid w:val="007D2A98"/>
    <w:rsid w:val="007D2B7B"/>
    <w:rsid w:val="007D2DCF"/>
    <w:rsid w:val="007D2E95"/>
    <w:rsid w:val="007D3319"/>
    <w:rsid w:val="007D335D"/>
    <w:rsid w:val="007D49BE"/>
    <w:rsid w:val="007D4B7E"/>
    <w:rsid w:val="007D4BED"/>
    <w:rsid w:val="007D4E70"/>
    <w:rsid w:val="007D4FF9"/>
    <w:rsid w:val="007D5074"/>
    <w:rsid w:val="007D50EC"/>
    <w:rsid w:val="007D54D1"/>
    <w:rsid w:val="007D57B6"/>
    <w:rsid w:val="007D6089"/>
    <w:rsid w:val="007D60A2"/>
    <w:rsid w:val="007D6776"/>
    <w:rsid w:val="007D6DA5"/>
    <w:rsid w:val="007D6DB2"/>
    <w:rsid w:val="007D7246"/>
    <w:rsid w:val="007D734F"/>
    <w:rsid w:val="007D7615"/>
    <w:rsid w:val="007D780E"/>
    <w:rsid w:val="007E085D"/>
    <w:rsid w:val="007E0BC2"/>
    <w:rsid w:val="007E0D57"/>
    <w:rsid w:val="007E1218"/>
    <w:rsid w:val="007E12B1"/>
    <w:rsid w:val="007E16C7"/>
    <w:rsid w:val="007E17C4"/>
    <w:rsid w:val="007E1A97"/>
    <w:rsid w:val="007E1D3A"/>
    <w:rsid w:val="007E259E"/>
    <w:rsid w:val="007E31FB"/>
    <w:rsid w:val="007E3314"/>
    <w:rsid w:val="007E3F38"/>
    <w:rsid w:val="007E40D6"/>
    <w:rsid w:val="007E4602"/>
    <w:rsid w:val="007E4934"/>
    <w:rsid w:val="007E4B03"/>
    <w:rsid w:val="007E4D01"/>
    <w:rsid w:val="007E538C"/>
    <w:rsid w:val="007E554B"/>
    <w:rsid w:val="007E562D"/>
    <w:rsid w:val="007E5961"/>
    <w:rsid w:val="007E6164"/>
    <w:rsid w:val="007E6245"/>
    <w:rsid w:val="007E65E4"/>
    <w:rsid w:val="007E68B9"/>
    <w:rsid w:val="007E6FD5"/>
    <w:rsid w:val="007E757C"/>
    <w:rsid w:val="007E7834"/>
    <w:rsid w:val="007E79E6"/>
    <w:rsid w:val="007E7A7B"/>
    <w:rsid w:val="007E7B4F"/>
    <w:rsid w:val="007E7DB3"/>
    <w:rsid w:val="007F052E"/>
    <w:rsid w:val="007F0570"/>
    <w:rsid w:val="007F0958"/>
    <w:rsid w:val="007F0B76"/>
    <w:rsid w:val="007F0B9B"/>
    <w:rsid w:val="007F0F0F"/>
    <w:rsid w:val="007F0F6A"/>
    <w:rsid w:val="007F160C"/>
    <w:rsid w:val="007F19DE"/>
    <w:rsid w:val="007F19E2"/>
    <w:rsid w:val="007F1B57"/>
    <w:rsid w:val="007F1EC8"/>
    <w:rsid w:val="007F2B32"/>
    <w:rsid w:val="007F2CCE"/>
    <w:rsid w:val="007F2DE7"/>
    <w:rsid w:val="007F321C"/>
    <w:rsid w:val="007F324B"/>
    <w:rsid w:val="007F3620"/>
    <w:rsid w:val="007F36FF"/>
    <w:rsid w:val="007F3AA1"/>
    <w:rsid w:val="007F4285"/>
    <w:rsid w:val="007F44C3"/>
    <w:rsid w:val="007F451A"/>
    <w:rsid w:val="007F4885"/>
    <w:rsid w:val="007F4A29"/>
    <w:rsid w:val="007F50A4"/>
    <w:rsid w:val="007F530E"/>
    <w:rsid w:val="007F54AE"/>
    <w:rsid w:val="007F566A"/>
    <w:rsid w:val="007F5EC7"/>
    <w:rsid w:val="007F640E"/>
    <w:rsid w:val="007F646C"/>
    <w:rsid w:val="007F6FD4"/>
    <w:rsid w:val="007F727C"/>
    <w:rsid w:val="007F73D2"/>
    <w:rsid w:val="007F7700"/>
    <w:rsid w:val="007F78E9"/>
    <w:rsid w:val="007F7C4C"/>
    <w:rsid w:val="007F7CA9"/>
    <w:rsid w:val="0080008C"/>
    <w:rsid w:val="0080039E"/>
    <w:rsid w:val="008008BB"/>
    <w:rsid w:val="00800926"/>
    <w:rsid w:val="00800A9D"/>
    <w:rsid w:val="00800DC8"/>
    <w:rsid w:val="00801742"/>
    <w:rsid w:val="00801808"/>
    <w:rsid w:val="00801832"/>
    <w:rsid w:val="00801A89"/>
    <w:rsid w:val="00801AB0"/>
    <w:rsid w:val="00801F19"/>
    <w:rsid w:val="008020AE"/>
    <w:rsid w:val="008022F5"/>
    <w:rsid w:val="008029BF"/>
    <w:rsid w:val="008031BB"/>
    <w:rsid w:val="008033AF"/>
    <w:rsid w:val="00803510"/>
    <w:rsid w:val="0080369E"/>
    <w:rsid w:val="00803809"/>
    <w:rsid w:val="00803AB4"/>
    <w:rsid w:val="0080457A"/>
    <w:rsid w:val="008046C3"/>
    <w:rsid w:val="00804BC6"/>
    <w:rsid w:val="0080553C"/>
    <w:rsid w:val="00805B46"/>
    <w:rsid w:val="00805DE2"/>
    <w:rsid w:val="0080676E"/>
    <w:rsid w:val="008068A4"/>
    <w:rsid w:val="00806C59"/>
    <w:rsid w:val="00807056"/>
    <w:rsid w:val="00807358"/>
    <w:rsid w:val="00807380"/>
    <w:rsid w:val="00807389"/>
    <w:rsid w:val="00807582"/>
    <w:rsid w:val="00807638"/>
    <w:rsid w:val="008076DB"/>
    <w:rsid w:val="0080798D"/>
    <w:rsid w:val="00807B72"/>
    <w:rsid w:val="00807BB0"/>
    <w:rsid w:val="0081011B"/>
    <w:rsid w:val="008101A1"/>
    <w:rsid w:val="00810359"/>
    <w:rsid w:val="00810738"/>
    <w:rsid w:val="00810CE1"/>
    <w:rsid w:val="008110E1"/>
    <w:rsid w:val="00811DC3"/>
    <w:rsid w:val="0081247A"/>
    <w:rsid w:val="0081249E"/>
    <w:rsid w:val="008124C3"/>
    <w:rsid w:val="008124DB"/>
    <w:rsid w:val="0081283F"/>
    <w:rsid w:val="0081292A"/>
    <w:rsid w:val="00812D3D"/>
    <w:rsid w:val="008134FF"/>
    <w:rsid w:val="00813C95"/>
    <w:rsid w:val="00814DB3"/>
    <w:rsid w:val="00814E5B"/>
    <w:rsid w:val="008150B7"/>
    <w:rsid w:val="00815344"/>
    <w:rsid w:val="008157B5"/>
    <w:rsid w:val="00815C82"/>
    <w:rsid w:val="00815F71"/>
    <w:rsid w:val="008161F7"/>
    <w:rsid w:val="008164B3"/>
    <w:rsid w:val="008165CA"/>
    <w:rsid w:val="00816737"/>
    <w:rsid w:val="00816A6B"/>
    <w:rsid w:val="00816B6D"/>
    <w:rsid w:val="00816CAF"/>
    <w:rsid w:val="00816D20"/>
    <w:rsid w:val="00816EB7"/>
    <w:rsid w:val="008171BB"/>
    <w:rsid w:val="008172C8"/>
    <w:rsid w:val="00817395"/>
    <w:rsid w:val="008173C7"/>
    <w:rsid w:val="0081750C"/>
    <w:rsid w:val="0081767D"/>
    <w:rsid w:val="00817950"/>
    <w:rsid w:val="00817BD9"/>
    <w:rsid w:val="00817C5E"/>
    <w:rsid w:val="00817F4A"/>
    <w:rsid w:val="0082047E"/>
    <w:rsid w:val="00820802"/>
    <w:rsid w:val="00820DE3"/>
    <w:rsid w:val="00820E72"/>
    <w:rsid w:val="00821354"/>
    <w:rsid w:val="008213E9"/>
    <w:rsid w:val="00821882"/>
    <w:rsid w:val="00821AD1"/>
    <w:rsid w:val="00821AF3"/>
    <w:rsid w:val="00821E11"/>
    <w:rsid w:val="0082235E"/>
    <w:rsid w:val="00822A93"/>
    <w:rsid w:val="00823B33"/>
    <w:rsid w:val="008244FD"/>
    <w:rsid w:val="00824E7B"/>
    <w:rsid w:val="00824FA6"/>
    <w:rsid w:val="0082519A"/>
    <w:rsid w:val="00825446"/>
    <w:rsid w:val="00825696"/>
    <w:rsid w:val="00825764"/>
    <w:rsid w:val="008258FB"/>
    <w:rsid w:val="00825BA5"/>
    <w:rsid w:val="00825DC2"/>
    <w:rsid w:val="00825F75"/>
    <w:rsid w:val="0082640A"/>
    <w:rsid w:val="00826540"/>
    <w:rsid w:val="00826599"/>
    <w:rsid w:val="008268A1"/>
    <w:rsid w:val="008268CA"/>
    <w:rsid w:val="00826A37"/>
    <w:rsid w:val="00826D6C"/>
    <w:rsid w:val="008271C5"/>
    <w:rsid w:val="0082796D"/>
    <w:rsid w:val="008307D7"/>
    <w:rsid w:val="00830847"/>
    <w:rsid w:val="00830C7A"/>
    <w:rsid w:val="00830F5F"/>
    <w:rsid w:val="00830FC7"/>
    <w:rsid w:val="0083155F"/>
    <w:rsid w:val="008316AA"/>
    <w:rsid w:val="00831764"/>
    <w:rsid w:val="00831EEC"/>
    <w:rsid w:val="008324C2"/>
    <w:rsid w:val="00832D92"/>
    <w:rsid w:val="00832E2D"/>
    <w:rsid w:val="00832ECA"/>
    <w:rsid w:val="00833141"/>
    <w:rsid w:val="00833312"/>
    <w:rsid w:val="008334DB"/>
    <w:rsid w:val="00833516"/>
    <w:rsid w:val="0083399A"/>
    <w:rsid w:val="00833C76"/>
    <w:rsid w:val="00833DBB"/>
    <w:rsid w:val="00834642"/>
    <w:rsid w:val="008348A7"/>
    <w:rsid w:val="00834AD3"/>
    <w:rsid w:val="00834B02"/>
    <w:rsid w:val="00834CF3"/>
    <w:rsid w:val="00834D80"/>
    <w:rsid w:val="00834EC6"/>
    <w:rsid w:val="008352F4"/>
    <w:rsid w:val="00835D35"/>
    <w:rsid w:val="00836113"/>
    <w:rsid w:val="00836B20"/>
    <w:rsid w:val="00836BB3"/>
    <w:rsid w:val="00836CA4"/>
    <w:rsid w:val="00837092"/>
    <w:rsid w:val="008370EE"/>
    <w:rsid w:val="008371FB"/>
    <w:rsid w:val="00837769"/>
    <w:rsid w:val="0083794B"/>
    <w:rsid w:val="00837A74"/>
    <w:rsid w:val="00837D00"/>
    <w:rsid w:val="00840096"/>
    <w:rsid w:val="0084022B"/>
    <w:rsid w:val="008405F0"/>
    <w:rsid w:val="008407CD"/>
    <w:rsid w:val="00840CB9"/>
    <w:rsid w:val="008410FF"/>
    <w:rsid w:val="0084123A"/>
    <w:rsid w:val="00841276"/>
    <w:rsid w:val="0084141C"/>
    <w:rsid w:val="008417C0"/>
    <w:rsid w:val="00841DCB"/>
    <w:rsid w:val="00841FA8"/>
    <w:rsid w:val="00842071"/>
    <w:rsid w:val="00842D86"/>
    <w:rsid w:val="00842EAF"/>
    <w:rsid w:val="0084327C"/>
    <w:rsid w:val="0084352B"/>
    <w:rsid w:val="00843795"/>
    <w:rsid w:val="00843923"/>
    <w:rsid w:val="00843DDA"/>
    <w:rsid w:val="00843E68"/>
    <w:rsid w:val="008447C0"/>
    <w:rsid w:val="008449DC"/>
    <w:rsid w:val="00845008"/>
    <w:rsid w:val="00845203"/>
    <w:rsid w:val="00845462"/>
    <w:rsid w:val="0084588C"/>
    <w:rsid w:val="008459F7"/>
    <w:rsid w:val="00845B44"/>
    <w:rsid w:val="00845C9A"/>
    <w:rsid w:val="00845F1D"/>
    <w:rsid w:val="00845FE1"/>
    <w:rsid w:val="008464A8"/>
    <w:rsid w:val="008465EF"/>
    <w:rsid w:val="00847725"/>
    <w:rsid w:val="00847F0F"/>
    <w:rsid w:val="00850140"/>
    <w:rsid w:val="008502D5"/>
    <w:rsid w:val="0085039C"/>
    <w:rsid w:val="00850459"/>
    <w:rsid w:val="0085052E"/>
    <w:rsid w:val="0085055D"/>
    <w:rsid w:val="00850632"/>
    <w:rsid w:val="00850679"/>
    <w:rsid w:val="0085118F"/>
    <w:rsid w:val="00851F05"/>
    <w:rsid w:val="008520A7"/>
    <w:rsid w:val="008520D8"/>
    <w:rsid w:val="008523F0"/>
    <w:rsid w:val="00852448"/>
    <w:rsid w:val="0085253D"/>
    <w:rsid w:val="008525ED"/>
    <w:rsid w:val="008528C2"/>
    <w:rsid w:val="00853296"/>
    <w:rsid w:val="008538DE"/>
    <w:rsid w:val="00853FEE"/>
    <w:rsid w:val="008541AC"/>
    <w:rsid w:val="00854343"/>
    <w:rsid w:val="00854522"/>
    <w:rsid w:val="008548D3"/>
    <w:rsid w:val="00854FBF"/>
    <w:rsid w:val="00855077"/>
    <w:rsid w:val="00855147"/>
    <w:rsid w:val="0085526A"/>
    <w:rsid w:val="0085542D"/>
    <w:rsid w:val="00855EA2"/>
    <w:rsid w:val="0085641F"/>
    <w:rsid w:val="00856508"/>
    <w:rsid w:val="0085690C"/>
    <w:rsid w:val="00856C62"/>
    <w:rsid w:val="00857BCC"/>
    <w:rsid w:val="00857CAA"/>
    <w:rsid w:val="00860033"/>
    <w:rsid w:val="00860140"/>
    <w:rsid w:val="00860A1A"/>
    <w:rsid w:val="00860B27"/>
    <w:rsid w:val="00860D21"/>
    <w:rsid w:val="008610CA"/>
    <w:rsid w:val="00861A07"/>
    <w:rsid w:val="008620E2"/>
    <w:rsid w:val="00862267"/>
    <w:rsid w:val="00862601"/>
    <w:rsid w:val="008628A2"/>
    <w:rsid w:val="00862C6F"/>
    <w:rsid w:val="00862D1A"/>
    <w:rsid w:val="00862E6A"/>
    <w:rsid w:val="0086326F"/>
    <w:rsid w:val="008633D7"/>
    <w:rsid w:val="00863A1D"/>
    <w:rsid w:val="00863AF5"/>
    <w:rsid w:val="00863E91"/>
    <w:rsid w:val="00863EEC"/>
    <w:rsid w:val="00863F6E"/>
    <w:rsid w:val="00864899"/>
    <w:rsid w:val="00864B91"/>
    <w:rsid w:val="00864C6B"/>
    <w:rsid w:val="00864F19"/>
    <w:rsid w:val="00864F59"/>
    <w:rsid w:val="008650E1"/>
    <w:rsid w:val="00865117"/>
    <w:rsid w:val="00865310"/>
    <w:rsid w:val="0086546D"/>
    <w:rsid w:val="00865542"/>
    <w:rsid w:val="008657E1"/>
    <w:rsid w:val="0086606B"/>
    <w:rsid w:val="008662C2"/>
    <w:rsid w:val="0086638A"/>
    <w:rsid w:val="00866C6F"/>
    <w:rsid w:val="00867084"/>
    <w:rsid w:val="0086710D"/>
    <w:rsid w:val="0086767D"/>
    <w:rsid w:val="00867957"/>
    <w:rsid w:val="00867BF7"/>
    <w:rsid w:val="00867E4B"/>
    <w:rsid w:val="0087001C"/>
    <w:rsid w:val="008700B4"/>
    <w:rsid w:val="008702FE"/>
    <w:rsid w:val="0087063C"/>
    <w:rsid w:val="0087079F"/>
    <w:rsid w:val="00870930"/>
    <w:rsid w:val="00870954"/>
    <w:rsid w:val="00870B27"/>
    <w:rsid w:val="00870CA6"/>
    <w:rsid w:val="00871288"/>
    <w:rsid w:val="00871426"/>
    <w:rsid w:val="00871FA2"/>
    <w:rsid w:val="00872362"/>
    <w:rsid w:val="00872775"/>
    <w:rsid w:val="008727CE"/>
    <w:rsid w:val="008727EC"/>
    <w:rsid w:val="00872AFD"/>
    <w:rsid w:val="00872CB1"/>
    <w:rsid w:val="00872F99"/>
    <w:rsid w:val="00873571"/>
    <w:rsid w:val="0087361E"/>
    <w:rsid w:val="00873874"/>
    <w:rsid w:val="008739B9"/>
    <w:rsid w:val="00874CA5"/>
    <w:rsid w:val="0087564A"/>
    <w:rsid w:val="008761F1"/>
    <w:rsid w:val="00876294"/>
    <w:rsid w:val="008762CD"/>
    <w:rsid w:val="00876F06"/>
    <w:rsid w:val="00877B63"/>
    <w:rsid w:val="00877FD3"/>
    <w:rsid w:val="008801AA"/>
    <w:rsid w:val="008802EF"/>
    <w:rsid w:val="00880654"/>
    <w:rsid w:val="00880894"/>
    <w:rsid w:val="00880B2B"/>
    <w:rsid w:val="008812A3"/>
    <w:rsid w:val="00881451"/>
    <w:rsid w:val="008814B1"/>
    <w:rsid w:val="00881DFF"/>
    <w:rsid w:val="00881F13"/>
    <w:rsid w:val="00882081"/>
    <w:rsid w:val="0088258A"/>
    <w:rsid w:val="00883273"/>
    <w:rsid w:val="0088375B"/>
    <w:rsid w:val="00883C75"/>
    <w:rsid w:val="00884217"/>
    <w:rsid w:val="008842EA"/>
    <w:rsid w:val="008844AE"/>
    <w:rsid w:val="008845EF"/>
    <w:rsid w:val="00884603"/>
    <w:rsid w:val="0088473E"/>
    <w:rsid w:val="008847F7"/>
    <w:rsid w:val="00884EA3"/>
    <w:rsid w:val="0088500A"/>
    <w:rsid w:val="008856B5"/>
    <w:rsid w:val="00885A31"/>
    <w:rsid w:val="00885BB5"/>
    <w:rsid w:val="00885FE6"/>
    <w:rsid w:val="0088608A"/>
    <w:rsid w:val="00886332"/>
    <w:rsid w:val="008863E7"/>
    <w:rsid w:val="008866B7"/>
    <w:rsid w:val="00886C0D"/>
    <w:rsid w:val="00886DA6"/>
    <w:rsid w:val="00886E25"/>
    <w:rsid w:val="00886F8D"/>
    <w:rsid w:val="00887584"/>
    <w:rsid w:val="008876C2"/>
    <w:rsid w:val="00887836"/>
    <w:rsid w:val="0088789E"/>
    <w:rsid w:val="00887A95"/>
    <w:rsid w:val="00887B00"/>
    <w:rsid w:val="00887EC6"/>
    <w:rsid w:val="00887F9C"/>
    <w:rsid w:val="0089017D"/>
    <w:rsid w:val="008905D1"/>
    <w:rsid w:val="00891060"/>
    <w:rsid w:val="00891367"/>
    <w:rsid w:val="00891660"/>
    <w:rsid w:val="00891746"/>
    <w:rsid w:val="00892333"/>
    <w:rsid w:val="008925B6"/>
    <w:rsid w:val="00892D88"/>
    <w:rsid w:val="008930BC"/>
    <w:rsid w:val="008934CA"/>
    <w:rsid w:val="0089371E"/>
    <w:rsid w:val="008938CE"/>
    <w:rsid w:val="00893AF0"/>
    <w:rsid w:val="00894346"/>
    <w:rsid w:val="00894652"/>
    <w:rsid w:val="0089470F"/>
    <w:rsid w:val="00894782"/>
    <w:rsid w:val="00894A7E"/>
    <w:rsid w:val="00895F3F"/>
    <w:rsid w:val="0089630D"/>
    <w:rsid w:val="008965AA"/>
    <w:rsid w:val="008966CE"/>
    <w:rsid w:val="00896A86"/>
    <w:rsid w:val="00897036"/>
    <w:rsid w:val="0089777D"/>
    <w:rsid w:val="008979A2"/>
    <w:rsid w:val="00897AD4"/>
    <w:rsid w:val="00897CD9"/>
    <w:rsid w:val="008A0187"/>
    <w:rsid w:val="008A018E"/>
    <w:rsid w:val="008A1456"/>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162"/>
    <w:rsid w:val="008A6A14"/>
    <w:rsid w:val="008A6BF6"/>
    <w:rsid w:val="008A6EA0"/>
    <w:rsid w:val="008A70A5"/>
    <w:rsid w:val="008A73C1"/>
    <w:rsid w:val="008A7BC0"/>
    <w:rsid w:val="008A7DD3"/>
    <w:rsid w:val="008B0274"/>
    <w:rsid w:val="008B04AE"/>
    <w:rsid w:val="008B05B4"/>
    <w:rsid w:val="008B0678"/>
    <w:rsid w:val="008B0959"/>
    <w:rsid w:val="008B09CD"/>
    <w:rsid w:val="008B0E36"/>
    <w:rsid w:val="008B158A"/>
    <w:rsid w:val="008B17D3"/>
    <w:rsid w:val="008B19C8"/>
    <w:rsid w:val="008B1FCE"/>
    <w:rsid w:val="008B2332"/>
    <w:rsid w:val="008B23D9"/>
    <w:rsid w:val="008B2EBF"/>
    <w:rsid w:val="008B33F8"/>
    <w:rsid w:val="008B364B"/>
    <w:rsid w:val="008B3872"/>
    <w:rsid w:val="008B38F0"/>
    <w:rsid w:val="008B3FC8"/>
    <w:rsid w:val="008B4132"/>
    <w:rsid w:val="008B4304"/>
    <w:rsid w:val="008B443E"/>
    <w:rsid w:val="008B5092"/>
    <w:rsid w:val="008B594C"/>
    <w:rsid w:val="008B5BEB"/>
    <w:rsid w:val="008B6101"/>
    <w:rsid w:val="008B61D7"/>
    <w:rsid w:val="008B63B2"/>
    <w:rsid w:val="008B690B"/>
    <w:rsid w:val="008B7336"/>
    <w:rsid w:val="008B74E7"/>
    <w:rsid w:val="008B74E8"/>
    <w:rsid w:val="008B79EB"/>
    <w:rsid w:val="008C08B6"/>
    <w:rsid w:val="008C0C29"/>
    <w:rsid w:val="008C0F20"/>
    <w:rsid w:val="008C1695"/>
    <w:rsid w:val="008C1947"/>
    <w:rsid w:val="008C1AB6"/>
    <w:rsid w:val="008C1AED"/>
    <w:rsid w:val="008C2200"/>
    <w:rsid w:val="008C25A8"/>
    <w:rsid w:val="008C25DB"/>
    <w:rsid w:val="008C26AB"/>
    <w:rsid w:val="008C2C79"/>
    <w:rsid w:val="008C3042"/>
    <w:rsid w:val="008C3144"/>
    <w:rsid w:val="008C3378"/>
    <w:rsid w:val="008C34EA"/>
    <w:rsid w:val="008C374C"/>
    <w:rsid w:val="008C4A94"/>
    <w:rsid w:val="008C4E35"/>
    <w:rsid w:val="008C5110"/>
    <w:rsid w:val="008C527E"/>
    <w:rsid w:val="008C54EB"/>
    <w:rsid w:val="008C5500"/>
    <w:rsid w:val="008C5689"/>
    <w:rsid w:val="008C56D7"/>
    <w:rsid w:val="008C5D85"/>
    <w:rsid w:val="008C5E53"/>
    <w:rsid w:val="008C6050"/>
    <w:rsid w:val="008C61D3"/>
    <w:rsid w:val="008C622D"/>
    <w:rsid w:val="008C6649"/>
    <w:rsid w:val="008C6EE5"/>
    <w:rsid w:val="008C701F"/>
    <w:rsid w:val="008C72E4"/>
    <w:rsid w:val="008C7A87"/>
    <w:rsid w:val="008D080C"/>
    <w:rsid w:val="008D0A07"/>
    <w:rsid w:val="008D0C07"/>
    <w:rsid w:val="008D0E56"/>
    <w:rsid w:val="008D0F14"/>
    <w:rsid w:val="008D168E"/>
    <w:rsid w:val="008D17C0"/>
    <w:rsid w:val="008D1EEA"/>
    <w:rsid w:val="008D2C0E"/>
    <w:rsid w:val="008D312F"/>
    <w:rsid w:val="008D344F"/>
    <w:rsid w:val="008D362C"/>
    <w:rsid w:val="008D3BFB"/>
    <w:rsid w:val="008D40AA"/>
    <w:rsid w:val="008D4286"/>
    <w:rsid w:val="008D4458"/>
    <w:rsid w:val="008D49B5"/>
    <w:rsid w:val="008D543F"/>
    <w:rsid w:val="008D556E"/>
    <w:rsid w:val="008D58D7"/>
    <w:rsid w:val="008D5932"/>
    <w:rsid w:val="008D5D64"/>
    <w:rsid w:val="008D5FAD"/>
    <w:rsid w:val="008D6095"/>
    <w:rsid w:val="008D6133"/>
    <w:rsid w:val="008D6520"/>
    <w:rsid w:val="008D682E"/>
    <w:rsid w:val="008D6C1F"/>
    <w:rsid w:val="008D717E"/>
    <w:rsid w:val="008D77B0"/>
    <w:rsid w:val="008D7884"/>
    <w:rsid w:val="008D7889"/>
    <w:rsid w:val="008D7D59"/>
    <w:rsid w:val="008D7E1E"/>
    <w:rsid w:val="008E0A7D"/>
    <w:rsid w:val="008E0D6A"/>
    <w:rsid w:val="008E0E7A"/>
    <w:rsid w:val="008E1153"/>
    <w:rsid w:val="008E11F2"/>
    <w:rsid w:val="008E1515"/>
    <w:rsid w:val="008E1A3C"/>
    <w:rsid w:val="008E1A6C"/>
    <w:rsid w:val="008E25A4"/>
    <w:rsid w:val="008E295D"/>
    <w:rsid w:val="008E2974"/>
    <w:rsid w:val="008E2D15"/>
    <w:rsid w:val="008E3612"/>
    <w:rsid w:val="008E3985"/>
    <w:rsid w:val="008E4026"/>
    <w:rsid w:val="008E406F"/>
    <w:rsid w:val="008E41F8"/>
    <w:rsid w:val="008E432F"/>
    <w:rsid w:val="008E452F"/>
    <w:rsid w:val="008E4A47"/>
    <w:rsid w:val="008E4C73"/>
    <w:rsid w:val="008E513B"/>
    <w:rsid w:val="008E569A"/>
    <w:rsid w:val="008E5A54"/>
    <w:rsid w:val="008E6018"/>
    <w:rsid w:val="008E6184"/>
    <w:rsid w:val="008E64DD"/>
    <w:rsid w:val="008E66BD"/>
    <w:rsid w:val="008E672F"/>
    <w:rsid w:val="008E6A93"/>
    <w:rsid w:val="008E6AF7"/>
    <w:rsid w:val="008E6C31"/>
    <w:rsid w:val="008E6E02"/>
    <w:rsid w:val="008E7183"/>
    <w:rsid w:val="008E74D4"/>
    <w:rsid w:val="008E7E8E"/>
    <w:rsid w:val="008E7EB5"/>
    <w:rsid w:val="008E7F98"/>
    <w:rsid w:val="008F0047"/>
    <w:rsid w:val="008F0248"/>
    <w:rsid w:val="008F04F9"/>
    <w:rsid w:val="008F0B6B"/>
    <w:rsid w:val="008F1855"/>
    <w:rsid w:val="008F209C"/>
    <w:rsid w:val="008F2143"/>
    <w:rsid w:val="008F2406"/>
    <w:rsid w:val="008F27A6"/>
    <w:rsid w:val="008F2936"/>
    <w:rsid w:val="008F2A9B"/>
    <w:rsid w:val="008F2BCC"/>
    <w:rsid w:val="008F32BF"/>
    <w:rsid w:val="008F338D"/>
    <w:rsid w:val="008F3638"/>
    <w:rsid w:val="008F3BE1"/>
    <w:rsid w:val="008F3D9F"/>
    <w:rsid w:val="008F3EB7"/>
    <w:rsid w:val="008F3F8F"/>
    <w:rsid w:val="008F4155"/>
    <w:rsid w:val="008F420F"/>
    <w:rsid w:val="008F4441"/>
    <w:rsid w:val="008F4681"/>
    <w:rsid w:val="008F507A"/>
    <w:rsid w:val="008F51CD"/>
    <w:rsid w:val="008F520F"/>
    <w:rsid w:val="008F54DE"/>
    <w:rsid w:val="008F57E8"/>
    <w:rsid w:val="008F5A83"/>
    <w:rsid w:val="008F5CE0"/>
    <w:rsid w:val="008F5EB6"/>
    <w:rsid w:val="008F6013"/>
    <w:rsid w:val="008F6193"/>
    <w:rsid w:val="008F63F2"/>
    <w:rsid w:val="008F64A3"/>
    <w:rsid w:val="008F6833"/>
    <w:rsid w:val="008F6F31"/>
    <w:rsid w:val="008F6FE8"/>
    <w:rsid w:val="008F74DF"/>
    <w:rsid w:val="008F7E83"/>
    <w:rsid w:val="00900470"/>
    <w:rsid w:val="00900506"/>
    <w:rsid w:val="009005BC"/>
    <w:rsid w:val="0090078F"/>
    <w:rsid w:val="009008BD"/>
    <w:rsid w:val="00901395"/>
    <w:rsid w:val="009013B1"/>
    <w:rsid w:val="009013C2"/>
    <w:rsid w:val="009014DC"/>
    <w:rsid w:val="00901530"/>
    <w:rsid w:val="009015E4"/>
    <w:rsid w:val="009016B0"/>
    <w:rsid w:val="0090220A"/>
    <w:rsid w:val="009025F7"/>
    <w:rsid w:val="009026B0"/>
    <w:rsid w:val="00902B62"/>
    <w:rsid w:val="00903046"/>
    <w:rsid w:val="00903183"/>
    <w:rsid w:val="00903764"/>
    <w:rsid w:val="00903810"/>
    <w:rsid w:val="00903B0A"/>
    <w:rsid w:val="00903B6D"/>
    <w:rsid w:val="00903C91"/>
    <w:rsid w:val="00903DDA"/>
    <w:rsid w:val="0090408C"/>
    <w:rsid w:val="009042D8"/>
    <w:rsid w:val="009044D4"/>
    <w:rsid w:val="00904551"/>
    <w:rsid w:val="009045DF"/>
    <w:rsid w:val="009048DA"/>
    <w:rsid w:val="00905075"/>
    <w:rsid w:val="00905AFF"/>
    <w:rsid w:val="00905D8A"/>
    <w:rsid w:val="009063DD"/>
    <w:rsid w:val="009066E6"/>
    <w:rsid w:val="00906769"/>
    <w:rsid w:val="00906D43"/>
    <w:rsid w:val="00906E4E"/>
    <w:rsid w:val="00906FA4"/>
    <w:rsid w:val="009071AB"/>
    <w:rsid w:val="009072F7"/>
    <w:rsid w:val="00907954"/>
    <w:rsid w:val="00907E4E"/>
    <w:rsid w:val="00907F5B"/>
    <w:rsid w:val="00910347"/>
    <w:rsid w:val="009105F2"/>
    <w:rsid w:val="009107F8"/>
    <w:rsid w:val="00910991"/>
    <w:rsid w:val="00910A83"/>
    <w:rsid w:val="00910C6D"/>
    <w:rsid w:val="00910E3F"/>
    <w:rsid w:val="0091123A"/>
    <w:rsid w:val="009115D0"/>
    <w:rsid w:val="00911890"/>
    <w:rsid w:val="009119FC"/>
    <w:rsid w:val="00911B9B"/>
    <w:rsid w:val="00911CE2"/>
    <w:rsid w:val="00911E41"/>
    <w:rsid w:val="00911FE1"/>
    <w:rsid w:val="0091205E"/>
    <w:rsid w:val="0091216A"/>
    <w:rsid w:val="0091242F"/>
    <w:rsid w:val="0091258F"/>
    <w:rsid w:val="009127BA"/>
    <w:rsid w:val="009128DF"/>
    <w:rsid w:val="00912AC6"/>
    <w:rsid w:val="00913B42"/>
    <w:rsid w:val="00913C11"/>
    <w:rsid w:val="0091438E"/>
    <w:rsid w:val="009143D6"/>
    <w:rsid w:val="009144E4"/>
    <w:rsid w:val="00914B2C"/>
    <w:rsid w:val="00914B41"/>
    <w:rsid w:val="00914D84"/>
    <w:rsid w:val="00915331"/>
    <w:rsid w:val="00915394"/>
    <w:rsid w:val="009156E8"/>
    <w:rsid w:val="00915728"/>
    <w:rsid w:val="009158E5"/>
    <w:rsid w:val="009158F2"/>
    <w:rsid w:val="0091619A"/>
    <w:rsid w:val="0091621D"/>
    <w:rsid w:val="009165FB"/>
    <w:rsid w:val="00916619"/>
    <w:rsid w:val="0091663B"/>
    <w:rsid w:val="00916D23"/>
    <w:rsid w:val="00916E0D"/>
    <w:rsid w:val="00917476"/>
    <w:rsid w:val="009179F9"/>
    <w:rsid w:val="00917F6C"/>
    <w:rsid w:val="009201D3"/>
    <w:rsid w:val="00920816"/>
    <w:rsid w:val="00920885"/>
    <w:rsid w:val="00920BB4"/>
    <w:rsid w:val="0092132B"/>
    <w:rsid w:val="009213DB"/>
    <w:rsid w:val="0092154D"/>
    <w:rsid w:val="009221E9"/>
    <w:rsid w:val="00922279"/>
    <w:rsid w:val="0092237E"/>
    <w:rsid w:val="009227A6"/>
    <w:rsid w:val="00922A9F"/>
    <w:rsid w:val="009230C3"/>
    <w:rsid w:val="00923342"/>
    <w:rsid w:val="009235F8"/>
    <w:rsid w:val="0092366A"/>
    <w:rsid w:val="0092368C"/>
    <w:rsid w:val="0092377E"/>
    <w:rsid w:val="00923A31"/>
    <w:rsid w:val="00923EE2"/>
    <w:rsid w:val="00923F9E"/>
    <w:rsid w:val="00924526"/>
    <w:rsid w:val="009246B0"/>
    <w:rsid w:val="00924949"/>
    <w:rsid w:val="00924B7D"/>
    <w:rsid w:val="00924D94"/>
    <w:rsid w:val="00924FEA"/>
    <w:rsid w:val="009253F2"/>
    <w:rsid w:val="00925611"/>
    <w:rsid w:val="00926634"/>
    <w:rsid w:val="00926648"/>
    <w:rsid w:val="0092686E"/>
    <w:rsid w:val="00926E8E"/>
    <w:rsid w:val="00927A62"/>
    <w:rsid w:val="00927B5D"/>
    <w:rsid w:val="00927CD8"/>
    <w:rsid w:val="00927CF1"/>
    <w:rsid w:val="00930B2C"/>
    <w:rsid w:val="00930F7B"/>
    <w:rsid w:val="00930FD9"/>
    <w:rsid w:val="009310AD"/>
    <w:rsid w:val="0093159C"/>
    <w:rsid w:val="00931901"/>
    <w:rsid w:val="00931ADA"/>
    <w:rsid w:val="00931DFC"/>
    <w:rsid w:val="00931E0A"/>
    <w:rsid w:val="00931E8E"/>
    <w:rsid w:val="009320C2"/>
    <w:rsid w:val="009320F2"/>
    <w:rsid w:val="00932193"/>
    <w:rsid w:val="00932484"/>
    <w:rsid w:val="00932D39"/>
    <w:rsid w:val="00932F8C"/>
    <w:rsid w:val="00932FA6"/>
    <w:rsid w:val="00932FDD"/>
    <w:rsid w:val="009331CA"/>
    <w:rsid w:val="00933EC1"/>
    <w:rsid w:val="00933FDB"/>
    <w:rsid w:val="009340C3"/>
    <w:rsid w:val="0093416D"/>
    <w:rsid w:val="00934291"/>
    <w:rsid w:val="009345F4"/>
    <w:rsid w:val="00934BF5"/>
    <w:rsid w:val="00935279"/>
    <w:rsid w:val="0093550E"/>
    <w:rsid w:val="00935569"/>
    <w:rsid w:val="00935718"/>
    <w:rsid w:val="009357C6"/>
    <w:rsid w:val="0093620B"/>
    <w:rsid w:val="0093641E"/>
    <w:rsid w:val="0093642C"/>
    <w:rsid w:val="0093655D"/>
    <w:rsid w:val="009371BE"/>
    <w:rsid w:val="009373F5"/>
    <w:rsid w:val="009375E1"/>
    <w:rsid w:val="009378A2"/>
    <w:rsid w:val="0094001F"/>
    <w:rsid w:val="009400F1"/>
    <w:rsid w:val="0094037C"/>
    <w:rsid w:val="00940D6E"/>
    <w:rsid w:val="009410D8"/>
    <w:rsid w:val="009411F1"/>
    <w:rsid w:val="00941215"/>
    <w:rsid w:val="009419FD"/>
    <w:rsid w:val="00941ECC"/>
    <w:rsid w:val="00942A2E"/>
    <w:rsid w:val="00942AE2"/>
    <w:rsid w:val="00942F7F"/>
    <w:rsid w:val="00943446"/>
    <w:rsid w:val="00943649"/>
    <w:rsid w:val="009438EE"/>
    <w:rsid w:val="00943FC6"/>
    <w:rsid w:val="00944313"/>
    <w:rsid w:val="0094497C"/>
    <w:rsid w:val="00944D33"/>
    <w:rsid w:val="0094552D"/>
    <w:rsid w:val="00945776"/>
    <w:rsid w:val="00945966"/>
    <w:rsid w:val="00945B17"/>
    <w:rsid w:val="00945D2E"/>
    <w:rsid w:val="00946C49"/>
    <w:rsid w:val="00946D36"/>
    <w:rsid w:val="00946F02"/>
    <w:rsid w:val="00950036"/>
    <w:rsid w:val="0095053A"/>
    <w:rsid w:val="0095057A"/>
    <w:rsid w:val="00950C7C"/>
    <w:rsid w:val="0095116F"/>
    <w:rsid w:val="009511BD"/>
    <w:rsid w:val="00951254"/>
    <w:rsid w:val="00951957"/>
    <w:rsid w:val="009520DC"/>
    <w:rsid w:val="0095224C"/>
    <w:rsid w:val="0095240D"/>
    <w:rsid w:val="0095275E"/>
    <w:rsid w:val="0095297B"/>
    <w:rsid w:val="009530DB"/>
    <w:rsid w:val="009532E8"/>
    <w:rsid w:val="00953489"/>
    <w:rsid w:val="00953676"/>
    <w:rsid w:val="009537A9"/>
    <w:rsid w:val="0095395E"/>
    <w:rsid w:val="00953B66"/>
    <w:rsid w:val="00953E09"/>
    <w:rsid w:val="00953FCB"/>
    <w:rsid w:val="0095446A"/>
    <w:rsid w:val="00954559"/>
    <w:rsid w:val="00954643"/>
    <w:rsid w:val="0095492C"/>
    <w:rsid w:val="00954B9B"/>
    <w:rsid w:val="00954E6F"/>
    <w:rsid w:val="0095523E"/>
    <w:rsid w:val="009554BA"/>
    <w:rsid w:val="0095553C"/>
    <w:rsid w:val="0095559E"/>
    <w:rsid w:val="00955942"/>
    <w:rsid w:val="00955AF7"/>
    <w:rsid w:val="00955B4C"/>
    <w:rsid w:val="00955F2D"/>
    <w:rsid w:val="009567C0"/>
    <w:rsid w:val="009567EB"/>
    <w:rsid w:val="0095681E"/>
    <w:rsid w:val="0095696B"/>
    <w:rsid w:val="00956CB8"/>
    <w:rsid w:val="00956F3D"/>
    <w:rsid w:val="00957091"/>
    <w:rsid w:val="0095794B"/>
    <w:rsid w:val="00957DE9"/>
    <w:rsid w:val="009604E6"/>
    <w:rsid w:val="00960B7E"/>
    <w:rsid w:val="0096152F"/>
    <w:rsid w:val="0096183C"/>
    <w:rsid w:val="00961F43"/>
    <w:rsid w:val="00961FC5"/>
    <w:rsid w:val="00962074"/>
    <w:rsid w:val="009625A7"/>
    <w:rsid w:val="00962A85"/>
    <w:rsid w:val="00962F7D"/>
    <w:rsid w:val="00963063"/>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67D79"/>
    <w:rsid w:val="009700E0"/>
    <w:rsid w:val="00970339"/>
    <w:rsid w:val="009705EE"/>
    <w:rsid w:val="00970BFC"/>
    <w:rsid w:val="00970FA8"/>
    <w:rsid w:val="0097112F"/>
    <w:rsid w:val="0097199F"/>
    <w:rsid w:val="00971AC1"/>
    <w:rsid w:val="00971B92"/>
    <w:rsid w:val="009721FD"/>
    <w:rsid w:val="00972393"/>
    <w:rsid w:val="009728C5"/>
    <w:rsid w:val="0097317D"/>
    <w:rsid w:val="009731CA"/>
    <w:rsid w:val="0097331B"/>
    <w:rsid w:val="009733C7"/>
    <w:rsid w:val="00973545"/>
    <w:rsid w:val="009737D4"/>
    <w:rsid w:val="009742A5"/>
    <w:rsid w:val="00974301"/>
    <w:rsid w:val="0097441E"/>
    <w:rsid w:val="00974B3E"/>
    <w:rsid w:val="00974C6F"/>
    <w:rsid w:val="00974D44"/>
    <w:rsid w:val="009750E0"/>
    <w:rsid w:val="009752A2"/>
    <w:rsid w:val="009753BF"/>
    <w:rsid w:val="00975BD6"/>
    <w:rsid w:val="00975CE0"/>
    <w:rsid w:val="00975D37"/>
    <w:rsid w:val="009763BA"/>
    <w:rsid w:val="00976783"/>
    <w:rsid w:val="00976977"/>
    <w:rsid w:val="00976E05"/>
    <w:rsid w:val="0097788A"/>
    <w:rsid w:val="00977927"/>
    <w:rsid w:val="0098021D"/>
    <w:rsid w:val="009804FE"/>
    <w:rsid w:val="0098135C"/>
    <w:rsid w:val="009813F1"/>
    <w:rsid w:val="0098145B"/>
    <w:rsid w:val="0098156A"/>
    <w:rsid w:val="00981ED2"/>
    <w:rsid w:val="00982712"/>
    <w:rsid w:val="00982C56"/>
    <w:rsid w:val="00982FC0"/>
    <w:rsid w:val="0098301B"/>
    <w:rsid w:val="00983153"/>
    <w:rsid w:val="0098316A"/>
    <w:rsid w:val="0098377A"/>
    <w:rsid w:val="0098385A"/>
    <w:rsid w:val="009838D7"/>
    <w:rsid w:val="0098391C"/>
    <w:rsid w:val="00983C2E"/>
    <w:rsid w:val="00983C80"/>
    <w:rsid w:val="00984052"/>
    <w:rsid w:val="009841F9"/>
    <w:rsid w:val="0098449E"/>
    <w:rsid w:val="009849BC"/>
    <w:rsid w:val="00984B34"/>
    <w:rsid w:val="00984BE7"/>
    <w:rsid w:val="00984CC4"/>
    <w:rsid w:val="00984D68"/>
    <w:rsid w:val="009850DE"/>
    <w:rsid w:val="009851F9"/>
    <w:rsid w:val="009852D4"/>
    <w:rsid w:val="00985365"/>
    <w:rsid w:val="00985479"/>
    <w:rsid w:val="00985603"/>
    <w:rsid w:val="00985DC4"/>
    <w:rsid w:val="00985E54"/>
    <w:rsid w:val="00986073"/>
    <w:rsid w:val="00986271"/>
    <w:rsid w:val="00986450"/>
    <w:rsid w:val="0098675F"/>
    <w:rsid w:val="0098691A"/>
    <w:rsid w:val="009869CB"/>
    <w:rsid w:val="009871FF"/>
    <w:rsid w:val="00987C84"/>
    <w:rsid w:val="00987F0B"/>
    <w:rsid w:val="00987FC9"/>
    <w:rsid w:val="0099050E"/>
    <w:rsid w:val="009906CD"/>
    <w:rsid w:val="009908F9"/>
    <w:rsid w:val="0099113E"/>
    <w:rsid w:val="00991BAC"/>
    <w:rsid w:val="00992738"/>
    <w:rsid w:val="00992A4D"/>
    <w:rsid w:val="00992C3C"/>
    <w:rsid w:val="00992F72"/>
    <w:rsid w:val="009930F9"/>
    <w:rsid w:val="009935C7"/>
    <w:rsid w:val="0099363F"/>
    <w:rsid w:val="00993804"/>
    <w:rsid w:val="00993ECA"/>
    <w:rsid w:val="00994312"/>
    <w:rsid w:val="009946C4"/>
    <w:rsid w:val="00994A0C"/>
    <w:rsid w:val="00994D49"/>
    <w:rsid w:val="0099532E"/>
    <w:rsid w:val="009953FA"/>
    <w:rsid w:val="00995C6C"/>
    <w:rsid w:val="0099694A"/>
    <w:rsid w:val="00996BA8"/>
    <w:rsid w:val="00997B05"/>
    <w:rsid w:val="00997C72"/>
    <w:rsid w:val="00997EE3"/>
    <w:rsid w:val="009A0193"/>
    <w:rsid w:val="009A0A27"/>
    <w:rsid w:val="009A0CB7"/>
    <w:rsid w:val="009A1065"/>
    <w:rsid w:val="009A1079"/>
    <w:rsid w:val="009A10AF"/>
    <w:rsid w:val="009A1CFB"/>
    <w:rsid w:val="009A2C18"/>
    <w:rsid w:val="009A2DC3"/>
    <w:rsid w:val="009A2FEF"/>
    <w:rsid w:val="009A3076"/>
    <w:rsid w:val="009A3597"/>
    <w:rsid w:val="009A361E"/>
    <w:rsid w:val="009A3640"/>
    <w:rsid w:val="009A3BD0"/>
    <w:rsid w:val="009A3CE4"/>
    <w:rsid w:val="009A3E73"/>
    <w:rsid w:val="009A45D9"/>
    <w:rsid w:val="009A4A3F"/>
    <w:rsid w:val="009A4ECE"/>
    <w:rsid w:val="009A5141"/>
    <w:rsid w:val="009A52CD"/>
    <w:rsid w:val="009A5720"/>
    <w:rsid w:val="009A5AA7"/>
    <w:rsid w:val="009A5B35"/>
    <w:rsid w:val="009A5BF0"/>
    <w:rsid w:val="009A6049"/>
    <w:rsid w:val="009A662F"/>
    <w:rsid w:val="009A670D"/>
    <w:rsid w:val="009A6B40"/>
    <w:rsid w:val="009A6DE5"/>
    <w:rsid w:val="009A6EA0"/>
    <w:rsid w:val="009A6F77"/>
    <w:rsid w:val="009A701D"/>
    <w:rsid w:val="009A7078"/>
    <w:rsid w:val="009A735B"/>
    <w:rsid w:val="009A7649"/>
    <w:rsid w:val="009A76B3"/>
    <w:rsid w:val="009A7817"/>
    <w:rsid w:val="009A78F8"/>
    <w:rsid w:val="009A7AD8"/>
    <w:rsid w:val="009B0140"/>
    <w:rsid w:val="009B04E3"/>
    <w:rsid w:val="009B0831"/>
    <w:rsid w:val="009B08B6"/>
    <w:rsid w:val="009B08C6"/>
    <w:rsid w:val="009B0A6E"/>
    <w:rsid w:val="009B106D"/>
    <w:rsid w:val="009B1AAB"/>
    <w:rsid w:val="009B20A2"/>
    <w:rsid w:val="009B216F"/>
    <w:rsid w:val="009B298B"/>
    <w:rsid w:val="009B2F41"/>
    <w:rsid w:val="009B2FC2"/>
    <w:rsid w:val="009B31F4"/>
    <w:rsid w:val="009B3555"/>
    <w:rsid w:val="009B3790"/>
    <w:rsid w:val="009B3A74"/>
    <w:rsid w:val="009B3C15"/>
    <w:rsid w:val="009B3E53"/>
    <w:rsid w:val="009B41D2"/>
    <w:rsid w:val="009B58B1"/>
    <w:rsid w:val="009B5961"/>
    <w:rsid w:val="009B5CFD"/>
    <w:rsid w:val="009B6569"/>
    <w:rsid w:val="009B65A1"/>
    <w:rsid w:val="009B665D"/>
    <w:rsid w:val="009B74B2"/>
    <w:rsid w:val="009B7A32"/>
    <w:rsid w:val="009C002F"/>
    <w:rsid w:val="009C0054"/>
    <w:rsid w:val="009C09F2"/>
    <w:rsid w:val="009C0E58"/>
    <w:rsid w:val="009C0F7A"/>
    <w:rsid w:val="009C1041"/>
    <w:rsid w:val="009C1335"/>
    <w:rsid w:val="009C1AB2"/>
    <w:rsid w:val="009C1F44"/>
    <w:rsid w:val="009C2365"/>
    <w:rsid w:val="009C3732"/>
    <w:rsid w:val="009C3F3C"/>
    <w:rsid w:val="009C4091"/>
    <w:rsid w:val="009C486B"/>
    <w:rsid w:val="009C4875"/>
    <w:rsid w:val="009C49FE"/>
    <w:rsid w:val="009C4A93"/>
    <w:rsid w:val="009C4CB8"/>
    <w:rsid w:val="009C4D35"/>
    <w:rsid w:val="009C52E4"/>
    <w:rsid w:val="009C585B"/>
    <w:rsid w:val="009C5AEF"/>
    <w:rsid w:val="009C5B32"/>
    <w:rsid w:val="009C6CF8"/>
    <w:rsid w:val="009C6DE1"/>
    <w:rsid w:val="009C7251"/>
    <w:rsid w:val="009C7BAD"/>
    <w:rsid w:val="009D0272"/>
    <w:rsid w:val="009D0363"/>
    <w:rsid w:val="009D0603"/>
    <w:rsid w:val="009D0A0D"/>
    <w:rsid w:val="009D0DC6"/>
    <w:rsid w:val="009D0FD6"/>
    <w:rsid w:val="009D116C"/>
    <w:rsid w:val="009D13BD"/>
    <w:rsid w:val="009D14E9"/>
    <w:rsid w:val="009D2269"/>
    <w:rsid w:val="009D2A21"/>
    <w:rsid w:val="009D2ED9"/>
    <w:rsid w:val="009D2F71"/>
    <w:rsid w:val="009D3116"/>
    <w:rsid w:val="009D3536"/>
    <w:rsid w:val="009D39DE"/>
    <w:rsid w:val="009D43AF"/>
    <w:rsid w:val="009D4B65"/>
    <w:rsid w:val="009D5AB4"/>
    <w:rsid w:val="009D5B49"/>
    <w:rsid w:val="009D5FB0"/>
    <w:rsid w:val="009D623F"/>
    <w:rsid w:val="009D674A"/>
    <w:rsid w:val="009D6C2C"/>
    <w:rsid w:val="009D6D89"/>
    <w:rsid w:val="009D70CF"/>
    <w:rsid w:val="009D7667"/>
    <w:rsid w:val="009D7B59"/>
    <w:rsid w:val="009D7C65"/>
    <w:rsid w:val="009E0635"/>
    <w:rsid w:val="009E0740"/>
    <w:rsid w:val="009E09BD"/>
    <w:rsid w:val="009E0EDB"/>
    <w:rsid w:val="009E10FF"/>
    <w:rsid w:val="009E125E"/>
    <w:rsid w:val="009E13C2"/>
    <w:rsid w:val="009E196C"/>
    <w:rsid w:val="009E1A82"/>
    <w:rsid w:val="009E1C88"/>
    <w:rsid w:val="009E1F6D"/>
    <w:rsid w:val="009E2244"/>
    <w:rsid w:val="009E242C"/>
    <w:rsid w:val="009E246F"/>
    <w:rsid w:val="009E2A03"/>
    <w:rsid w:val="009E2C88"/>
    <w:rsid w:val="009E2E91"/>
    <w:rsid w:val="009E36A5"/>
    <w:rsid w:val="009E3A12"/>
    <w:rsid w:val="009E3B2A"/>
    <w:rsid w:val="009E3C7E"/>
    <w:rsid w:val="009E3DF5"/>
    <w:rsid w:val="009E3DFA"/>
    <w:rsid w:val="009E3E8D"/>
    <w:rsid w:val="009E41AA"/>
    <w:rsid w:val="009E420E"/>
    <w:rsid w:val="009E423B"/>
    <w:rsid w:val="009E43B6"/>
    <w:rsid w:val="009E46F3"/>
    <w:rsid w:val="009E48D2"/>
    <w:rsid w:val="009E48E0"/>
    <w:rsid w:val="009E4AB0"/>
    <w:rsid w:val="009E4FB3"/>
    <w:rsid w:val="009E51F3"/>
    <w:rsid w:val="009E56D3"/>
    <w:rsid w:val="009E58BB"/>
    <w:rsid w:val="009E5B96"/>
    <w:rsid w:val="009E6233"/>
    <w:rsid w:val="009E640D"/>
    <w:rsid w:val="009E6457"/>
    <w:rsid w:val="009E72A6"/>
    <w:rsid w:val="009E73F8"/>
    <w:rsid w:val="009E750E"/>
    <w:rsid w:val="009E7A37"/>
    <w:rsid w:val="009E7C5F"/>
    <w:rsid w:val="009E7E21"/>
    <w:rsid w:val="009E7E4A"/>
    <w:rsid w:val="009E7EB0"/>
    <w:rsid w:val="009E7FF3"/>
    <w:rsid w:val="009F0837"/>
    <w:rsid w:val="009F08CB"/>
    <w:rsid w:val="009F0C78"/>
    <w:rsid w:val="009F0CE8"/>
    <w:rsid w:val="009F1628"/>
    <w:rsid w:val="009F16C0"/>
    <w:rsid w:val="009F2069"/>
    <w:rsid w:val="009F25F5"/>
    <w:rsid w:val="009F2677"/>
    <w:rsid w:val="009F2A56"/>
    <w:rsid w:val="009F2C75"/>
    <w:rsid w:val="009F2F2C"/>
    <w:rsid w:val="009F318D"/>
    <w:rsid w:val="009F31C2"/>
    <w:rsid w:val="009F3240"/>
    <w:rsid w:val="009F3598"/>
    <w:rsid w:val="009F3B36"/>
    <w:rsid w:val="009F3C92"/>
    <w:rsid w:val="009F3D46"/>
    <w:rsid w:val="009F448F"/>
    <w:rsid w:val="009F49D7"/>
    <w:rsid w:val="009F4D4D"/>
    <w:rsid w:val="009F56CF"/>
    <w:rsid w:val="009F5B26"/>
    <w:rsid w:val="009F6589"/>
    <w:rsid w:val="009F68AC"/>
    <w:rsid w:val="009F6BB5"/>
    <w:rsid w:val="009F6C72"/>
    <w:rsid w:val="009F6F1E"/>
    <w:rsid w:val="009F6F3D"/>
    <w:rsid w:val="009F708C"/>
    <w:rsid w:val="009F7103"/>
    <w:rsid w:val="009F71E9"/>
    <w:rsid w:val="009F73FE"/>
    <w:rsid w:val="009F7614"/>
    <w:rsid w:val="009F781B"/>
    <w:rsid w:val="00A0034F"/>
    <w:rsid w:val="00A00D80"/>
    <w:rsid w:val="00A00FA9"/>
    <w:rsid w:val="00A013FB"/>
    <w:rsid w:val="00A014BF"/>
    <w:rsid w:val="00A02628"/>
    <w:rsid w:val="00A02C20"/>
    <w:rsid w:val="00A02C72"/>
    <w:rsid w:val="00A02CE0"/>
    <w:rsid w:val="00A02DC1"/>
    <w:rsid w:val="00A02EF1"/>
    <w:rsid w:val="00A0390B"/>
    <w:rsid w:val="00A03980"/>
    <w:rsid w:val="00A03A27"/>
    <w:rsid w:val="00A03D8E"/>
    <w:rsid w:val="00A0429B"/>
    <w:rsid w:val="00A042A0"/>
    <w:rsid w:val="00A04685"/>
    <w:rsid w:val="00A04B19"/>
    <w:rsid w:val="00A04EFD"/>
    <w:rsid w:val="00A055FA"/>
    <w:rsid w:val="00A05658"/>
    <w:rsid w:val="00A0572D"/>
    <w:rsid w:val="00A05813"/>
    <w:rsid w:val="00A06187"/>
    <w:rsid w:val="00A0625D"/>
    <w:rsid w:val="00A06305"/>
    <w:rsid w:val="00A06828"/>
    <w:rsid w:val="00A06A92"/>
    <w:rsid w:val="00A06BC7"/>
    <w:rsid w:val="00A06D96"/>
    <w:rsid w:val="00A06E3B"/>
    <w:rsid w:val="00A06FC3"/>
    <w:rsid w:val="00A074FA"/>
    <w:rsid w:val="00A0770B"/>
    <w:rsid w:val="00A0780D"/>
    <w:rsid w:val="00A07AEE"/>
    <w:rsid w:val="00A07C8E"/>
    <w:rsid w:val="00A07CF5"/>
    <w:rsid w:val="00A07DCE"/>
    <w:rsid w:val="00A07EB1"/>
    <w:rsid w:val="00A07FFB"/>
    <w:rsid w:val="00A100A9"/>
    <w:rsid w:val="00A101A6"/>
    <w:rsid w:val="00A1099A"/>
    <w:rsid w:val="00A109AD"/>
    <w:rsid w:val="00A10A23"/>
    <w:rsid w:val="00A11546"/>
    <w:rsid w:val="00A11983"/>
    <w:rsid w:val="00A11F7F"/>
    <w:rsid w:val="00A11FE4"/>
    <w:rsid w:val="00A12473"/>
    <w:rsid w:val="00A127EA"/>
    <w:rsid w:val="00A12C8B"/>
    <w:rsid w:val="00A12EA3"/>
    <w:rsid w:val="00A13116"/>
    <w:rsid w:val="00A139F5"/>
    <w:rsid w:val="00A13DF6"/>
    <w:rsid w:val="00A1478D"/>
    <w:rsid w:val="00A14B11"/>
    <w:rsid w:val="00A14BB0"/>
    <w:rsid w:val="00A14C94"/>
    <w:rsid w:val="00A14CC1"/>
    <w:rsid w:val="00A14F5D"/>
    <w:rsid w:val="00A153E2"/>
    <w:rsid w:val="00A154A0"/>
    <w:rsid w:val="00A16292"/>
    <w:rsid w:val="00A162F1"/>
    <w:rsid w:val="00A16ACA"/>
    <w:rsid w:val="00A16C02"/>
    <w:rsid w:val="00A1713B"/>
    <w:rsid w:val="00A17347"/>
    <w:rsid w:val="00A1744B"/>
    <w:rsid w:val="00A174AD"/>
    <w:rsid w:val="00A17807"/>
    <w:rsid w:val="00A17835"/>
    <w:rsid w:val="00A17F12"/>
    <w:rsid w:val="00A17FA1"/>
    <w:rsid w:val="00A205D4"/>
    <w:rsid w:val="00A20AAB"/>
    <w:rsid w:val="00A20E25"/>
    <w:rsid w:val="00A20EBA"/>
    <w:rsid w:val="00A212B4"/>
    <w:rsid w:val="00A2191E"/>
    <w:rsid w:val="00A219BE"/>
    <w:rsid w:val="00A22274"/>
    <w:rsid w:val="00A22315"/>
    <w:rsid w:val="00A22459"/>
    <w:rsid w:val="00A225C2"/>
    <w:rsid w:val="00A227A6"/>
    <w:rsid w:val="00A22EDC"/>
    <w:rsid w:val="00A23022"/>
    <w:rsid w:val="00A2345A"/>
    <w:rsid w:val="00A234CF"/>
    <w:rsid w:val="00A23801"/>
    <w:rsid w:val="00A2394D"/>
    <w:rsid w:val="00A23E0B"/>
    <w:rsid w:val="00A243FB"/>
    <w:rsid w:val="00A245CF"/>
    <w:rsid w:val="00A24B2E"/>
    <w:rsid w:val="00A24B90"/>
    <w:rsid w:val="00A24F2C"/>
    <w:rsid w:val="00A25254"/>
    <w:rsid w:val="00A25A31"/>
    <w:rsid w:val="00A25F59"/>
    <w:rsid w:val="00A2680F"/>
    <w:rsid w:val="00A268C3"/>
    <w:rsid w:val="00A26A06"/>
    <w:rsid w:val="00A26D81"/>
    <w:rsid w:val="00A2711D"/>
    <w:rsid w:val="00A27274"/>
    <w:rsid w:val="00A2753D"/>
    <w:rsid w:val="00A2765B"/>
    <w:rsid w:val="00A2789A"/>
    <w:rsid w:val="00A27A6E"/>
    <w:rsid w:val="00A30190"/>
    <w:rsid w:val="00A30A9C"/>
    <w:rsid w:val="00A30DA4"/>
    <w:rsid w:val="00A313DD"/>
    <w:rsid w:val="00A32213"/>
    <w:rsid w:val="00A32C7E"/>
    <w:rsid w:val="00A3302F"/>
    <w:rsid w:val="00A33165"/>
    <w:rsid w:val="00A33182"/>
    <w:rsid w:val="00A33567"/>
    <w:rsid w:val="00A337B2"/>
    <w:rsid w:val="00A33866"/>
    <w:rsid w:val="00A33DE2"/>
    <w:rsid w:val="00A33DE6"/>
    <w:rsid w:val="00A34247"/>
    <w:rsid w:val="00A3433A"/>
    <w:rsid w:val="00A344FB"/>
    <w:rsid w:val="00A3455E"/>
    <w:rsid w:val="00A34AB2"/>
    <w:rsid w:val="00A34C06"/>
    <w:rsid w:val="00A35F77"/>
    <w:rsid w:val="00A365F4"/>
    <w:rsid w:val="00A366B9"/>
    <w:rsid w:val="00A36A35"/>
    <w:rsid w:val="00A36AAA"/>
    <w:rsid w:val="00A36CFF"/>
    <w:rsid w:val="00A3744D"/>
    <w:rsid w:val="00A37BA8"/>
    <w:rsid w:val="00A37C6C"/>
    <w:rsid w:val="00A37CBA"/>
    <w:rsid w:val="00A37D80"/>
    <w:rsid w:val="00A37EF9"/>
    <w:rsid w:val="00A40C3C"/>
    <w:rsid w:val="00A41553"/>
    <w:rsid w:val="00A41572"/>
    <w:rsid w:val="00A41B03"/>
    <w:rsid w:val="00A42157"/>
    <w:rsid w:val="00A42388"/>
    <w:rsid w:val="00A4244D"/>
    <w:rsid w:val="00A429E4"/>
    <w:rsid w:val="00A42ABA"/>
    <w:rsid w:val="00A42D87"/>
    <w:rsid w:val="00A42E8C"/>
    <w:rsid w:val="00A43094"/>
    <w:rsid w:val="00A433A7"/>
    <w:rsid w:val="00A4370E"/>
    <w:rsid w:val="00A43D24"/>
    <w:rsid w:val="00A43D85"/>
    <w:rsid w:val="00A440A2"/>
    <w:rsid w:val="00A4492C"/>
    <w:rsid w:val="00A44B45"/>
    <w:rsid w:val="00A451B3"/>
    <w:rsid w:val="00A4550A"/>
    <w:rsid w:val="00A458A8"/>
    <w:rsid w:val="00A4613E"/>
    <w:rsid w:val="00A4621A"/>
    <w:rsid w:val="00A46656"/>
    <w:rsid w:val="00A46907"/>
    <w:rsid w:val="00A46BC9"/>
    <w:rsid w:val="00A46D7D"/>
    <w:rsid w:val="00A4703F"/>
    <w:rsid w:val="00A4797E"/>
    <w:rsid w:val="00A47D15"/>
    <w:rsid w:val="00A47D80"/>
    <w:rsid w:val="00A47F1F"/>
    <w:rsid w:val="00A50DB8"/>
    <w:rsid w:val="00A50F0D"/>
    <w:rsid w:val="00A5120A"/>
    <w:rsid w:val="00A514A3"/>
    <w:rsid w:val="00A5178E"/>
    <w:rsid w:val="00A51B89"/>
    <w:rsid w:val="00A51CA9"/>
    <w:rsid w:val="00A51D75"/>
    <w:rsid w:val="00A5229A"/>
    <w:rsid w:val="00A52A49"/>
    <w:rsid w:val="00A52E2D"/>
    <w:rsid w:val="00A52F63"/>
    <w:rsid w:val="00A53132"/>
    <w:rsid w:val="00A5319E"/>
    <w:rsid w:val="00A5345C"/>
    <w:rsid w:val="00A53C18"/>
    <w:rsid w:val="00A53C1A"/>
    <w:rsid w:val="00A53E54"/>
    <w:rsid w:val="00A54339"/>
    <w:rsid w:val="00A5455F"/>
    <w:rsid w:val="00A54775"/>
    <w:rsid w:val="00A54B4F"/>
    <w:rsid w:val="00A54F43"/>
    <w:rsid w:val="00A55505"/>
    <w:rsid w:val="00A555FD"/>
    <w:rsid w:val="00A55A07"/>
    <w:rsid w:val="00A55DBC"/>
    <w:rsid w:val="00A55E14"/>
    <w:rsid w:val="00A56065"/>
    <w:rsid w:val="00A563F2"/>
    <w:rsid w:val="00A56477"/>
    <w:rsid w:val="00A565EA"/>
    <w:rsid w:val="00A566E8"/>
    <w:rsid w:val="00A567AD"/>
    <w:rsid w:val="00A56F17"/>
    <w:rsid w:val="00A571B9"/>
    <w:rsid w:val="00A571BA"/>
    <w:rsid w:val="00A5734B"/>
    <w:rsid w:val="00A57815"/>
    <w:rsid w:val="00A57871"/>
    <w:rsid w:val="00A57C44"/>
    <w:rsid w:val="00A57E0A"/>
    <w:rsid w:val="00A57E3D"/>
    <w:rsid w:val="00A601DE"/>
    <w:rsid w:val="00A60522"/>
    <w:rsid w:val="00A605A0"/>
    <w:rsid w:val="00A608D7"/>
    <w:rsid w:val="00A60F52"/>
    <w:rsid w:val="00A61348"/>
    <w:rsid w:val="00A61904"/>
    <w:rsid w:val="00A62091"/>
    <w:rsid w:val="00A624F6"/>
    <w:rsid w:val="00A6293F"/>
    <w:rsid w:val="00A62989"/>
    <w:rsid w:val="00A62D58"/>
    <w:rsid w:val="00A63031"/>
    <w:rsid w:val="00A636A8"/>
    <w:rsid w:val="00A6378D"/>
    <w:rsid w:val="00A63C79"/>
    <w:rsid w:val="00A63D5E"/>
    <w:rsid w:val="00A64097"/>
    <w:rsid w:val="00A642D4"/>
    <w:rsid w:val="00A6465E"/>
    <w:rsid w:val="00A649B0"/>
    <w:rsid w:val="00A64B2F"/>
    <w:rsid w:val="00A64F09"/>
    <w:rsid w:val="00A651E7"/>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F2"/>
    <w:rsid w:val="00A676FA"/>
    <w:rsid w:val="00A67A1F"/>
    <w:rsid w:val="00A67ABC"/>
    <w:rsid w:val="00A67E0D"/>
    <w:rsid w:val="00A7002F"/>
    <w:rsid w:val="00A70209"/>
    <w:rsid w:val="00A7069C"/>
    <w:rsid w:val="00A70761"/>
    <w:rsid w:val="00A70965"/>
    <w:rsid w:val="00A71377"/>
    <w:rsid w:val="00A7140D"/>
    <w:rsid w:val="00A715BB"/>
    <w:rsid w:val="00A718CE"/>
    <w:rsid w:val="00A7196D"/>
    <w:rsid w:val="00A71ACE"/>
    <w:rsid w:val="00A7228D"/>
    <w:rsid w:val="00A72910"/>
    <w:rsid w:val="00A72FB2"/>
    <w:rsid w:val="00A73B21"/>
    <w:rsid w:val="00A7402B"/>
    <w:rsid w:val="00A74251"/>
    <w:rsid w:val="00A74529"/>
    <w:rsid w:val="00A74804"/>
    <w:rsid w:val="00A75969"/>
    <w:rsid w:val="00A75A7B"/>
    <w:rsid w:val="00A7614D"/>
    <w:rsid w:val="00A764DC"/>
    <w:rsid w:val="00A76FF1"/>
    <w:rsid w:val="00A77A05"/>
    <w:rsid w:val="00A77C8E"/>
    <w:rsid w:val="00A80FD4"/>
    <w:rsid w:val="00A810F9"/>
    <w:rsid w:val="00A81AD1"/>
    <w:rsid w:val="00A81C91"/>
    <w:rsid w:val="00A81ECA"/>
    <w:rsid w:val="00A82056"/>
    <w:rsid w:val="00A822AA"/>
    <w:rsid w:val="00A825F1"/>
    <w:rsid w:val="00A825F2"/>
    <w:rsid w:val="00A82962"/>
    <w:rsid w:val="00A82977"/>
    <w:rsid w:val="00A82E98"/>
    <w:rsid w:val="00A8300C"/>
    <w:rsid w:val="00A834AF"/>
    <w:rsid w:val="00A83940"/>
    <w:rsid w:val="00A841C7"/>
    <w:rsid w:val="00A84D89"/>
    <w:rsid w:val="00A84FD7"/>
    <w:rsid w:val="00A85049"/>
    <w:rsid w:val="00A850D9"/>
    <w:rsid w:val="00A85854"/>
    <w:rsid w:val="00A85EE8"/>
    <w:rsid w:val="00A86946"/>
    <w:rsid w:val="00A86ECC"/>
    <w:rsid w:val="00A86FCC"/>
    <w:rsid w:val="00A8705D"/>
    <w:rsid w:val="00A87301"/>
    <w:rsid w:val="00A8751F"/>
    <w:rsid w:val="00A87596"/>
    <w:rsid w:val="00A87599"/>
    <w:rsid w:val="00A87AA8"/>
    <w:rsid w:val="00A87C4A"/>
    <w:rsid w:val="00A87D07"/>
    <w:rsid w:val="00A9008F"/>
    <w:rsid w:val="00A90207"/>
    <w:rsid w:val="00A91042"/>
    <w:rsid w:val="00A9117E"/>
    <w:rsid w:val="00A91BEC"/>
    <w:rsid w:val="00A91BFC"/>
    <w:rsid w:val="00A91C97"/>
    <w:rsid w:val="00A91FD8"/>
    <w:rsid w:val="00A923FD"/>
    <w:rsid w:val="00A9300D"/>
    <w:rsid w:val="00A9308C"/>
    <w:rsid w:val="00A932A1"/>
    <w:rsid w:val="00A9345A"/>
    <w:rsid w:val="00A9350A"/>
    <w:rsid w:val="00A93547"/>
    <w:rsid w:val="00A9374E"/>
    <w:rsid w:val="00A938D8"/>
    <w:rsid w:val="00A9395A"/>
    <w:rsid w:val="00A94701"/>
    <w:rsid w:val="00A947B5"/>
    <w:rsid w:val="00A94F02"/>
    <w:rsid w:val="00A94FEE"/>
    <w:rsid w:val="00A95221"/>
    <w:rsid w:val="00A956C5"/>
    <w:rsid w:val="00A95854"/>
    <w:rsid w:val="00A95FB3"/>
    <w:rsid w:val="00A9680C"/>
    <w:rsid w:val="00A96A55"/>
    <w:rsid w:val="00A97361"/>
    <w:rsid w:val="00A97856"/>
    <w:rsid w:val="00A97F36"/>
    <w:rsid w:val="00A97FBE"/>
    <w:rsid w:val="00AA0071"/>
    <w:rsid w:val="00AA017A"/>
    <w:rsid w:val="00AA0314"/>
    <w:rsid w:val="00AA087F"/>
    <w:rsid w:val="00AA0EE3"/>
    <w:rsid w:val="00AA11DA"/>
    <w:rsid w:val="00AA11EC"/>
    <w:rsid w:val="00AA158F"/>
    <w:rsid w:val="00AA1A55"/>
    <w:rsid w:val="00AA1D6D"/>
    <w:rsid w:val="00AA20A2"/>
    <w:rsid w:val="00AA222D"/>
    <w:rsid w:val="00AA23D3"/>
    <w:rsid w:val="00AA290E"/>
    <w:rsid w:val="00AA2949"/>
    <w:rsid w:val="00AA2B06"/>
    <w:rsid w:val="00AA2BA5"/>
    <w:rsid w:val="00AA2FD7"/>
    <w:rsid w:val="00AA3A54"/>
    <w:rsid w:val="00AA3C6E"/>
    <w:rsid w:val="00AA3DA7"/>
    <w:rsid w:val="00AA42F2"/>
    <w:rsid w:val="00AA48AF"/>
    <w:rsid w:val="00AA48DA"/>
    <w:rsid w:val="00AA4A5D"/>
    <w:rsid w:val="00AA543D"/>
    <w:rsid w:val="00AA548C"/>
    <w:rsid w:val="00AA5550"/>
    <w:rsid w:val="00AA5562"/>
    <w:rsid w:val="00AA592C"/>
    <w:rsid w:val="00AA5A43"/>
    <w:rsid w:val="00AA6439"/>
    <w:rsid w:val="00AA710D"/>
    <w:rsid w:val="00AA773C"/>
    <w:rsid w:val="00AA7B03"/>
    <w:rsid w:val="00AB0003"/>
    <w:rsid w:val="00AB005E"/>
    <w:rsid w:val="00AB06FA"/>
    <w:rsid w:val="00AB06FC"/>
    <w:rsid w:val="00AB0E6F"/>
    <w:rsid w:val="00AB1131"/>
    <w:rsid w:val="00AB136F"/>
    <w:rsid w:val="00AB1370"/>
    <w:rsid w:val="00AB1377"/>
    <w:rsid w:val="00AB1531"/>
    <w:rsid w:val="00AB1733"/>
    <w:rsid w:val="00AB21C2"/>
    <w:rsid w:val="00AB226A"/>
    <w:rsid w:val="00AB29CE"/>
    <w:rsid w:val="00AB2BB8"/>
    <w:rsid w:val="00AB2CC8"/>
    <w:rsid w:val="00AB30D2"/>
    <w:rsid w:val="00AB3D20"/>
    <w:rsid w:val="00AB42B6"/>
    <w:rsid w:val="00AB446A"/>
    <w:rsid w:val="00AB4703"/>
    <w:rsid w:val="00AB4B78"/>
    <w:rsid w:val="00AB5555"/>
    <w:rsid w:val="00AB5B7F"/>
    <w:rsid w:val="00AB5DE5"/>
    <w:rsid w:val="00AB5F48"/>
    <w:rsid w:val="00AB5FE4"/>
    <w:rsid w:val="00AB6567"/>
    <w:rsid w:val="00AB6735"/>
    <w:rsid w:val="00AB69BF"/>
    <w:rsid w:val="00AB6D25"/>
    <w:rsid w:val="00AB6D37"/>
    <w:rsid w:val="00AB70EF"/>
    <w:rsid w:val="00AB7708"/>
    <w:rsid w:val="00AB7979"/>
    <w:rsid w:val="00AB7A3C"/>
    <w:rsid w:val="00AB7F25"/>
    <w:rsid w:val="00AB7FF5"/>
    <w:rsid w:val="00AC08D6"/>
    <w:rsid w:val="00AC0BC1"/>
    <w:rsid w:val="00AC0D39"/>
    <w:rsid w:val="00AC10E8"/>
    <w:rsid w:val="00AC1FD9"/>
    <w:rsid w:val="00AC2227"/>
    <w:rsid w:val="00AC2683"/>
    <w:rsid w:val="00AC2CCE"/>
    <w:rsid w:val="00AC2F57"/>
    <w:rsid w:val="00AC31C2"/>
    <w:rsid w:val="00AC3B97"/>
    <w:rsid w:val="00AC3DBE"/>
    <w:rsid w:val="00AC43C1"/>
    <w:rsid w:val="00AC494C"/>
    <w:rsid w:val="00AC49DC"/>
    <w:rsid w:val="00AC4A03"/>
    <w:rsid w:val="00AC4D8B"/>
    <w:rsid w:val="00AC553D"/>
    <w:rsid w:val="00AC5560"/>
    <w:rsid w:val="00AC5933"/>
    <w:rsid w:val="00AC5B58"/>
    <w:rsid w:val="00AC6091"/>
    <w:rsid w:val="00AC6152"/>
    <w:rsid w:val="00AC6373"/>
    <w:rsid w:val="00AC6824"/>
    <w:rsid w:val="00AC7120"/>
    <w:rsid w:val="00AC7512"/>
    <w:rsid w:val="00AC7AD2"/>
    <w:rsid w:val="00AD0019"/>
    <w:rsid w:val="00AD0694"/>
    <w:rsid w:val="00AD0E8E"/>
    <w:rsid w:val="00AD1234"/>
    <w:rsid w:val="00AD12D3"/>
    <w:rsid w:val="00AD14C3"/>
    <w:rsid w:val="00AD16B1"/>
    <w:rsid w:val="00AD21CD"/>
    <w:rsid w:val="00AD23E3"/>
    <w:rsid w:val="00AD2511"/>
    <w:rsid w:val="00AD2AD6"/>
    <w:rsid w:val="00AD2C84"/>
    <w:rsid w:val="00AD2E45"/>
    <w:rsid w:val="00AD358C"/>
    <w:rsid w:val="00AD3A9F"/>
    <w:rsid w:val="00AD3BC6"/>
    <w:rsid w:val="00AD3BDF"/>
    <w:rsid w:val="00AD3C52"/>
    <w:rsid w:val="00AD49E9"/>
    <w:rsid w:val="00AD5650"/>
    <w:rsid w:val="00AD5A51"/>
    <w:rsid w:val="00AD5A7C"/>
    <w:rsid w:val="00AD5B15"/>
    <w:rsid w:val="00AD6E74"/>
    <w:rsid w:val="00AD716E"/>
    <w:rsid w:val="00AD7545"/>
    <w:rsid w:val="00AD7824"/>
    <w:rsid w:val="00AD78B3"/>
    <w:rsid w:val="00AD7CC4"/>
    <w:rsid w:val="00AE03A2"/>
    <w:rsid w:val="00AE0557"/>
    <w:rsid w:val="00AE0C58"/>
    <w:rsid w:val="00AE0CEB"/>
    <w:rsid w:val="00AE0EAE"/>
    <w:rsid w:val="00AE143F"/>
    <w:rsid w:val="00AE1A65"/>
    <w:rsid w:val="00AE1BF1"/>
    <w:rsid w:val="00AE2841"/>
    <w:rsid w:val="00AE2C3B"/>
    <w:rsid w:val="00AE2D4B"/>
    <w:rsid w:val="00AE3634"/>
    <w:rsid w:val="00AE37C3"/>
    <w:rsid w:val="00AE3849"/>
    <w:rsid w:val="00AE3B5A"/>
    <w:rsid w:val="00AE3CEE"/>
    <w:rsid w:val="00AE4782"/>
    <w:rsid w:val="00AE4F99"/>
    <w:rsid w:val="00AE5041"/>
    <w:rsid w:val="00AE5097"/>
    <w:rsid w:val="00AE5572"/>
    <w:rsid w:val="00AE5659"/>
    <w:rsid w:val="00AE5B1B"/>
    <w:rsid w:val="00AE5E4E"/>
    <w:rsid w:val="00AE6001"/>
    <w:rsid w:val="00AE6141"/>
    <w:rsid w:val="00AE6E7E"/>
    <w:rsid w:val="00AE7733"/>
    <w:rsid w:val="00AE7B0C"/>
    <w:rsid w:val="00AE7B33"/>
    <w:rsid w:val="00AF0097"/>
    <w:rsid w:val="00AF0414"/>
    <w:rsid w:val="00AF0D08"/>
    <w:rsid w:val="00AF120B"/>
    <w:rsid w:val="00AF13E9"/>
    <w:rsid w:val="00AF1484"/>
    <w:rsid w:val="00AF15FC"/>
    <w:rsid w:val="00AF1CB9"/>
    <w:rsid w:val="00AF1DCA"/>
    <w:rsid w:val="00AF2298"/>
    <w:rsid w:val="00AF2499"/>
    <w:rsid w:val="00AF2804"/>
    <w:rsid w:val="00AF2D15"/>
    <w:rsid w:val="00AF2E0F"/>
    <w:rsid w:val="00AF2F38"/>
    <w:rsid w:val="00AF36FC"/>
    <w:rsid w:val="00AF3BBC"/>
    <w:rsid w:val="00AF3D61"/>
    <w:rsid w:val="00AF3F29"/>
    <w:rsid w:val="00AF3F4D"/>
    <w:rsid w:val="00AF41F4"/>
    <w:rsid w:val="00AF42DB"/>
    <w:rsid w:val="00AF434E"/>
    <w:rsid w:val="00AF43F9"/>
    <w:rsid w:val="00AF4604"/>
    <w:rsid w:val="00AF46C5"/>
    <w:rsid w:val="00AF46E3"/>
    <w:rsid w:val="00AF47A1"/>
    <w:rsid w:val="00AF492C"/>
    <w:rsid w:val="00AF4F8B"/>
    <w:rsid w:val="00AF546E"/>
    <w:rsid w:val="00AF5D0F"/>
    <w:rsid w:val="00AF5F5B"/>
    <w:rsid w:val="00AF636B"/>
    <w:rsid w:val="00AF670E"/>
    <w:rsid w:val="00AF6CAF"/>
    <w:rsid w:val="00AF6D82"/>
    <w:rsid w:val="00AF76C6"/>
    <w:rsid w:val="00AF778A"/>
    <w:rsid w:val="00B003E2"/>
    <w:rsid w:val="00B00C0F"/>
    <w:rsid w:val="00B00DEF"/>
    <w:rsid w:val="00B00EB0"/>
    <w:rsid w:val="00B0114E"/>
    <w:rsid w:val="00B02053"/>
    <w:rsid w:val="00B020FD"/>
    <w:rsid w:val="00B02193"/>
    <w:rsid w:val="00B021BD"/>
    <w:rsid w:val="00B02A5B"/>
    <w:rsid w:val="00B02CC4"/>
    <w:rsid w:val="00B03121"/>
    <w:rsid w:val="00B034F5"/>
    <w:rsid w:val="00B03646"/>
    <w:rsid w:val="00B03671"/>
    <w:rsid w:val="00B0377A"/>
    <w:rsid w:val="00B03977"/>
    <w:rsid w:val="00B03CFC"/>
    <w:rsid w:val="00B03DB0"/>
    <w:rsid w:val="00B04211"/>
    <w:rsid w:val="00B044C0"/>
    <w:rsid w:val="00B047AA"/>
    <w:rsid w:val="00B04B69"/>
    <w:rsid w:val="00B04BDE"/>
    <w:rsid w:val="00B0528C"/>
    <w:rsid w:val="00B052C2"/>
    <w:rsid w:val="00B0579B"/>
    <w:rsid w:val="00B05CCC"/>
    <w:rsid w:val="00B0620A"/>
    <w:rsid w:val="00B067C2"/>
    <w:rsid w:val="00B067E4"/>
    <w:rsid w:val="00B06B39"/>
    <w:rsid w:val="00B06DE5"/>
    <w:rsid w:val="00B07080"/>
    <w:rsid w:val="00B071FD"/>
    <w:rsid w:val="00B075FC"/>
    <w:rsid w:val="00B076A3"/>
    <w:rsid w:val="00B076CA"/>
    <w:rsid w:val="00B077C6"/>
    <w:rsid w:val="00B078AC"/>
    <w:rsid w:val="00B07DDA"/>
    <w:rsid w:val="00B1005A"/>
    <w:rsid w:val="00B10296"/>
    <w:rsid w:val="00B1069A"/>
    <w:rsid w:val="00B10CB5"/>
    <w:rsid w:val="00B10F22"/>
    <w:rsid w:val="00B10F3B"/>
    <w:rsid w:val="00B1141A"/>
    <w:rsid w:val="00B1157B"/>
    <w:rsid w:val="00B11B69"/>
    <w:rsid w:val="00B1248D"/>
    <w:rsid w:val="00B12A4B"/>
    <w:rsid w:val="00B12EF7"/>
    <w:rsid w:val="00B13243"/>
    <w:rsid w:val="00B136BD"/>
    <w:rsid w:val="00B13876"/>
    <w:rsid w:val="00B14919"/>
    <w:rsid w:val="00B14952"/>
    <w:rsid w:val="00B14DF4"/>
    <w:rsid w:val="00B14FCC"/>
    <w:rsid w:val="00B15996"/>
    <w:rsid w:val="00B1608E"/>
    <w:rsid w:val="00B1656E"/>
    <w:rsid w:val="00B165F9"/>
    <w:rsid w:val="00B16938"/>
    <w:rsid w:val="00B17192"/>
    <w:rsid w:val="00B171FB"/>
    <w:rsid w:val="00B17643"/>
    <w:rsid w:val="00B17705"/>
    <w:rsid w:val="00B177FF"/>
    <w:rsid w:val="00B17867"/>
    <w:rsid w:val="00B178B1"/>
    <w:rsid w:val="00B2044A"/>
    <w:rsid w:val="00B2058B"/>
    <w:rsid w:val="00B209D8"/>
    <w:rsid w:val="00B20A71"/>
    <w:rsid w:val="00B21207"/>
    <w:rsid w:val="00B212CD"/>
    <w:rsid w:val="00B214CE"/>
    <w:rsid w:val="00B21502"/>
    <w:rsid w:val="00B2159A"/>
    <w:rsid w:val="00B21C5A"/>
    <w:rsid w:val="00B21CD5"/>
    <w:rsid w:val="00B222F3"/>
    <w:rsid w:val="00B223D0"/>
    <w:rsid w:val="00B2267B"/>
    <w:rsid w:val="00B22A59"/>
    <w:rsid w:val="00B22C5E"/>
    <w:rsid w:val="00B22DF2"/>
    <w:rsid w:val="00B22E8D"/>
    <w:rsid w:val="00B22F13"/>
    <w:rsid w:val="00B234BF"/>
    <w:rsid w:val="00B24102"/>
    <w:rsid w:val="00B24186"/>
    <w:rsid w:val="00B2514E"/>
    <w:rsid w:val="00B251B5"/>
    <w:rsid w:val="00B25486"/>
    <w:rsid w:val="00B25A5C"/>
    <w:rsid w:val="00B26181"/>
    <w:rsid w:val="00B2664B"/>
    <w:rsid w:val="00B26C78"/>
    <w:rsid w:val="00B271A3"/>
    <w:rsid w:val="00B27570"/>
    <w:rsid w:val="00B275D4"/>
    <w:rsid w:val="00B275E8"/>
    <w:rsid w:val="00B277BD"/>
    <w:rsid w:val="00B300C6"/>
    <w:rsid w:val="00B307EF"/>
    <w:rsid w:val="00B3084E"/>
    <w:rsid w:val="00B30941"/>
    <w:rsid w:val="00B30C84"/>
    <w:rsid w:val="00B31276"/>
    <w:rsid w:val="00B31429"/>
    <w:rsid w:val="00B31E5A"/>
    <w:rsid w:val="00B3215C"/>
    <w:rsid w:val="00B3383F"/>
    <w:rsid w:val="00B33AEA"/>
    <w:rsid w:val="00B34379"/>
    <w:rsid w:val="00B348F0"/>
    <w:rsid w:val="00B349AB"/>
    <w:rsid w:val="00B350CD"/>
    <w:rsid w:val="00B35B4F"/>
    <w:rsid w:val="00B368F8"/>
    <w:rsid w:val="00B36A62"/>
    <w:rsid w:val="00B36B16"/>
    <w:rsid w:val="00B36C58"/>
    <w:rsid w:val="00B36CFA"/>
    <w:rsid w:val="00B3701A"/>
    <w:rsid w:val="00B373C6"/>
    <w:rsid w:val="00B37406"/>
    <w:rsid w:val="00B378FC"/>
    <w:rsid w:val="00B37A12"/>
    <w:rsid w:val="00B405DF"/>
    <w:rsid w:val="00B40838"/>
    <w:rsid w:val="00B40993"/>
    <w:rsid w:val="00B40C6C"/>
    <w:rsid w:val="00B4124E"/>
    <w:rsid w:val="00B4140D"/>
    <w:rsid w:val="00B41562"/>
    <w:rsid w:val="00B41D62"/>
    <w:rsid w:val="00B41D67"/>
    <w:rsid w:val="00B41DAF"/>
    <w:rsid w:val="00B42E95"/>
    <w:rsid w:val="00B43069"/>
    <w:rsid w:val="00B432EE"/>
    <w:rsid w:val="00B436E4"/>
    <w:rsid w:val="00B437EC"/>
    <w:rsid w:val="00B44C54"/>
    <w:rsid w:val="00B44C63"/>
    <w:rsid w:val="00B44C86"/>
    <w:rsid w:val="00B45045"/>
    <w:rsid w:val="00B453DA"/>
    <w:rsid w:val="00B45702"/>
    <w:rsid w:val="00B458AA"/>
    <w:rsid w:val="00B45D1A"/>
    <w:rsid w:val="00B460F1"/>
    <w:rsid w:val="00B46393"/>
    <w:rsid w:val="00B46D6D"/>
    <w:rsid w:val="00B46F8C"/>
    <w:rsid w:val="00B4724D"/>
    <w:rsid w:val="00B4769E"/>
    <w:rsid w:val="00B476A1"/>
    <w:rsid w:val="00B47AE8"/>
    <w:rsid w:val="00B50063"/>
    <w:rsid w:val="00B50768"/>
    <w:rsid w:val="00B50885"/>
    <w:rsid w:val="00B51285"/>
    <w:rsid w:val="00B51345"/>
    <w:rsid w:val="00B51E9C"/>
    <w:rsid w:val="00B524F5"/>
    <w:rsid w:val="00B527AC"/>
    <w:rsid w:val="00B52BB7"/>
    <w:rsid w:val="00B5311E"/>
    <w:rsid w:val="00B53298"/>
    <w:rsid w:val="00B533B8"/>
    <w:rsid w:val="00B5348B"/>
    <w:rsid w:val="00B53A55"/>
    <w:rsid w:val="00B53AF7"/>
    <w:rsid w:val="00B53B26"/>
    <w:rsid w:val="00B53CB8"/>
    <w:rsid w:val="00B53DFC"/>
    <w:rsid w:val="00B545A3"/>
    <w:rsid w:val="00B54AD9"/>
    <w:rsid w:val="00B54B8A"/>
    <w:rsid w:val="00B54DF1"/>
    <w:rsid w:val="00B54F88"/>
    <w:rsid w:val="00B55343"/>
    <w:rsid w:val="00B55434"/>
    <w:rsid w:val="00B554D5"/>
    <w:rsid w:val="00B55718"/>
    <w:rsid w:val="00B55F90"/>
    <w:rsid w:val="00B561E0"/>
    <w:rsid w:val="00B56869"/>
    <w:rsid w:val="00B56911"/>
    <w:rsid w:val="00B56B6A"/>
    <w:rsid w:val="00B56F36"/>
    <w:rsid w:val="00B5723E"/>
    <w:rsid w:val="00B578C9"/>
    <w:rsid w:val="00B6026E"/>
    <w:rsid w:val="00B60356"/>
    <w:rsid w:val="00B60A4E"/>
    <w:rsid w:val="00B60E12"/>
    <w:rsid w:val="00B60FB7"/>
    <w:rsid w:val="00B61313"/>
    <w:rsid w:val="00B61529"/>
    <w:rsid w:val="00B6158D"/>
    <w:rsid w:val="00B61DC4"/>
    <w:rsid w:val="00B6265E"/>
    <w:rsid w:val="00B62A72"/>
    <w:rsid w:val="00B62C39"/>
    <w:rsid w:val="00B62D8D"/>
    <w:rsid w:val="00B63119"/>
    <w:rsid w:val="00B63371"/>
    <w:rsid w:val="00B635CE"/>
    <w:rsid w:val="00B63A49"/>
    <w:rsid w:val="00B63B3A"/>
    <w:rsid w:val="00B63B62"/>
    <w:rsid w:val="00B640FB"/>
    <w:rsid w:val="00B642A4"/>
    <w:rsid w:val="00B6451C"/>
    <w:rsid w:val="00B6455F"/>
    <w:rsid w:val="00B64655"/>
    <w:rsid w:val="00B647B1"/>
    <w:rsid w:val="00B648FA"/>
    <w:rsid w:val="00B64BC3"/>
    <w:rsid w:val="00B64E7B"/>
    <w:rsid w:val="00B64ED4"/>
    <w:rsid w:val="00B65134"/>
    <w:rsid w:val="00B653AB"/>
    <w:rsid w:val="00B654B5"/>
    <w:rsid w:val="00B659E5"/>
    <w:rsid w:val="00B65AB4"/>
    <w:rsid w:val="00B65F9E"/>
    <w:rsid w:val="00B66774"/>
    <w:rsid w:val="00B6680C"/>
    <w:rsid w:val="00B66B19"/>
    <w:rsid w:val="00B66DB7"/>
    <w:rsid w:val="00B67148"/>
    <w:rsid w:val="00B67E4B"/>
    <w:rsid w:val="00B67FF9"/>
    <w:rsid w:val="00B70124"/>
    <w:rsid w:val="00B70711"/>
    <w:rsid w:val="00B707F7"/>
    <w:rsid w:val="00B71887"/>
    <w:rsid w:val="00B72002"/>
    <w:rsid w:val="00B720EA"/>
    <w:rsid w:val="00B72220"/>
    <w:rsid w:val="00B72CB7"/>
    <w:rsid w:val="00B72CBB"/>
    <w:rsid w:val="00B73DF3"/>
    <w:rsid w:val="00B73E56"/>
    <w:rsid w:val="00B73F8E"/>
    <w:rsid w:val="00B740F6"/>
    <w:rsid w:val="00B7436E"/>
    <w:rsid w:val="00B743D9"/>
    <w:rsid w:val="00B74BEF"/>
    <w:rsid w:val="00B74E1F"/>
    <w:rsid w:val="00B74F52"/>
    <w:rsid w:val="00B75811"/>
    <w:rsid w:val="00B75992"/>
    <w:rsid w:val="00B765B8"/>
    <w:rsid w:val="00B7663D"/>
    <w:rsid w:val="00B76A31"/>
    <w:rsid w:val="00B76DFA"/>
    <w:rsid w:val="00B7713D"/>
    <w:rsid w:val="00B77330"/>
    <w:rsid w:val="00B773A3"/>
    <w:rsid w:val="00B77782"/>
    <w:rsid w:val="00B77786"/>
    <w:rsid w:val="00B778A0"/>
    <w:rsid w:val="00B77A78"/>
    <w:rsid w:val="00B802A5"/>
    <w:rsid w:val="00B80A8A"/>
    <w:rsid w:val="00B81246"/>
    <w:rsid w:val="00B81363"/>
    <w:rsid w:val="00B815E6"/>
    <w:rsid w:val="00B81B67"/>
    <w:rsid w:val="00B81BE6"/>
    <w:rsid w:val="00B81C85"/>
    <w:rsid w:val="00B821A5"/>
    <w:rsid w:val="00B8267B"/>
    <w:rsid w:val="00B82ACD"/>
    <w:rsid w:val="00B82BF4"/>
    <w:rsid w:val="00B830F9"/>
    <w:rsid w:val="00B83465"/>
    <w:rsid w:val="00B83824"/>
    <w:rsid w:val="00B8382D"/>
    <w:rsid w:val="00B839A9"/>
    <w:rsid w:val="00B83A15"/>
    <w:rsid w:val="00B83A28"/>
    <w:rsid w:val="00B83A33"/>
    <w:rsid w:val="00B84133"/>
    <w:rsid w:val="00B84201"/>
    <w:rsid w:val="00B842F5"/>
    <w:rsid w:val="00B84348"/>
    <w:rsid w:val="00B850FE"/>
    <w:rsid w:val="00B852E8"/>
    <w:rsid w:val="00B85E39"/>
    <w:rsid w:val="00B85E6B"/>
    <w:rsid w:val="00B85ED2"/>
    <w:rsid w:val="00B8617E"/>
    <w:rsid w:val="00B8631E"/>
    <w:rsid w:val="00B867A0"/>
    <w:rsid w:val="00B86805"/>
    <w:rsid w:val="00B86D56"/>
    <w:rsid w:val="00B86DAB"/>
    <w:rsid w:val="00B87196"/>
    <w:rsid w:val="00B872BD"/>
    <w:rsid w:val="00B87B32"/>
    <w:rsid w:val="00B87BB8"/>
    <w:rsid w:val="00B900A7"/>
    <w:rsid w:val="00B9052A"/>
    <w:rsid w:val="00B91114"/>
    <w:rsid w:val="00B914E9"/>
    <w:rsid w:val="00B91624"/>
    <w:rsid w:val="00B91804"/>
    <w:rsid w:val="00B921CE"/>
    <w:rsid w:val="00B924B7"/>
    <w:rsid w:val="00B92870"/>
    <w:rsid w:val="00B92D0E"/>
    <w:rsid w:val="00B93535"/>
    <w:rsid w:val="00B93A6E"/>
    <w:rsid w:val="00B93AD5"/>
    <w:rsid w:val="00B93E8F"/>
    <w:rsid w:val="00B945BA"/>
    <w:rsid w:val="00B9477F"/>
    <w:rsid w:val="00B94B96"/>
    <w:rsid w:val="00B94C88"/>
    <w:rsid w:val="00B95065"/>
    <w:rsid w:val="00B9519A"/>
    <w:rsid w:val="00B95244"/>
    <w:rsid w:val="00B956EE"/>
    <w:rsid w:val="00B95AF7"/>
    <w:rsid w:val="00B96409"/>
    <w:rsid w:val="00B964C9"/>
    <w:rsid w:val="00B9672E"/>
    <w:rsid w:val="00B972CD"/>
    <w:rsid w:val="00B9743C"/>
    <w:rsid w:val="00B974F4"/>
    <w:rsid w:val="00B97A7C"/>
    <w:rsid w:val="00B97EE7"/>
    <w:rsid w:val="00BA0167"/>
    <w:rsid w:val="00BA0247"/>
    <w:rsid w:val="00BA049C"/>
    <w:rsid w:val="00BA06D7"/>
    <w:rsid w:val="00BA0911"/>
    <w:rsid w:val="00BA0C53"/>
    <w:rsid w:val="00BA125D"/>
    <w:rsid w:val="00BA1475"/>
    <w:rsid w:val="00BA1B47"/>
    <w:rsid w:val="00BA1C64"/>
    <w:rsid w:val="00BA21F0"/>
    <w:rsid w:val="00BA2257"/>
    <w:rsid w:val="00BA23C6"/>
    <w:rsid w:val="00BA264B"/>
    <w:rsid w:val="00BA2B48"/>
    <w:rsid w:val="00BA2BA1"/>
    <w:rsid w:val="00BA2F22"/>
    <w:rsid w:val="00BA2FE8"/>
    <w:rsid w:val="00BA3562"/>
    <w:rsid w:val="00BA35AD"/>
    <w:rsid w:val="00BA35CF"/>
    <w:rsid w:val="00BA3623"/>
    <w:rsid w:val="00BA3914"/>
    <w:rsid w:val="00BA39CC"/>
    <w:rsid w:val="00BA39F2"/>
    <w:rsid w:val="00BA3A98"/>
    <w:rsid w:val="00BA3C55"/>
    <w:rsid w:val="00BA3D64"/>
    <w:rsid w:val="00BA40DC"/>
    <w:rsid w:val="00BA44FD"/>
    <w:rsid w:val="00BA49C2"/>
    <w:rsid w:val="00BA49D0"/>
    <w:rsid w:val="00BA4F0B"/>
    <w:rsid w:val="00BA5766"/>
    <w:rsid w:val="00BA5AC4"/>
    <w:rsid w:val="00BA5B68"/>
    <w:rsid w:val="00BA5C58"/>
    <w:rsid w:val="00BA5DCD"/>
    <w:rsid w:val="00BA641F"/>
    <w:rsid w:val="00BA6CB7"/>
    <w:rsid w:val="00BA6FC7"/>
    <w:rsid w:val="00BA722D"/>
    <w:rsid w:val="00BA740B"/>
    <w:rsid w:val="00BA780C"/>
    <w:rsid w:val="00BA78C8"/>
    <w:rsid w:val="00BA7AD0"/>
    <w:rsid w:val="00BB0735"/>
    <w:rsid w:val="00BB0B4B"/>
    <w:rsid w:val="00BB0C6C"/>
    <w:rsid w:val="00BB10C0"/>
    <w:rsid w:val="00BB11C4"/>
    <w:rsid w:val="00BB1289"/>
    <w:rsid w:val="00BB1407"/>
    <w:rsid w:val="00BB152F"/>
    <w:rsid w:val="00BB1AB4"/>
    <w:rsid w:val="00BB1D55"/>
    <w:rsid w:val="00BB2529"/>
    <w:rsid w:val="00BB2794"/>
    <w:rsid w:val="00BB2A12"/>
    <w:rsid w:val="00BB2F49"/>
    <w:rsid w:val="00BB30A0"/>
    <w:rsid w:val="00BB320D"/>
    <w:rsid w:val="00BB346B"/>
    <w:rsid w:val="00BB3634"/>
    <w:rsid w:val="00BB3A58"/>
    <w:rsid w:val="00BB3D6E"/>
    <w:rsid w:val="00BB41E2"/>
    <w:rsid w:val="00BB4454"/>
    <w:rsid w:val="00BB47A0"/>
    <w:rsid w:val="00BB4F09"/>
    <w:rsid w:val="00BB5E2D"/>
    <w:rsid w:val="00BB5FF5"/>
    <w:rsid w:val="00BB614B"/>
    <w:rsid w:val="00BB6275"/>
    <w:rsid w:val="00BB6739"/>
    <w:rsid w:val="00BB6BE0"/>
    <w:rsid w:val="00BB6E1F"/>
    <w:rsid w:val="00BB72C0"/>
    <w:rsid w:val="00BB79F7"/>
    <w:rsid w:val="00BB7F0A"/>
    <w:rsid w:val="00BC0278"/>
    <w:rsid w:val="00BC031B"/>
    <w:rsid w:val="00BC055E"/>
    <w:rsid w:val="00BC0AEF"/>
    <w:rsid w:val="00BC0E84"/>
    <w:rsid w:val="00BC136E"/>
    <w:rsid w:val="00BC1C63"/>
    <w:rsid w:val="00BC207D"/>
    <w:rsid w:val="00BC2A73"/>
    <w:rsid w:val="00BC2BE2"/>
    <w:rsid w:val="00BC2C3C"/>
    <w:rsid w:val="00BC3205"/>
    <w:rsid w:val="00BC37CA"/>
    <w:rsid w:val="00BC3904"/>
    <w:rsid w:val="00BC3C80"/>
    <w:rsid w:val="00BC3CF5"/>
    <w:rsid w:val="00BC4199"/>
    <w:rsid w:val="00BC44F7"/>
    <w:rsid w:val="00BC45ED"/>
    <w:rsid w:val="00BC4A65"/>
    <w:rsid w:val="00BC51CA"/>
    <w:rsid w:val="00BC531B"/>
    <w:rsid w:val="00BC5389"/>
    <w:rsid w:val="00BC53EB"/>
    <w:rsid w:val="00BC55DB"/>
    <w:rsid w:val="00BC57F8"/>
    <w:rsid w:val="00BC580A"/>
    <w:rsid w:val="00BC5D82"/>
    <w:rsid w:val="00BC6038"/>
    <w:rsid w:val="00BC6675"/>
    <w:rsid w:val="00BC6BAA"/>
    <w:rsid w:val="00BC6D4A"/>
    <w:rsid w:val="00BC6F34"/>
    <w:rsid w:val="00BC72AE"/>
    <w:rsid w:val="00BC75A2"/>
    <w:rsid w:val="00BC7DB3"/>
    <w:rsid w:val="00BD020C"/>
    <w:rsid w:val="00BD0239"/>
    <w:rsid w:val="00BD0646"/>
    <w:rsid w:val="00BD0A75"/>
    <w:rsid w:val="00BD0AB3"/>
    <w:rsid w:val="00BD11B5"/>
    <w:rsid w:val="00BD13D5"/>
    <w:rsid w:val="00BD151F"/>
    <w:rsid w:val="00BD1C78"/>
    <w:rsid w:val="00BD202B"/>
    <w:rsid w:val="00BD20DC"/>
    <w:rsid w:val="00BD20E5"/>
    <w:rsid w:val="00BD2700"/>
    <w:rsid w:val="00BD2798"/>
    <w:rsid w:val="00BD28B1"/>
    <w:rsid w:val="00BD2AF0"/>
    <w:rsid w:val="00BD2B46"/>
    <w:rsid w:val="00BD2DBD"/>
    <w:rsid w:val="00BD2E0C"/>
    <w:rsid w:val="00BD36F6"/>
    <w:rsid w:val="00BD3721"/>
    <w:rsid w:val="00BD37E5"/>
    <w:rsid w:val="00BD387E"/>
    <w:rsid w:val="00BD3CAB"/>
    <w:rsid w:val="00BD3CE4"/>
    <w:rsid w:val="00BD429B"/>
    <w:rsid w:val="00BD4423"/>
    <w:rsid w:val="00BD467C"/>
    <w:rsid w:val="00BD48E2"/>
    <w:rsid w:val="00BD4C73"/>
    <w:rsid w:val="00BD4E33"/>
    <w:rsid w:val="00BD54E0"/>
    <w:rsid w:val="00BD55AD"/>
    <w:rsid w:val="00BD5769"/>
    <w:rsid w:val="00BD5A3D"/>
    <w:rsid w:val="00BD5ECB"/>
    <w:rsid w:val="00BD6185"/>
    <w:rsid w:val="00BD659E"/>
    <w:rsid w:val="00BD6975"/>
    <w:rsid w:val="00BD69D8"/>
    <w:rsid w:val="00BD72C8"/>
    <w:rsid w:val="00BD7600"/>
    <w:rsid w:val="00BD761B"/>
    <w:rsid w:val="00BD7EA8"/>
    <w:rsid w:val="00BE05CF"/>
    <w:rsid w:val="00BE0944"/>
    <w:rsid w:val="00BE0A71"/>
    <w:rsid w:val="00BE0E53"/>
    <w:rsid w:val="00BE0F9D"/>
    <w:rsid w:val="00BE1463"/>
    <w:rsid w:val="00BE1644"/>
    <w:rsid w:val="00BE1672"/>
    <w:rsid w:val="00BE1922"/>
    <w:rsid w:val="00BE2577"/>
    <w:rsid w:val="00BE2598"/>
    <w:rsid w:val="00BE2621"/>
    <w:rsid w:val="00BE2684"/>
    <w:rsid w:val="00BE27E5"/>
    <w:rsid w:val="00BE28B9"/>
    <w:rsid w:val="00BE2FDB"/>
    <w:rsid w:val="00BE37EC"/>
    <w:rsid w:val="00BE3826"/>
    <w:rsid w:val="00BE3840"/>
    <w:rsid w:val="00BE38EE"/>
    <w:rsid w:val="00BE39DB"/>
    <w:rsid w:val="00BE39E9"/>
    <w:rsid w:val="00BE3C18"/>
    <w:rsid w:val="00BE4397"/>
    <w:rsid w:val="00BE45B2"/>
    <w:rsid w:val="00BE45F1"/>
    <w:rsid w:val="00BE4BEC"/>
    <w:rsid w:val="00BE4F07"/>
    <w:rsid w:val="00BE5970"/>
    <w:rsid w:val="00BE5C49"/>
    <w:rsid w:val="00BE5D0C"/>
    <w:rsid w:val="00BE5DB4"/>
    <w:rsid w:val="00BE6002"/>
    <w:rsid w:val="00BE6254"/>
    <w:rsid w:val="00BE62BA"/>
    <w:rsid w:val="00BE638B"/>
    <w:rsid w:val="00BE6524"/>
    <w:rsid w:val="00BE66CB"/>
    <w:rsid w:val="00BE682A"/>
    <w:rsid w:val="00BE68A2"/>
    <w:rsid w:val="00BE6C51"/>
    <w:rsid w:val="00BE7041"/>
    <w:rsid w:val="00BE71F5"/>
    <w:rsid w:val="00BE765A"/>
    <w:rsid w:val="00BE7D7B"/>
    <w:rsid w:val="00BF037C"/>
    <w:rsid w:val="00BF08FA"/>
    <w:rsid w:val="00BF0B6B"/>
    <w:rsid w:val="00BF1356"/>
    <w:rsid w:val="00BF135B"/>
    <w:rsid w:val="00BF145A"/>
    <w:rsid w:val="00BF18DB"/>
    <w:rsid w:val="00BF18F9"/>
    <w:rsid w:val="00BF1AD1"/>
    <w:rsid w:val="00BF1B8F"/>
    <w:rsid w:val="00BF1C61"/>
    <w:rsid w:val="00BF20CA"/>
    <w:rsid w:val="00BF214C"/>
    <w:rsid w:val="00BF2444"/>
    <w:rsid w:val="00BF284C"/>
    <w:rsid w:val="00BF2945"/>
    <w:rsid w:val="00BF2B70"/>
    <w:rsid w:val="00BF36AB"/>
    <w:rsid w:val="00BF3A71"/>
    <w:rsid w:val="00BF432C"/>
    <w:rsid w:val="00BF465F"/>
    <w:rsid w:val="00BF4EAB"/>
    <w:rsid w:val="00BF4FB0"/>
    <w:rsid w:val="00BF54CD"/>
    <w:rsid w:val="00BF5B06"/>
    <w:rsid w:val="00BF5DC8"/>
    <w:rsid w:val="00BF5E88"/>
    <w:rsid w:val="00BF5F2B"/>
    <w:rsid w:val="00BF6251"/>
    <w:rsid w:val="00BF63C4"/>
    <w:rsid w:val="00BF6CA4"/>
    <w:rsid w:val="00BF72B3"/>
    <w:rsid w:val="00BF7DE0"/>
    <w:rsid w:val="00C00E59"/>
    <w:rsid w:val="00C01D69"/>
    <w:rsid w:val="00C01DBB"/>
    <w:rsid w:val="00C0289F"/>
    <w:rsid w:val="00C02C75"/>
    <w:rsid w:val="00C02D19"/>
    <w:rsid w:val="00C02D5F"/>
    <w:rsid w:val="00C030DE"/>
    <w:rsid w:val="00C03215"/>
    <w:rsid w:val="00C04044"/>
    <w:rsid w:val="00C051A9"/>
    <w:rsid w:val="00C05322"/>
    <w:rsid w:val="00C05751"/>
    <w:rsid w:val="00C05A76"/>
    <w:rsid w:val="00C05B59"/>
    <w:rsid w:val="00C05E2B"/>
    <w:rsid w:val="00C0653F"/>
    <w:rsid w:val="00C06819"/>
    <w:rsid w:val="00C06CDE"/>
    <w:rsid w:val="00C072F2"/>
    <w:rsid w:val="00C07542"/>
    <w:rsid w:val="00C07613"/>
    <w:rsid w:val="00C076E4"/>
    <w:rsid w:val="00C07753"/>
    <w:rsid w:val="00C07ADC"/>
    <w:rsid w:val="00C07C23"/>
    <w:rsid w:val="00C105EB"/>
    <w:rsid w:val="00C106D6"/>
    <w:rsid w:val="00C1093F"/>
    <w:rsid w:val="00C10BFB"/>
    <w:rsid w:val="00C10C8A"/>
    <w:rsid w:val="00C1116B"/>
    <w:rsid w:val="00C1117F"/>
    <w:rsid w:val="00C11300"/>
    <w:rsid w:val="00C12B71"/>
    <w:rsid w:val="00C12BA7"/>
    <w:rsid w:val="00C12ECA"/>
    <w:rsid w:val="00C13500"/>
    <w:rsid w:val="00C13878"/>
    <w:rsid w:val="00C13E6D"/>
    <w:rsid w:val="00C14128"/>
    <w:rsid w:val="00C14178"/>
    <w:rsid w:val="00C14BA6"/>
    <w:rsid w:val="00C15889"/>
    <w:rsid w:val="00C15900"/>
    <w:rsid w:val="00C15BD5"/>
    <w:rsid w:val="00C15BDD"/>
    <w:rsid w:val="00C15C3C"/>
    <w:rsid w:val="00C160EE"/>
    <w:rsid w:val="00C16826"/>
    <w:rsid w:val="00C1684B"/>
    <w:rsid w:val="00C16A34"/>
    <w:rsid w:val="00C174C0"/>
    <w:rsid w:val="00C17505"/>
    <w:rsid w:val="00C1763E"/>
    <w:rsid w:val="00C17B6E"/>
    <w:rsid w:val="00C17DB2"/>
    <w:rsid w:val="00C2065F"/>
    <w:rsid w:val="00C206DB"/>
    <w:rsid w:val="00C20D82"/>
    <w:rsid w:val="00C20E87"/>
    <w:rsid w:val="00C20F8D"/>
    <w:rsid w:val="00C21194"/>
    <w:rsid w:val="00C2136B"/>
    <w:rsid w:val="00C213DC"/>
    <w:rsid w:val="00C213FF"/>
    <w:rsid w:val="00C214F4"/>
    <w:rsid w:val="00C21A4C"/>
    <w:rsid w:val="00C21C2F"/>
    <w:rsid w:val="00C22105"/>
    <w:rsid w:val="00C226CA"/>
    <w:rsid w:val="00C227FC"/>
    <w:rsid w:val="00C22833"/>
    <w:rsid w:val="00C22A08"/>
    <w:rsid w:val="00C22ED3"/>
    <w:rsid w:val="00C2346A"/>
    <w:rsid w:val="00C235C1"/>
    <w:rsid w:val="00C236D5"/>
    <w:rsid w:val="00C2390C"/>
    <w:rsid w:val="00C23B29"/>
    <w:rsid w:val="00C23BA3"/>
    <w:rsid w:val="00C24002"/>
    <w:rsid w:val="00C244B6"/>
    <w:rsid w:val="00C245C2"/>
    <w:rsid w:val="00C246CA"/>
    <w:rsid w:val="00C24928"/>
    <w:rsid w:val="00C24EF4"/>
    <w:rsid w:val="00C25031"/>
    <w:rsid w:val="00C250ED"/>
    <w:rsid w:val="00C2542F"/>
    <w:rsid w:val="00C256F3"/>
    <w:rsid w:val="00C260B9"/>
    <w:rsid w:val="00C2685D"/>
    <w:rsid w:val="00C26BDC"/>
    <w:rsid w:val="00C26C4D"/>
    <w:rsid w:val="00C2715E"/>
    <w:rsid w:val="00C27383"/>
    <w:rsid w:val="00C27484"/>
    <w:rsid w:val="00C2790C"/>
    <w:rsid w:val="00C3009F"/>
    <w:rsid w:val="00C3029D"/>
    <w:rsid w:val="00C31156"/>
    <w:rsid w:val="00C31BC1"/>
    <w:rsid w:val="00C31D33"/>
    <w:rsid w:val="00C3216E"/>
    <w:rsid w:val="00C323C4"/>
    <w:rsid w:val="00C324B0"/>
    <w:rsid w:val="00C326DF"/>
    <w:rsid w:val="00C33219"/>
    <w:rsid w:val="00C33719"/>
    <w:rsid w:val="00C33941"/>
    <w:rsid w:val="00C33D9E"/>
    <w:rsid w:val="00C33E52"/>
    <w:rsid w:val="00C33F3C"/>
    <w:rsid w:val="00C3401C"/>
    <w:rsid w:val="00C340D1"/>
    <w:rsid w:val="00C346CC"/>
    <w:rsid w:val="00C34812"/>
    <w:rsid w:val="00C34C41"/>
    <w:rsid w:val="00C3522A"/>
    <w:rsid w:val="00C35C5B"/>
    <w:rsid w:val="00C35F05"/>
    <w:rsid w:val="00C36C0F"/>
    <w:rsid w:val="00C36EBC"/>
    <w:rsid w:val="00C36FB0"/>
    <w:rsid w:val="00C3702F"/>
    <w:rsid w:val="00C3704F"/>
    <w:rsid w:val="00C37696"/>
    <w:rsid w:val="00C37C0B"/>
    <w:rsid w:val="00C4003C"/>
    <w:rsid w:val="00C40041"/>
    <w:rsid w:val="00C40238"/>
    <w:rsid w:val="00C40322"/>
    <w:rsid w:val="00C408CC"/>
    <w:rsid w:val="00C40D20"/>
    <w:rsid w:val="00C410BB"/>
    <w:rsid w:val="00C41142"/>
    <w:rsid w:val="00C412BE"/>
    <w:rsid w:val="00C416F1"/>
    <w:rsid w:val="00C41C98"/>
    <w:rsid w:val="00C41D02"/>
    <w:rsid w:val="00C42022"/>
    <w:rsid w:val="00C420D0"/>
    <w:rsid w:val="00C42712"/>
    <w:rsid w:val="00C43428"/>
    <w:rsid w:val="00C436DD"/>
    <w:rsid w:val="00C43873"/>
    <w:rsid w:val="00C43EAD"/>
    <w:rsid w:val="00C440ED"/>
    <w:rsid w:val="00C44168"/>
    <w:rsid w:val="00C442F1"/>
    <w:rsid w:val="00C444F0"/>
    <w:rsid w:val="00C4470C"/>
    <w:rsid w:val="00C4478F"/>
    <w:rsid w:val="00C44B7E"/>
    <w:rsid w:val="00C44FC5"/>
    <w:rsid w:val="00C44FEB"/>
    <w:rsid w:val="00C4500A"/>
    <w:rsid w:val="00C45B50"/>
    <w:rsid w:val="00C45B67"/>
    <w:rsid w:val="00C463BD"/>
    <w:rsid w:val="00C468C6"/>
    <w:rsid w:val="00C46BFE"/>
    <w:rsid w:val="00C46DEB"/>
    <w:rsid w:val="00C46F1F"/>
    <w:rsid w:val="00C4726D"/>
    <w:rsid w:val="00C4733B"/>
    <w:rsid w:val="00C47382"/>
    <w:rsid w:val="00C47CFA"/>
    <w:rsid w:val="00C502D9"/>
    <w:rsid w:val="00C5054E"/>
    <w:rsid w:val="00C50D80"/>
    <w:rsid w:val="00C5161E"/>
    <w:rsid w:val="00C51DD4"/>
    <w:rsid w:val="00C51F14"/>
    <w:rsid w:val="00C51F54"/>
    <w:rsid w:val="00C520A5"/>
    <w:rsid w:val="00C5219D"/>
    <w:rsid w:val="00C52202"/>
    <w:rsid w:val="00C52540"/>
    <w:rsid w:val="00C52550"/>
    <w:rsid w:val="00C528B9"/>
    <w:rsid w:val="00C52A63"/>
    <w:rsid w:val="00C52CFC"/>
    <w:rsid w:val="00C531BF"/>
    <w:rsid w:val="00C53236"/>
    <w:rsid w:val="00C53398"/>
    <w:rsid w:val="00C53B56"/>
    <w:rsid w:val="00C54108"/>
    <w:rsid w:val="00C545BD"/>
    <w:rsid w:val="00C54CCB"/>
    <w:rsid w:val="00C5534B"/>
    <w:rsid w:val="00C5544D"/>
    <w:rsid w:val="00C555A1"/>
    <w:rsid w:val="00C5583D"/>
    <w:rsid w:val="00C55D67"/>
    <w:rsid w:val="00C55F4F"/>
    <w:rsid w:val="00C56629"/>
    <w:rsid w:val="00C56792"/>
    <w:rsid w:val="00C567B5"/>
    <w:rsid w:val="00C56CD8"/>
    <w:rsid w:val="00C56E51"/>
    <w:rsid w:val="00C5715E"/>
    <w:rsid w:val="00C572B3"/>
    <w:rsid w:val="00C57517"/>
    <w:rsid w:val="00C57634"/>
    <w:rsid w:val="00C5784B"/>
    <w:rsid w:val="00C57EF1"/>
    <w:rsid w:val="00C60169"/>
    <w:rsid w:val="00C603C7"/>
    <w:rsid w:val="00C60FAF"/>
    <w:rsid w:val="00C610E0"/>
    <w:rsid w:val="00C61361"/>
    <w:rsid w:val="00C614B0"/>
    <w:rsid w:val="00C61ADC"/>
    <w:rsid w:val="00C61FC2"/>
    <w:rsid w:val="00C6216C"/>
    <w:rsid w:val="00C62543"/>
    <w:rsid w:val="00C625D4"/>
    <w:rsid w:val="00C62759"/>
    <w:rsid w:val="00C62D02"/>
    <w:rsid w:val="00C63226"/>
    <w:rsid w:val="00C63446"/>
    <w:rsid w:val="00C6348E"/>
    <w:rsid w:val="00C636E1"/>
    <w:rsid w:val="00C638A2"/>
    <w:rsid w:val="00C63D22"/>
    <w:rsid w:val="00C640AC"/>
    <w:rsid w:val="00C6417B"/>
    <w:rsid w:val="00C6417F"/>
    <w:rsid w:val="00C643F1"/>
    <w:rsid w:val="00C64A37"/>
    <w:rsid w:val="00C64EA9"/>
    <w:rsid w:val="00C6517E"/>
    <w:rsid w:val="00C651D7"/>
    <w:rsid w:val="00C652F6"/>
    <w:rsid w:val="00C65760"/>
    <w:rsid w:val="00C65BF3"/>
    <w:rsid w:val="00C66730"/>
    <w:rsid w:val="00C667DF"/>
    <w:rsid w:val="00C668A5"/>
    <w:rsid w:val="00C66DCF"/>
    <w:rsid w:val="00C67213"/>
    <w:rsid w:val="00C6799C"/>
    <w:rsid w:val="00C67B26"/>
    <w:rsid w:val="00C67BFD"/>
    <w:rsid w:val="00C67ECE"/>
    <w:rsid w:val="00C701C7"/>
    <w:rsid w:val="00C7058A"/>
    <w:rsid w:val="00C705C2"/>
    <w:rsid w:val="00C706C0"/>
    <w:rsid w:val="00C70FFF"/>
    <w:rsid w:val="00C7158E"/>
    <w:rsid w:val="00C715C2"/>
    <w:rsid w:val="00C71AC3"/>
    <w:rsid w:val="00C71CE5"/>
    <w:rsid w:val="00C720EC"/>
    <w:rsid w:val="00C724E0"/>
    <w:rsid w:val="00C724EF"/>
    <w:rsid w:val="00C7250B"/>
    <w:rsid w:val="00C725AD"/>
    <w:rsid w:val="00C725EC"/>
    <w:rsid w:val="00C72B6F"/>
    <w:rsid w:val="00C730E8"/>
    <w:rsid w:val="00C7335B"/>
    <w:rsid w:val="00C7346B"/>
    <w:rsid w:val="00C734B8"/>
    <w:rsid w:val="00C73C14"/>
    <w:rsid w:val="00C73CAA"/>
    <w:rsid w:val="00C742B1"/>
    <w:rsid w:val="00C74F78"/>
    <w:rsid w:val="00C75001"/>
    <w:rsid w:val="00C75190"/>
    <w:rsid w:val="00C75593"/>
    <w:rsid w:val="00C755C6"/>
    <w:rsid w:val="00C7582C"/>
    <w:rsid w:val="00C7613D"/>
    <w:rsid w:val="00C7643D"/>
    <w:rsid w:val="00C76A00"/>
    <w:rsid w:val="00C7724E"/>
    <w:rsid w:val="00C774F2"/>
    <w:rsid w:val="00C778B1"/>
    <w:rsid w:val="00C778BD"/>
    <w:rsid w:val="00C7798A"/>
    <w:rsid w:val="00C77C0E"/>
    <w:rsid w:val="00C802F9"/>
    <w:rsid w:val="00C8037B"/>
    <w:rsid w:val="00C805D1"/>
    <w:rsid w:val="00C80AEB"/>
    <w:rsid w:val="00C80C4F"/>
    <w:rsid w:val="00C81904"/>
    <w:rsid w:val="00C81993"/>
    <w:rsid w:val="00C81A0F"/>
    <w:rsid w:val="00C81B1C"/>
    <w:rsid w:val="00C81B7F"/>
    <w:rsid w:val="00C81F83"/>
    <w:rsid w:val="00C8220F"/>
    <w:rsid w:val="00C824A7"/>
    <w:rsid w:val="00C824D5"/>
    <w:rsid w:val="00C825FA"/>
    <w:rsid w:val="00C82BB9"/>
    <w:rsid w:val="00C82F9F"/>
    <w:rsid w:val="00C83127"/>
    <w:rsid w:val="00C833E4"/>
    <w:rsid w:val="00C83628"/>
    <w:rsid w:val="00C844F8"/>
    <w:rsid w:val="00C849D6"/>
    <w:rsid w:val="00C849DB"/>
    <w:rsid w:val="00C84CD1"/>
    <w:rsid w:val="00C84E00"/>
    <w:rsid w:val="00C8514D"/>
    <w:rsid w:val="00C8684E"/>
    <w:rsid w:val="00C86A23"/>
    <w:rsid w:val="00C86DE8"/>
    <w:rsid w:val="00C86EDD"/>
    <w:rsid w:val="00C86FE0"/>
    <w:rsid w:val="00C87812"/>
    <w:rsid w:val="00C87A8F"/>
    <w:rsid w:val="00C87AE8"/>
    <w:rsid w:val="00C90187"/>
    <w:rsid w:val="00C9036A"/>
    <w:rsid w:val="00C9096C"/>
    <w:rsid w:val="00C91174"/>
    <w:rsid w:val="00C912E6"/>
    <w:rsid w:val="00C91476"/>
    <w:rsid w:val="00C9163A"/>
    <w:rsid w:val="00C91687"/>
    <w:rsid w:val="00C916BE"/>
    <w:rsid w:val="00C917E7"/>
    <w:rsid w:val="00C91B45"/>
    <w:rsid w:val="00C91C88"/>
    <w:rsid w:val="00C924A8"/>
    <w:rsid w:val="00C93303"/>
    <w:rsid w:val="00C936F0"/>
    <w:rsid w:val="00C93B24"/>
    <w:rsid w:val="00C93E2A"/>
    <w:rsid w:val="00C94345"/>
    <w:rsid w:val="00C945FE"/>
    <w:rsid w:val="00C94C38"/>
    <w:rsid w:val="00C94CB5"/>
    <w:rsid w:val="00C95002"/>
    <w:rsid w:val="00C9648C"/>
    <w:rsid w:val="00C96D17"/>
    <w:rsid w:val="00C96DF1"/>
    <w:rsid w:val="00C96F1F"/>
    <w:rsid w:val="00C96FAA"/>
    <w:rsid w:val="00C97323"/>
    <w:rsid w:val="00C97A04"/>
    <w:rsid w:val="00C97C1C"/>
    <w:rsid w:val="00CA0B53"/>
    <w:rsid w:val="00CA0E3C"/>
    <w:rsid w:val="00CA107B"/>
    <w:rsid w:val="00CA11A0"/>
    <w:rsid w:val="00CA17E0"/>
    <w:rsid w:val="00CA197D"/>
    <w:rsid w:val="00CA1CBC"/>
    <w:rsid w:val="00CA1CD9"/>
    <w:rsid w:val="00CA1E63"/>
    <w:rsid w:val="00CA20CF"/>
    <w:rsid w:val="00CA21A1"/>
    <w:rsid w:val="00CA21B5"/>
    <w:rsid w:val="00CA2617"/>
    <w:rsid w:val="00CA28E7"/>
    <w:rsid w:val="00CA29D2"/>
    <w:rsid w:val="00CA2C11"/>
    <w:rsid w:val="00CA2E97"/>
    <w:rsid w:val="00CA2EF5"/>
    <w:rsid w:val="00CA2F4E"/>
    <w:rsid w:val="00CA35FF"/>
    <w:rsid w:val="00CA420F"/>
    <w:rsid w:val="00CA43D9"/>
    <w:rsid w:val="00CA4831"/>
    <w:rsid w:val="00CA484D"/>
    <w:rsid w:val="00CA4F07"/>
    <w:rsid w:val="00CA4FB6"/>
    <w:rsid w:val="00CA50F5"/>
    <w:rsid w:val="00CA510E"/>
    <w:rsid w:val="00CA54AD"/>
    <w:rsid w:val="00CA5951"/>
    <w:rsid w:val="00CA5B3B"/>
    <w:rsid w:val="00CA5D17"/>
    <w:rsid w:val="00CA5E11"/>
    <w:rsid w:val="00CA652A"/>
    <w:rsid w:val="00CA68D0"/>
    <w:rsid w:val="00CA6973"/>
    <w:rsid w:val="00CA6C2F"/>
    <w:rsid w:val="00CA712F"/>
    <w:rsid w:val="00CA715B"/>
    <w:rsid w:val="00CA73B2"/>
    <w:rsid w:val="00CA77D2"/>
    <w:rsid w:val="00CA7ABA"/>
    <w:rsid w:val="00CA7B80"/>
    <w:rsid w:val="00CB047A"/>
    <w:rsid w:val="00CB094E"/>
    <w:rsid w:val="00CB0A1C"/>
    <w:rsid w:val="00CB0F54"/>
    <w:rsid w:val="00CB160F"/>
    <w:rsid w:val="00CB1D2D"/>
    <w:rsid w:val="00CB20D2"/>
    <w:rsid w:val="00CB2111"/>
    <w:rsid w:val="00CB22A1"/>
    <w:rsid w:val="00CB2646"/>
    <w:rsid w:val="00CB2780"/>
    <w:rsid w:val="00CB2840"/>
    <w:rsid w:val="00CB286F"/>
    <w:rsid w:val="00CB2A72"/>
    <w:rsid w:val="00CB2EB7"/>
    <w:rsid w:val="00CB30CA"/>
    <w:rsid w:val="00CB3684"/>
    <w:rsid w:val="00CB37A5"/>
    <w:rsid w:val="00CB3BF6"/>
    <w:rsid w:val="00CB3CBE"/>
    <w:rsid w:val="00CB3F00"/>
    <w:rsid w:val="00CB4384"/>
    <w:rsid w:val="00CB439C"/>
    <w:rsid w:val="00CB49A6"/>
    <w:rsid w:val="00CB4A82"/>
    <w:rsid w:val="00CB4C57"/>
    <w:rsid w:val="00CB4F24"/>
    <w:rsid w:val="00CB4F54"/>
    <w:rsid w:val="00CB519C"/>
    <w:rsid w:val="00CB51F7"/>
    <w:rsid w:val="00CB52E4"/>
    <w:rsid w:val="00CB5DE0"/>
    <w:rsid w:val="00CB6405"/>
    <w:rsid w:val="00CB66CE"/>
    <w:rsid w:val="00CB6AA3"/>
    <w:rsid w:val="00CB7116"/>
    <w:rsid w:val="00CB72BE"/>
    <w:rsid w:val="00CB72C9"/>
    <w:rsid w:val="00CB757E"/>
    <w:rsid w:val="00CB76EE"/>
    <w:rsid w:val="00CB78AB"/>
    <w:rsid w:val="00CB7AA4"/>
    <w:rsid w:val="00CB7E50"/>
    <w:rsid w:val="00CC0196"/>
    <w:rsid w:val="00CC03C0"/>
    <w:rsid w:val="00CC0DF5"/>
    <w:rsid w:val="00CC10F8"/>
    <w:rsid w:val="00CC15C0"/>
    <w:rsid w:val="00CC1BD1"/>
    <w:rsid w:val="00CC1D72"/>
    <w:rsid w:val="00CC2B57"/>
    <w:rsid w:val="00CC3173"/>
    <w:rsid w:val="00CC37BF"/>
    <w:rsid w:val="00CC3E4C"/>
    <w:rsid w:val="00CC4365"/>
    <w:rsid w:val="00CC444F"/>
    <w:rsid w:val="00CC44AB"/>
    <w:rsid w:val="00CC4754"/>
    <w:rsid w:val="00CC4811"/>
    <w:rsid w:val="00CC4A30"/>
    <w:rsid w:val="00CC4BBC"/>
    <w:rsid w:val="00CC4F04"/>
    <w:rsid w:val="00CC5C13"/>
    <w:rsid w:val="00CC5CBA"/>
    <w:rsid w:val="00CC6194"/>
    <w:rsid w:val="00CC739E"/>
    <w:rsid w:val="00CC759F"/>
    <w:rsid w:val="00CC76CC"/>
    <w:rsid w:val="00CC780C"/>
    <w:rsid w:val="00CC7BE0"/>
    <w:rsid w:val="00CC7D0B"/>
    <w:rsid w:val="00CD00DB"/>
    <w:rsid w:val="00CD0202"/>
    <w:rsid w:val="00CD03D5"/>
    <w:rsid w:val="00CD0732"/>
    <w:rsid w:val="00CD0820"/>
    <w:rsid w:val="00CD0881"/>
    <w:rsid w:val="00CD0B90"/>
    <w:rsid w:val="00CD0FB4"/>
    <w:rsid w:val="00CD1B8A"/>
    <w:rsid w:val="00CD21E3"/>
    <w:rsid w:val="00CD2509"/>
    <w:rsid w:val="00CD27DC"/>
    <w:rsid w:val="00CD29DB"/>
    <w:rsid w:val="00CD2AC1"/>
    <w:rsid w:val="00CD2E07"/>
    <w:rsid w:val="00CD36B0"/>
    <w:rsid w:val="00CD36DE"/>
    <w:rsid w:val="00CD3A6F"/>
    <w:rsid w:val="00CD3A93"/>
    <w:rsid w:val="00CD3C79"/>
    <w:rsid w:val="00CD3D11"/>
    <w:rsid w:val="00CD3DD5"/>
    <w:rsid w:val="00CD42E7"/>
    <w:rsid w:val="00CD42FC"/>
    <w:rsid w:val="00CD451F"/>
    <w:rsid w:val="00CD4647"/>
    <w:rsid w:val="00CD50B7"/>
    <w:rsid w:val="00CD52B5"/>
    <w:rsid w:val="00CD58B7"/>
    <w:rsid w:val="00CD5FED"/>
    <w:rsid w:val="00CD610F"/>
    <w:rsid w:val="00CD64A2"/>
    <w:rsid w:val="00CD68FC"/>
    <w:rsid w:val="00CD6A1A"/>
    <w:rsid w:val="00CD6DEA"/>
    <w:rsid w:val="00CD70AC"/>
    <w:rsid w:val="00CD79C2"/>
    <w:rsid w:val="00CD7A87"/>
    <w:rsid w:val="00CD7B7B"/>
    <w:rsid w:val="00CE0570"/>
    <w:rsid w:val="00CE118E"/>
    <w:rsid w:val="00CE11EB"/>
    <w:rsid w:val="00CE13A8"/>
    <w:rsid w:val="00CE18CC"/>
    <w:rsid w:val="00CE194A"/>
    <w:rsid w:val="00CE19E5"/>
    <w:rsid w:val="00CE1D85"/>
    <w:rsid w:val="00CE239F"/>
    <w:rsid w:val="00CE2715"/>
    <w:rsid w:val="00CE3017"/>
    <w:rsid w:val="00CE330B"/>
    <w:rsid w:val="00CE3449"/>
    <w:rsid w:val="00CE3632"/>
    <w:rsid w:val="00CE371A"/>
    <w:rsid w:val="00CE39AB"/>
    <w:rsid w:val="00CE410D"/>
    <w:rsid w:val="00CE42DB"/>
    <w:rsid w:val="00CE4657"/>
    <w:rsid w:val="00CE48A4"/>
    <w:rsid w:val="00CE51E5"/>
    <w:rsid w:val="00CE5609"/>
    <w:rsid w:val="00CE5859"/>
    <w:rsid w:val="00CE6438"/>
    <w:rsid w:val="00CE64B9"/>
    <w:rsid w:val="00CE65F7"/>
    <w:rsid w:val="00CE678E"/>
    <w:rsid w:val="00CE741E"/>
    <w:rsid w:val="00CE7DF6"/>
    <w:rsid w:val="00CE7F40"/>
    <w:rsid w:val="00CF0402"/>
    <w:rsid w:val="00CF0610"/>
    <w:rsid w:val="00CF1050"/>
    <w:rsid w:val="00CF141E"/>
    <w:rsid w:val="00CF15C4"/>
    <w:rsid w:val="00CF15E4"/>
    <w:rsid w:val="00CF17BF"/>
    <w:rsid w:val="00CF1995"/>
    <w:rsid w:val="00CF1BAF"/>
    <w:rsid w:val="00CF1D18"/>
    <w:rsid w:val="00CF1EFC"/>
    <w:rsid w:val="00CF1F2A"/>
    <w:rsid w:val="00CF22EF"/>
    <w:rsid w:val="00CF2488"/>
    <w:rsid w:val="00CF273E"/>
    <w:rsid w:val="00CF29EE"/>
    <w:rsid w:val="00CF2C29"/>
    <w:rsid w:val="00CF2E5A"/>
    <w:rsid w:val="00CF2F4C"/>
    <w:rsid w:val="00CF2FF3"/>
    <w:rsid w:val="00CF3119"/>
    <w:rsid w:val="00CF3AED"/>
    <w:rsid w:val="00CF3C02"/>
    <w:rsid w:val="00CF3E44"/>
    <w:rsid w:val="00CF4099"/>
    <w:rsid w:val="00CF4EF2"/>
    <w:rsid w:val="00CF5B46"/>
    <w:rsid w:val="00CF5CB2"/>
    <w:rsid w:val="00CF6205"/>
    <w:rsid w:val="00CF6519"/>
    <w:rsid w:val="00CF6776"/>
    <w:rsid w:val="00CF6895"/>
    <w:rsid w:val="00CF6EA8"/>
    <w:rsid w:val="00CF70DC"/>
    <w:rsid w:val="00CF7122"/>
    <w:rsid w:val="00CF7322"/>
    <w:rsid w:val="00CF7AB8"/>
    <w:rsid w:val="00CF7F3B"/>
    <w:rsid w:val="00D00796"/>
    <w:rsid w:val="00D00893"/>
    <w:rsid w:val="00D00915"/>
    <w:rsid w:val="00D00C96"/>
    <w:rsid w:val="00D01168"/>
    <w:rsid w:val="00D0133E"/>
    <w:rsid w:val="00D01406"/>
    <w:rsid w:val="00D01AA5"/>
    <w:rsid w:val="00D01D0C"/>
    <w:rsid w:val="00D01ED2"/>
    <w:rsid w:val="00D0282E"/>
    <w:rsid w:val="00D02B18"/>
    <w:rsid w:val="00D02DE2"/>
    <w:rsid w:val="00D03195"/>
    <w:rsid w:val="00D0363C"/>
    <w:rsid w:val="00D03A17"/>
    <w:rsid w:val="00D03A67"/>
    <w:rsid w:val="00D04119"/>
    <w:rsid w:val="00D0485B"/>
    <w:rsid w:val="00D04A05"/>
    <w:rsid w:val="00D04A9F"/>
    <w:rsid w:val="00D04E53"/>
    <w:rsid w:val="00D05454"/>
    <w:rsid w:val="00D05741"/>
    <w:rsid w:val="00D05867"/>
    <w:rsid w:val="00D05EA4"/>
    <w:rsid w:val="00D0667F"/>
    <w:rsid w:val="00D06698"/>
    <w:rsid w:val="00D068D3"/>
    <w:rsid w:val="00D06B77"/>
    <w:rsid w:val="00D0712D"/>
    <w:rsid w:val="00D073F4"/>
    <w:rsid w:val="00D07451"/>
    <w:rsid w:val="00D07BFE"/>
    <w:rsid w:val="00D07C41"/>
    <w:rsid w:val="00D07FD4"/>
    <w:rsid w:val="00D11803"/>
    <w:rsid w:val="00D11A99"/>
    <w:rsid w:val="00D11AA4"/>
    <w:rsid w:val="00D11B24"/>
    <w:rsid w:val="00D11E28"/>
    <w:rsid w:val="00D1208F"/>
    <w:rsid w:val="00D1279A"/>
    <w:rsid w:val="00D1291F"/>
    <w:rsid w:val="00D12F4A"/>
    <w:rsid w:val="00D136EE"/>
    <w:rsid w:val="00D138FB"/>
    <w:rsid w:val="00D1393E"/>
    <w:rsid w:val="00D13E71"/>
    <w:rsid w:val="00D13FEF"/>
    <w:rsid w:val="00D1445F"/>
    <w:rsid w:val="00D14667"/>
    <w:rsid w:val="00D14919"/>
    <w:rsid w:val="00D14931"/>
    <w:rsid w:val="00D14B13"/>
    <w:rsid w:val="00D14BB3"/>
    <w:rsid w:val="00D14DA6"/>
    <w:rsid w:val="00D150AC"/>
    <w:rsid w:val="00D151A8"/>
    <w:rsid w:val="00D15CEA"/>
    <w:rsid w:val="00D16117"/>
    <w:rsid w:val="00D1659B"/>
    <w:rsid w:val="00D172AB"/>
    <w:rsid w:val="00D174D8"/>
    <w:rsid w:val="00D1758A"/>
    <w:rsid w:val="00D17E91"/>
    <w:rsid w:val="00D17E9E"/>
    <w:rsid w:val="00D20766"/>
    <w:rsid w:val="00D207A3"/>
    <w:rsid w:val="00D20A87"/>
    <w:rsid w:val="00D20C70"/>
    <w:rsid w:val="00D216D5"/>
    <w:rsid w:val="00D21749"/>
    <w:rsid w:val="00D21817"/>
    <w:rsid w:val="00D22388"/>
    <w:rsid w:val="00D224ED"/>
    <w:rsid w:val="00D226AD"/>
    <w:rsid w:val="00D22815"/>
    <w:rsid w:val="00D22B64"/>
    <w:rsid w:val="00D2344B"/>
    <w:rsid w:val="00D236D3"/>
    <w:rsid w:val="00D23A2D"/>
    <w:rsid w:val="00D23BFD"/>
    <w:rsid w:val="00D23E6D"/>
    <w:rsid w:val="00D23F73"/>
    <w:rsid w:val="00D24A5D"/>
    <w:rsid w:val="00D24DFB"/>
    <w:rsid w:val="00D24F9A"/>
    <w:rsid w:val="00D25311"/>
    <w:rsid w:val="00D25729"/>
    <w:rsid w:val="00D25BC3"/>
    <w:rsid w:val="00D25DDA"/>
    <w:rsid w:val="00D25E4E"/>
    <w:rsid w:val="00D261A2"/>
    <w:rsid w:val="00D261DF"/>
    <w:rsid w:val="00D26267"/>
    <w:rsid w:val="00D265C0"/>
    <w:rsid w:val="00D269A4"/>
    <w:rsid w:val="00D26B69"/>
    <w:rsid w:val="00D27B37"/>
    <w:rsid w:val="00D30022"/>
    <w:rsid w:val="00D3048F"/>
    <w:rsid w:val="00D30822"/>
    <w:rsid w:val="00D30AF8"/>
    <w:rsid w:val="00D30B93"/>
    <w:rsid w:val="00D30C24"/>
    <w:rsid w:val="00D30C92"/>
    <w:rsid w:val="00D31133"/>
    <w:rsid w:val="00D312B3"/>
    <w:rsid w:val="00D316D2"/>
    <w:rsid w:val="00D31710"/>
    <w:rsid w:val="00D31758"/>
    <w:rsid w:val="00D31E2F"/>
    <w:rsid w:val="00D31EBF"/>
    <w:rsid w:val="00D3212F"/>
    <w:rsid w:val="00D3246C"/>
    <w:rsid w:val="00D328EC"/>
    <w:rsid w:val="00D32AFE"/>
    <w:rsid w:val="00D32FDF"/>
    <w:rsid w:val="00D332A8"/>
    <w:rsid w:val="00D33390"/>
    <w:rsid w:val="00D33E3D"/>
    <w:rsid w:val="00D33EED"/>
    <w:rsid w:val="00D34221"/>
    <w:rsid w:val="00D344FA"/>
    <w:rsid w:val="00D34519"/>
    <w:rsid w:val="00D3486B"/>
    <w:rsid w:val="00D34C39"/>
    <w:rsid w:val="00D34DAC"/>
    <w:rsid w:val="00D351EC"/>
    <w:rsid w:val="00D35719"/>
    <w:rsid w:val="00D35887"/>
    <w:rsid w:val="00D35C6D"/>
    <w:rsid w:val="00D35CF8"/>
    <w:rsid w:val="00D35FFE"/>
    <w:rsid w:val="00D36509"/>
    <w:rsid w:val="00D36969"/>
    <w:rsid w:val="00D369F5"/>
    <w:rsid w:val="00D36DEB"/>
    <w:rsid w:val="00D36E99"/>
    <w:rsid w:val="00D37095"/>
    <w:rsid w:val="00D3728E"/>
    <w:rsid w:val="00D402A2"/>
    <w:rsid w:val="00D4039C"/>
    <w:rsid w:val="00D40503"/>
    <w:rsid w:val="00D40A85"/>
    <w:rsid w:val="00D41358"/>
    <w:rsid w:val="00D421EE"/>
    <w:rsid w:val="00D423CD"/>
    <w:rsid w:val="00D42814"/>
    <w:rsid w:val="00D42A2B"/>
    <w:rsid w:val="00D42B6F"/>
    <w:rsid w:val="00D4320B"/>
    <w:rsid w:val="00D4372F"/>
    <w:rsid w:val="00D43A8A"/>
    <w:rsid w:val="00D43ECE"/>
    <w:rsid w:val="00D442EA"/>
    <w:rsid w:val="00D445C2"/>
    <w:rsid w:val="00D446BC"/>
    <w:rsid w:val="00D4478E"/>
    <w:rsid w:val="00D44CDB"/>
    <w:rsid w:val="00D45F4F"/>
    <w:rsid w:val="00D4613A"/>
    <w:rsid w:val="00D46C9B"/>
    <w:rsid w:val="00D47075"/>
    <w:rsid w:val="00D47343"/>
    <w:rsid w:val="00D47732"/>
    <w:rsid w:val="00D47779"/>
    <w:rsid w:val="00D47FB0"/>
    <w:rsid w:val="00D50083"/>
    <w:rsid w:val="00D500BA"/>
    <w:rsid w:val="00D50110"/>
    <w:rsid w:val="00D50AA0"/>
    <w:rsid w:val="00D51A65"/>
    <w:rsid w:val="00D51AB9"/>
    <w:rsid w:val="00D51BAA"/>
    <w:rsid w:val="00D51D99"/>
    <w:rsid w:val="00D5237E"/>
    <w:rsid w:val="00D529EB"/>
    <w:rsid w:val="00D52DE6"/>
    <w:rsid w:val="00D533DC"/>
    <w:rsid w:val="00D534C2"/>
    <w:rsid w:val="00D5416C"/>
    <w:rsid w:val="00D54386"/>
    <w:rsid w:val="00D543C9"/>
    <w:rsid w:val="00D5476D"/>
    <w:rsid w:val="00D54DC4"/>
    <w:rsid w:val="00D54E8C"/>
    <w:rsid w:val="00D54F6B"/>
    <w:rsid w:val="00D550C1"/>
    <w:rsid w:val="00D551AD"/>
    <w:rsid w:val="00D55270"/>
    <w:rsid w:val="00D557B6"/>
    <w:rsid w:val="00D55A14"/>
    <w:rsid w:val="00D55B0E"/>
    <w:rsid w:val="00D55D57"/>
    <w:rsid w:val="00D56A94"/>
    <w:rsid w:val="00D56B09"/>
    <w:rsid w:val="00D56B8B"/>
    <w:rsid w:val="00D56F8C"/>
    <w:rsid w:val="00D573F6"/>
    <w:rsid w:val="00D57793"/>
    <w:rsid w:val="00D57B5A"/>
    <w:rsid w:val="00D606E6"/>
    <w:rsid w:val="00D60C9A"/>
    <w:rsid w:val="00D61602"/>
    <w:rsid w:val="00D616D2"/>
    <w:rsid w:val="00D61925"/>
    <w:rsid w:val="00D61C0C"/>
    <w:rsid w:val="00D61CAB"/>
    <w:rsid w:val="00D620AB"/>
    <w:rsid w:val="00D62400"/>
    <w:rsid w:val="00D6260F"/>
    <w:rsid w:val="00D627D8"/>
    <w:rsid w:val="00D62963"/>
    <w:rsid w:val="00D630A4"/>
    <w:rsid w:val="00D6321E"/>
    <w:rsid w:val="00D63AB6"/>
    <w:rsid w:val="00D63B5F"/>
    <w:rsid w:val="00D63E1B"/>
    <w:rsid w:val="00D6429D"/>
    <w:rsid w:val="00D64D8E"/>
    <w:rsid w:val="00D65008"/>
    <w:rsid w:val="00D6519F"/>
    <w:rsid w:val="00D6531C"/>
    <w:rsid w:val="00D65450"/>
    <w:rsid w:val="00D65972"/>
    <w:rsid w:val="00D65D76"/>
    <w:rsid w:val="00D6629C"/>
    <w:rsid w:val="00D666B1"/>
    <w:rsid w:val="00D6728F"/>
    <w:rsid w:val="00D67666"/>
    <w:rsid w:val="00D677A0"/>
    <w:rsid w:val="00D67CD5"/>
    <w:rsid w:val="00D700F6"/>
    <w:rsid w:val="00D70517"/>
    <w:rsid w:val="00D70A14"/>
    <w:rsid w:val="00D70B0C"/>
    <w:rsid w:val="00D70EF7"/>
    <w:rsid w:val="00D7186E"/>
    <w:rsid w:val="00D71B4B"/>
    <w:rsid w:val="00D71BA1"/>
    <w:rsid w:val="00D71F90"/>
    <w:rsid w:val="00D72546"/>
    <w:rsid w:val="00D72931"/>
    <w:rsid w:val="00D72A0F"/>
    <w:rsid w:val="00D72D44"/>
    <w:rsid w:val="00D738EE"/>
    <w:rsid w:val="00D73993"/>
    <w:rsid w:val="00D73D48"/>
    <w:rsid w:val="00D73FD1"/>
    <w:rsid w:val="00D740E0"/>
    <w:rsid w:val="00D74785"/>
    <w:rsid w:val="00D74938"/>
    <w:rsid w:val="00D749D5"/>
    <w:rsid w:val="00D74D92"/>
    <w:rsid w:val="00D74F68"/>
    <w:rsid w:val="00D7504F"/>
    <w:rsid w:val="00D75081"/>
    <w:rsid w:val="00D75312"/>
    <w:rsid w:val="00D75B5F"/>
    <w:rsid w:val="00D75D80"/>
    <w:rsid w:val="00D7625F"/>
    <w:rsid w:val="00D766A2"/>
    <w:rsid w:val="00D768E6"/>
    <w:rsid w:val="00D76C5D"/>
    <w:rsid w:val="00D76F8C"/>
    <w:rsid w:val="00D77288"/>
    <w:rsid w:val="00D77DEE"/>
    <w:rsid w:val="00D800C0"/>
    <w:rsid w:val="00D80221"/>
    <w:rsid w:val="00D8091C"/>
    <w:rsid w:val="00D80986"/>
    <w:rsid w:val="00D80BAA"/>
    <w:rsid w:val="00D80BEB"/>
    <w:rsid w:val="00D80D53"/>
    <w:rsid w:val="00D80F62"/>
    <w:rsid w:val="00D81F2B"/>
    <w:rsid w:val="00D820D9"/>
    <w:rsid w:val="00D82147"/>
    <w:rsid w:val="00D82173"/>
    <w:rsid w:val="00D823D7"/>
    <w:rsid w:val="00D82A1B"/>
    <w:rsid w:val="00D82A96"/>
    <w:rsid w:val="00D82D02"/>
    <w:rsid w:val="00D83173"/>
    <w:rsid w:val="00D837EF"/>
    <w:rsid w:val="00D8397C"/>
    <w:rsid w:val="00D83B73"/>
    <w:rsid w:val="00D83D3B"/>
    <w:rsid w:val="00D83F40"/>
    <w:rsid w:val="00D84070"/>
    <w:rsid w:val="00D84643"/>
    <w:rsid w:val="00D846C4"/>
    <w:rsid w:val="00D84ED5"/>
    <w:rsid w:val="00D8531C"/>
    <w:rsid w:val="00D8538B"/>
    <w:rsid w:val="00D8573E"/>
    <w:rsid w:val="00D85943"/>
    <w:rsid w:val="00D86325"/>
    <w:rsid w:val="00D8658A"/>
    <w:rsid w:val="00D86CD3"/>
    <w:rsid w:val="00D8706A"/>
    <w:rsid w:val="00D8736D"/>
    <w:rsid w:val="00D874F7"/>
    <w:rsid w:val="00D87EA2"/>
    <w:rsid w:val="00D90529"/>
    <w:rsid w:val="00D90C1A"/>
    <w:rsid w:val="00D917F3"/>
    <w:rsid w:val="00D9182A"/>
    <w:rsid w:val="00D918CD"/>
    <w:rsid w:val="00D91B88"/>
    <w:rsid w:val="00D91CB9"/>
    <w:rsid w:val="00D91E70"/>
    <w:rsid w:val="00D91FD3"/>
    <w:rsid w:val="00D92100"/>
    <w:rsid w:val="00D92696"/>
    <w:rsid w:val="00D927C3"/>
    <w:rsid w:val="00D92FE7"/>
    <w:rsid w:val="00D932E1"/>
    <w:rsid w:val="00D934B3"/>
    <w:rsid w:val="00D935CA"/>
    <w:rsid w:val="00D93986"/>
    <w:rsid w:val="00D93F9F"/>
    <w:rsid w:val="00D9452A"/>
    <w:rsid w:val="00D94650"/>
    <w:rsid w:val="00D949A6"/>
    <w:rsid w:val="00D94EED"/>
    <w:rsid w:val="00D9506D"/>
    <w:rsid w:val="00D950B2"/>
    <w:rsid w:val="00D95377"/>
    <w:rsid w:val="00D9574A"/>
    <w:rsid w:val="00D957A3"/>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2D12"/>
    <w:rsid w:val="00DA307B"/>
    <w:rsid w:val="00DA3124"/>
    <w:rsid w:val="00DA34F6"/>
    <w:rsid w:val="00DA4229"/>
    <w:rsid w:val="00DA4C46"/>
    <w:rsid w:val="00DA539B"/>
    <w:rsid w:val="00DA56E2"/>
    <w:rsid w:val="00DA5B23"/>
    <w:rsid w:val="00DA5ED2"/>
    <w:rsid w:val="00DA62AB"/>
    <w:rsid w:val="00DA637C"/>
    <w:rsid w:val="00DA65D5"/>
    <w:rsid w:val="00DA6918"/>
    <w:rsid w:val="00DA6F0D"/>
    <w:rsid w:val="00DA7911"/>
    <w:rsid w:val="00DA7C1C"/>
    <w:rsid w:val="00DB072C"/>
    <w:rsid w:val="00DB08CF"/>
    <w:rsid w:val="00DB0B41"/>
    <w:rsid w:val="00DB1341"/>
    <w:rsid w:val="00DB147A"/>
    <w:rsid w:val="00DB147B"/>
    <w:rsid w:val="00DB1509"/>
    <w:rsid w:val="00DB175B"/>
    <w:rsid w:val="00DB1949"/>
    <w:rsid w:val="00DB1AE4"/>
    <w:rsid w:val="00DB1B7A"/>
    <w:rsid w:val="00DB2318"/>
    <w:rsid w:val="00DB24C3"/>
    <w:rsid w:val="00DB256E"/>
    <w:rsid w:val="00DB2608"/>
    <w:rsid w:val="00DB2727"/>
    <w:rsid w:val="00DB2B90"/>
    <w:rsid w:val="00DB2C38"/>
    <w:rsid w:val="00DB2F12"/>
    <w:rsid w:val="00DB2F84"/>
    <w:rsid w:val="00DB3024"/>
    <w:rsid w:val="00DB3176"/>
    <w:rsid w:val="00DB36A6"/>
    <w:rsid w:val="00DB3DB0"/>
    <w:rsid w:val="00DB52DE"/>
    <w:rsid w:val="00DB6217"/>
    <w:rsid w:val="00DB628B"/>
    <w:rsid w:val="00DB630E"/>
    <w:rsid w:val="00DB65EF"/>
    <w:rsid w:val="00DB6804"/>
    <w:rsid w:val="00DB6947"/>
    <w:rsid w:val="00DB6C1A"/>
    <w:rsid w:val="00DB71A7"/>
    <w:rsid w:val="00DB768F"/>
    <w:rsid w:val="00DB769A"/>
    <w:rsid w:val="00DB78AE"/>
    <w:rsid w:val="00DB7B5F"/>
    <w:rsid w:val="00DB7B82"/>
    <w:rsid w:val="00DB7F4B"/>
    <w:rsid w:val="00DC00C4"/>
    <w:rsid w:val="00DC0B16"/>
    <w:rsid w:val="00DC0BF7"/>
    <w:rsid w:val="00DC13F2"/>
    <w:rsid w:val="00DC1543"/>
    <w:rsid w:val="00DC17EF"/>
    <w:rsid w:val="00DC1843"/>
    <w:rsid w:val="00DC1B5B"/>
    <w:rsid w:val="00DC1B9C"/>
    <w:rsid w:val="00DC1FE3"/>
    <w:rsid w:val="00DC2092"/>
    <w:rsid w:val="00DC20FB"/>
    <w:rsid w:val="00DC27DF"/>
    <w:rsid w:val="00DC30AA"/>
    <w:rsid w:val="00DC37F9"/>
    <w:rsid w:val="00DC3AEB"/>
    <w:rsid w:val="00DC458E"/>
    <w:rsid w:val="00DC45FA"/>
    <w:rsid w:val="00DC46EA"/>
    <w:rsid w:val="00DC46F9"/>
    <w:rsid w:val="00DC50EF"/>
    <w:rsid w:val="00DC520B"/>
    <w:rsid w:val="00DC5C33"/>
    <w:rsid w:val="00DC5D9C"/>
    <w:rsid w:val="00DC5E61"/>
    <w:rsid w:val="00DC61AA"/>
    <w:rsid w:val="00DC6265"/>
    <w:rsid w:val="00DC63AE"/>
    <w:rsid w:val="00DC6708"/>
    <w:rsid w:val="00DC6BC3"/>
    <w:rsid w:val="00DC6C9E"/>
    <w:rsid w:val="00DC702D"/>
    <w:rsid w:val="00DC72CF"/>
    <w:rsid w:val="00DD01BE"/>
    <w:rsid w:val="00DD033F"/>
    <w:rsid w:val="00DD0684"/>
    <w:rsid w:val="00DD0750"/>
    <w:rsid w:val="00DD091B"/>
    <w:rsid w:val="00DD0BB3"/>
    <w:rsid w:val="00DD0BC9"/>
    <w:rsid w:val="00DD0EED"/>
    <w:rsid w:val="00DD16BE"/>
    <w:rsid w:val="00DD19E5"/>
    <w:rsid w:val="00DD1CCF"/>
    <w:rsid w:val="00DD21AC"/>
    <w:rsid w:val="00DD24D2"/>
    <w:rsid w:val="00DD2709"/>
    <w:rsid w:val="00DD2F78"/>
    <w:rsid w:val="00DD3288"/>
    <w:rsid w:val="00DD3649"/>
    <w:rsid w:val="00DD3798"/>
    <w:rsid w:val="00DD3BED"/>
    <w:rsid w:val="00DD3D12"/>
    <w:rsid w:val="00DD3D41"/>
    <w:rsid w:val="00DD3E7C"/>
    <w:rsid w:val="00DD491B"/>
    <w:rsid w:val="00DD4E0F"/>
    <w:rsid w:val="00DD505E"/>
    <w:rsid w:val="00DD5305"/>
    <w:rsid w:val="00DD536C"/>
    <w:rsid w:val="00DD54BF"/>
    <w:rsid w:val="00DD5ED6"/>
    <w:rsid w:val="00DD668A"/>
    <w:rsid w:val="00DD67DA"/>
    <w:rsid w:val="00DD6826"/>
    <w:rsid w:val="00DD6BD9"/>
    <w:rsid w:val="00DD6D59"/>
    <w:rsid w:val="00DD7067"/>
    <w:rsid w:val="00DD7252"/>
    <w:rsid w:val="00DD7DCA"/>
    <w:rsid w:val="00DE0642"/>
    <w:rsid w:val="00DE0C69"/>
    <w:rsid w:val="00DE0F1C"/>
    <w:rsid w:val="00DE1556"/>
    <w:rsid w:val="00DE16C3"/>
    <w:rsid w:val="00DE1731"/>
    <w:rsid w:val="00DE204B"/>
    <w:rsid w:val="00DE2471"/>
    <w:rsid w:val="00DE3189"/>
    <w:rsid w:val="00DE34CA"/>
    <w:rsid w:val="00DE364A"/>
    <w:rsid w:val="00DE4262"/>
    <w:rsid w:val="00DE465E"/>
    <w:rsid w:val="00DE485B"/>
    <w:rsid w:val="00DE4F08"/>
    <w:rsid w:val="00DE514B"/>
    <w:rsid w:val="00DE5420"/>
    <w:rsid w:val="00DE55E2"/>
    <w:rsid w:val="00DE56C0"/>
    <w:rsid w:val="00DE5BF0"/>
    <w:rsid w:val="00DE5D4D"/>
    <w:rsid w:val="00DE5D7D"/>
    <w:rsid w:val="00DE6FE9"/>
    <w:rsid w:val="00DE78C0"/>
    <w:rsid w:val="00DF00A1"/>
    <w:rsid w:val="00DF01EE"/>
    <w:rsid w:val="00DF0247"/>
    <w:rsid w:val="00DF0881"/>
    <w:rsid w:val="00DF09E4"/>
    <w:rsid w:val="00DF16DC"/>
    <w:rsid w:val="00DF2439"/>
    <w:rsid w:val="00DF29B1"/>
    <w:rsid w:val="00DF29F2"/>
    <w:rsid w:val="00DF2EEB"/>
    <w:rsid w:val="00DF3339"/>
    <w:rsid w:val="00DF33FD"/>
    <w:rsid w:val="00DF37AC"/>
    <w:rsid w:val="00DF3C7A"/>
    <w:rsid w:val="00DF430C"/>
    <w:rsid w:val="00DF4E94"/>
    <w:rsid w:val="00DF4FBF"/>
    <w:rsid w:val="00DF51D0"/>
    <w:rsid w:val="00DF5924"/>
    <w:rsid w:val="00DF5C69"/>
    <w:rsid w:val="00DF60B5"/>
    <w:rsid w:val="00DF610C"/>
    <w:rsid w:val="00DF67A3"/>
    <w:rsid w:val="00DF6809"/>
    <w:rsid w:val="00DF6967"/>
    <w:rsid w:val="00DF6D2E"/>
    <w:rsid w:val="00DF6DC6"/>
    <w:rsid w:val="00DF719D"/>
    <w:rsid w:val="00DF77CB"/>
    <w:rsid w:val="00E003D5"/>
    <w:rsid w:val="00E00541"/>
    <w:rsid w:val="00E00927"/>
    <w:rsid w:val="00E00E4C"/>
    <w:rsid w:val="00E010BC"/>
    <w:rsid w:val="00E01436"/>
    <w:rsid w:val="00E0157E"/>
    <w:rsid w:val="00E01827"/>
    <w:rsid w:val="00E018EE"/>
    <w:rsid w:val="00E01D8D"/>
    <w:rsid w:val="00E01DA3"/>
    <w:rsid w:val="00E01F0A"/>
    <w:rsid w:val="00E02067"/>
    <w:rsid w:val="00E0242D"/>
    <w:rsid w:val="00E02A8C"/>
    <w:rsid w:val="00E0304F"/>
    <w:rsid w:val="00E03069"/>
    <w:rsid w:val="00E03137"/>
    <w:rsid w:val="00E03A77"/>
    <w:rsid w:val="00E03CD2"/>
    <w:rsid w:val="00E03E2D"/>
    <w:rsid w:val="00E045BD"/>
    <w:rsid w:val="00E0483A"/>
    <w:rsid w:val="00E048BE"/>
    <w:rsid w:val="00E05550"/>
    <w:rsid w:val="00E05D60"/>
    <w:rsid w:val="00E0633A"/>
    <w:rsid w:val="00E0638F"/>
    <w:rsid w:val="00E068A3"/>
    <w:rsid w:val="00E06CB1"/>
    <w:rsid w:val="00E06E07"/>
    <w:rsid w:val="00E06E0C"/>
    <w:rsid w:val="00E06FB1"/>
    <w:rsid w:val="00E07309"/>
    <w:rsid w:val="00E075A6"/>
    <w:rsid w:val="00E100CB"/>
    <w:rsid w:val="00E10D37"/>
    <w:rsid w:val="00E115AE"/>
    <w:rsid w:val="00E116F9"/>
    <w:rsid w:val="00E118AA"/>
    <w:rsid w:val="00E12043"/>
    <w:rsid w:val="00E12077"/>
    <w:rsid w:val="00E12F60"/>
    <w:rsid w:val="00E13787"/>
    <w:rsid w:val="00E137E3"/>
    <w:rsid w:val="00E13A0C"/>
    <w:rsid w:val="00E13CDE"/>
    <w:rsid w:val="00E14351"/>
    <w:rsid w:val="00E146A7"/>
    <w:rsid w:val="00E147E1"/>
    <w:rsid w:val="00E14EC0"/>
    <w:rsid w:val="00E1560E"/>
    <w:rsid w:val="00E1590B"/>
    <w:rsid w:val="00E15BDF"/>
    <w:rsid w:val="00E16060"/>
    <w:rsid w:val="00E1631A"/>
    <w:rsid w:val="00E16380"/>
    <w:rsid w:val="00E164FF"/>
    <w:rsid w:val="00E16931"/>
    <w:rsid w:val="00E16A29"/>
    <w:rsid w:val="00E16C5F"/>
    <w:rsid w:val="00E16DDE"/>
    <w:rsid w:val="00E16E50"/>
    <w:rsid w:val="00E171DF"/>
    <w:rsid w:val="00E17B6C"/>
    <w:rsid w:val="00E17B77"/>
    <w:rsid w:val="00E17C7F"/>
    <w:rsid w:val="00E2000A"/>
    <w:rsid w:val="00E20E5A"/>
    <w:rsid w:val="00E2124D"/>
    <w:rsid w:val="00E2170B"/>
    <w:rsid w:val="00E21D00"/>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51A8"/>
    <w:rsid w:val="00E259EA"/>
    <w:rsid w:val="00E25C0C"/>
    <w:rsid w:val="00E25FF0"/>
    <w:rsid w:val="00E26018"/>
    <w:rsid w:val="00E2652A"/>
    <w:rsid w:val="00E2693F"/>
    <w:rsid w:val="00E269E6"/>
    <w:rsid w:val="00E26E1A"/>
    <w:rsid w:val="00E26EA7"/>
    <w:rsid w:val="00E26EA8"/>
    <w:rsid w:val="00E308D1"/>
    <w:rsid w:val="00E30B38"/>
    <w:rsid w:val="00E30E36"/>
    <w:rsid w:val="00E30FB2"/>
    <w:rsid w:val="00E31830"/>
    <w:rsid w:val="00E318C6"/>
    <w:rsid w:val="00E31DC1"/>
    <w:rsid w:val="00E31F16"/>
    <w:rsid w:val="00E32061"/>
    <w:rsid w:val="00E325E5"/>
    <w:rsid w:val="00E3301B"/>
    <w:rsid w:val="00E339B5"/>
    <w:rsid w:val="00E33C18"/>
    <w:rsid w:val="00E3402B"/>
    <w:rsid w:val="00E340E1"/>
    <w:rsid w:val="00E341CF"/>
    <w:rsid w:val="00E34344"/>
    <w:rsid w:val="00E343BB"/>
    <w:rsid w:val="00E343EA"/>
    <w:rsid w:val="00E34404"/>
    <w:rsid w:val="00E34866"/>
    <w:rsid w:val="00E34C83"/>
    <w:rsid w:val="00E35C00"/>
    <w:rsid w:val="00E35C11"/>
    <w:rsid w:val="00E35D80"/>
    <w:rsid w:val="00E3649B"/>
    <w:rsid w:val="00E36732"/>
    <w:rsid w:val="00E367D3"/>
    <w:rsid w:val="00E369F1"/>
    <w:rsid w:val="00E36F0A"/>
    <w:rsid w:val="00E3747F"/>
    <w:rsid w:val="00E376AC"/>
    <w:rsid w:val="00E378AC"/>
    <w:rsid w:val="00E37B05"/>
    <w:rsid w:val="00E405BA"/>
    <w:rsid w:val="00E40D36"/>
    <w:rsid w:val="00E40D85"/>
    <w:rsid w:val="00E40E15"/>
    <w:rsid w:val="00E414F7"/>
    <w:rsid w:val="00E41B9D"/>
    <w:rsid w:val="00E41F62"/>
    <w:rsid w:val="00E41F75"/>
    <w:rsid w:val="00E42042"/>
    <w:rsid w:val="00E42139"/>
    <w:rsid w:val="00E426EC"/>
    <w:rsid w:val="00E42FC9"/>
    <w:rsid w:val="00E42FF9"/>
    <w:rsid w:val="00E4384F"/>
    <w:rsid w:val="00E43925"/>
    <w:rsid w:val="00E44184"/>
    <w:rsid w:val="00E4418A"/>
    <w:rsid w:val="00E448F9"/>
    <w:rsid w:val="00E45091"/>
    <w:rsid w:val="00E454FB"/>
    <w:rsid w:val="00E4577D"/>
    <w:rsid w:val="00E45B46"/>
    <w:rsid w:val="00E46186"/>
    <w:rsid w:val="00E461E4"/>
    <w:rsid w:val="00E4620A"/>
    <w:rsid w:val="00E4643D"/>
    <w:rsid w:val="00E4714C"/>
    <w:rsid w:val="00E473A8"/>
    <w:rsid w:val="00E47501"/>
    <w:rsid w:val="00E4770F"/>
    <w:rsid w:val="00E50831"/>
    <w:rsid w:val="00E50AC6"/>
    <w:rsid w:val="00E5109F"/>
    <w:rsid w:val="00E51732"/>
    <w:rsid w:val="00E51AEB"/>
    <w:rsid w:val="00E51DF7"/>
    <w:rsid w:val="00E522A7"/>
    <w:rsid w:val="00E52CA2"/>
    <w:rsid w:val="00E52CE4"/>
    <w:rsid w:val="00E52E9B"/>
    <w:rsid w:val="00E52F90"/>
    <w:rsid w:val="00E532F2"/>
    <w:rsid w:val="00E534AB"/>
    <w:rsid w:val="00E53971"/>
    <w:rsid w:val="00E53B58"/>
    <w:rsid w:val="00E53C5B"/>
    <w:rsid w:val="00E53E98"/>
    <w:rsid w:val="00E53EB4"/>
    <w:rsid w:val="00E541ED"/>
    <w:rsid w:val="00E5432D"/>
    <w:rsid w:val="00E543DE"/>
    <w:rsid w:val="00E54452"/>
    <w:rsid w:val="00E5479C"/>
    <w:rsid w:val="00E547A7"/>
    <w:rsid w:val="00E547C6"/>
    <w:rsid w:val="00E54923"/>
    <w:rsid w:val="00E54A1D"/>
    <w:rsid w:val="00E54F52"/>
    <w:rsid w:val="00E555FF"/>
    <w:rsid w:val="00E55A0E"/>
    <w:rsid w:val="00E55F9C"/>
    <w:rsid w:val="00E566C7"/>
    <w:rsid w:val="00E5682C"/>
    <w:rsid w:val="00E56989"/>
    <w:rsid w:val="00E56BB0"/>
    <w:rsid w:val="00E56D2E"/>
    <w:rsid w:val="00E56E1A"/>
    <w:rsid w:val="00E60932"/>
    <w:rsid w:val="00E609CD"/>
    <w:rsid w:val="00E60CB3"/>
    <w:rsid w:val="00E61B05"/>
    <w:rsid w:val="00E62460"/>
    <w:rsid w:val="00E624CF"/>
    <w:rsid w:val="00E62641"/>
    <w:rsid w:val="00E626B2"/>
    <w:rsid w:val="00E6302A"/>
    <w:rsid w:val="00E631B5"/>
    <w:rsid w:val="00E633FD"/>
    <w:rsid w:val="00E6386D"/>
    <w:rsid w:val="00E63950"/>
    <w:rsid w:val="00E63C6A"/>
    <w:rsid w:val="00E63F87"/>
    <w:rsid w:val="00E63FC8"/>
    <w:rsid w:val="00E6425F"/>
    <w:rsid w:val="00E643B7"/>
    <w:rsid w:val="00E643C3"/>
    <w:rsid w:val="00E644D3"/>
    <w:rsid w:val="00E647C7"/>
    <w:rsid w:val="00E64DF4"/>
    <w:rsid w:val="00E64FAB"/>
    <w:rsid w:val="00E6509C"/>
    <w:rsid w:val="00E6574B"/>
    <w:rsid w:val="00E659D2"/>
    <w:rsid w:val="00E65A30"/>
    <w:rsid w:val="00E65A9C"/>
    <w:rsid w:val="00E65CE1"/>
    <w:rsid w:val="00E66202"/>
    <w:rsid w:val="00E664C5"/>
    <w:rsid w:val="00E669B0"/>
    <w:rsid w:val="00E66CB9"/>
    <w:rsid w:val="00E671A2"/>
    <w:rsid w:val="00E67587"/>
    <w:rsid w:val="00E6793D"/>
    <w:rsid w:val="00E67BE7"/>
    <w:rsid w:val="00E67DEE"/>
    <w:rsid w:val="00E70433"/>
    <w:rsid w:val="00E705A6"/>
    <w:rsid w:val="00E7066D"/>
    <w:rsid w:val="00E706F2"/>
    <w:rsid w:val="00E70988"/>
    <w:rsid w:val="00E70AFA"/>
    <w:rsid w:val="00E70BA7"/>
    <w:rsid w:val="00E7105A"/>
    <w:rsid w:val="00E7169C"/>
    <w:rsid w:val="00E71A15"/>
    <w:rsid w:val="00E71F17"/>
    <w:rsid w:val="00E7202F"/>
    <w:rsid w:val="00E7267C"/>
    <w:rsid w:val="00E726EB"/>
    <w:rsid w:val="00E72701"/>
    <w:rsid w:val="00E72766"/>
    <w:rsid w:val="00E72837"/>
    <w:rsid w:val="00E72C84"/>
    <w:rsid w:val="00E72D05"/>
    <w:rsid w:val="00E7314D"/>
    <w:rsid w:val="00E73ADF"/>
    <w:rsid w:val="00E73D03"/>
    <w:rsid w:val="00E7468F"/>
    <w:rsid w:val="00E74EA5"/>
    <w:rsid w:val="00E7557B"/>
    <w:rsid w:val="00E75917"/>
    <w:rsid w:val="00E75C18"/>
    <w:rsid w:val="00E75EF4"/>
    <w:rsid w:val="00E7683F"/>
    <w:rsid w:val="00E76D26"/>
    <w:rsid w:val="00E76E14"/>
    <w:rsid w:val="00E7757E"/>
    <w:rsid w:val="00E777D1"/>
    <w:rsid w:val="00E779E6"/>
    <w:rsid w:val="00E77B2A"/>
    <w:rsid w:val="00E77C67"/>
    <w:rsid w:val="00E77DCD"/>
    <w:rsid w:val="00E77F75"/>
    <w:rsid w:val="00E80152"/>
    <w:rsid w:val="00E80178"/>
    <w:rsid w:val="00E803C3"/>
    <w:rsid w:val="00E80A68"/>
    <w:rsid w:val="00E80BE3"/>
    <w:rsid w:val="00E8162B"/>
    <w:rsid w:val="00E817DA"/>
    <w:rsid w:val="00E81C36"/>
    <w:rsid w:val="00E81D43"/>
    <w:rsid w:val="00E81E65"/>
    <w:rsid w:val="00E822A7"/>
    <w:rsid w:val="00E82444"/>
    <w:rsid w:val="00E82626"/>
    <w:rsid w:val="00E82B51"/>
    <w:rsid w:val="00E8321F"/>
    <w:rsid w:val="00E83410"/>
    <w:rsid w:val="00E836A9"/>
    <w:rsid w:val="00E83798"/>
    <w:rsid w:val="00E83A92"/>
    <w:rsid w:val="00E83B28"/>
    <w:rsid w:val="00E83C20"/>
    <w:rsid w:val="00E83F59"/>
    <w:rsid w:val="00E84523"/>
    <w:rsid w:val="00E84575"/>
    <w:rsid w:val="00E847BD"/>
    <w:rsid w:val="00E84A80"/>
    <w:rsid w:val="00E84DDA"/>
    <w:rsid w:val="00E84E14"/>
    <w:rsid w:val="00E84EB9"/>
    <w:rsid w:val="00E84F6F"/>
    <w:rsid w:val="00E8524E"/>
    <w:rsid w:val="00E85272"/>
    <w:rsid w:val="00E85705"/>
    <w:rsid w:val="00E85AA5"/>
    <w:rsid w:val="00E860D2"/>
    <w:rsid w:val="00E864D3"/>
    <w:rsid w:val="00E866FE"/>
    <w:rsid w:val="00E8685F"/>
    <w:rsid w:val="00E86BF2"/>
    <w:rsid w:val="00E86F34"/>
    <w:rsid w:val="00E87076"/>
    <w:rsid w:val="00E871FD"/>
    <w:rsid w:val="00E87350"/>
    <w:rsid w:val="00E87371"/>
    <w:rsid w:val="00E87B40"/>
    <w:rsid w:val="00E87C2C"/>
    <w:rsid w:val="00E87D64"/>
    <w:rsid w:val="00E90118"/>
    <w:rsid w:val="00E90145"/>
    <w:rsid w:val="00E90412"/>
    <w:rsid w:val="00E90638"/>
    <w:rsid w:val="00E90C92"/>
    <w:rsid w:val="00E91276"/>
    <w:rsid w:val="00E913D2"/>
    <w:rsid w:val="00E9150E"/>
    <w:rsid w:val="00E91895"/>
    <w:rsid w:val="00E91E12"/>
    <w:rsid w:val="00E91ED1"/>
    <w:rsid w:val="00E923A7"/>
    <w:rsid w:val="00E92B02"/>
    <w:rsid w:val="00E92D3B"/>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5EE8"/>
    <w:rsid w:val="00E960C5"/>
    <w:rsid w:val="00E96190"/>
    <w:rsid w:val="00E961BE"/>
    <w:rsid w:val="00E96535"/>
    <w:rsid w:val="00E96AEB"/>
    <w:rsid w:val="00E96D54"/>
    <w:rsid w:val="00E96F07"/>
    <w:rsid w:val="00E979AF"/>
    <w:rsid w:val="00E97B02"/>
    <w:rsid w:val="00EA0013"/>
    <w:rsid w:val="00EA0218"/>
    <w:rsid w:val="00EA02C9"/>
    <w:rsid w:val="00EA02F9"/>
    <w:rsid w:val="00EA0605"/>
    <w:rsid w:val="00EA065F"/>
    <w:rsid w:val="00EA0A1C"/>
    <w:rsid w:val="00EA1617"/>
    <w:rsid w:val="00EA1E35"/>
    <w:rsid w:val="00EA2586"/>
    <w:rsid w:val="00EA2850"/>
    <w:rsid w:val="00EA3A25"/>
    <w:rsid w:val="00EA3C2D"/>
    <w:rsid w:val="00EA3FB0"/>
    <w:rsid w:val="00EA4396"/>
    <w:rsid w:val="00EA4A60"/>
    <w:rsid w:val="00EA4CEA"/>
    <w:rsid w:val="00EA4E21"/>
    <w:rsid w:val="00EA4E75"/>
    <w:rsid w:val="00EA5815"/>
    <w:rsid w:val="00EA58D7"/>
    <w:rsid w:val="00EA5A28"/>
    <w:rsid w:val="00EA5A2E"/>
    <w:rsid w:val="00EA5AAF"/>
    <w:rsid w:val="00EA5EBB"/>
    <w:rsid w:val="00EA63EE"/>
    <w:rsid w:val="00EA658A"/>
    <w:rsid w:val="00EA6BEA"/>
    <w:rsid w:val="00EA6ED3"/>
    <w:rsid w:val="00EA7279"/>
    <w:rsid w:val="00EA72AF"/>
    <w:rsid w:val="00EA74EC"/>
    <w:rsid w:val="00EA7593"/>
    <w:rsid w:val="00EA7A0A"/>
    <w:rsid w:val="00EA7A0F"/>
    <w:rsid w:val="00EA7AF0"/>
    <w:rsid w:val="00EB0A4D"/>
    <w:rsid w:val="00EB0A4E"/>
    <w:rsid w:val="00EB0AC6"/>
    <w:rsid w:val="00EB0C9E"/>
    <w:rsid w:val="00EB0D3A"/>
    <w:rsid w:val="00EB0F14"/>
    <w:rsid w:val="00EB0F46"/>
    <w:rsid w:val="00EB1129"/>
    <w:rsid w:val="00EB1390"/>
    <w:rsid w:val="00EB1760"/>
    <w:rsid w:val="00EB180D"/>
    <w:rsid w:val="00EB1DAD"/>
    <w:rsid w:val="00EB221A"/>
    <w:rsid w:val="00EB2C46"/>
    <w:rsid w:val="00EB2C71"/>
    <w:rsid w:val="00EB3102"/>
    <w:rsid w:val="00EB322A"/>
    <w:rsid w:val="00EB33E2"/>
    <w:rsid w:val="00EB40B6"/>
    <w:rsid w:val="00EB4340"/>
    <w:rsid w:val="00EB4501"/>
    <w:rsid w:val="00EB4670"/>
    <w:rsid w:val="00EB48B1"/>
    <w:rsid w:val="00EB4F4A"/>
    <w:rsid w:val="00EB53BB"/>
    <w:rsid w:val="00EB556D"/>
    <w:rsid w:val="00EB57F8"/>
    <w:rsid w:val="00EB5A7D"/>
    <w:rsid w:val="00EB5D29"/>
    <w:rsid w:val="00EB5DF8"/>
    <w:rsid w:val="00EB6042"/>
    <w:rsid w:val="00EB62D4"/>
    <w:rsid w:val="00EB6623"/>
    <w:rsid w:val="00EB66B8"/>
    <w:rsid w:val="00EB6993"/>
    <w:rsid w:val="00EB7295"/>
    <w:rsid w:val="00EB7602"/>
    <w:rsid w:val="00EB775F"/>
    <w:rsid w:val="00EB78D8"/>
    <w:rsid w:val="00EB7A47"/>
    <w:rsid w:val="00EB7AE0"/>
    <w:rsid w:val="00EB7E7A"/>
    <w:rsid w:val="00EC045A"/>
    <w:rsid w:val="00EC079C"/>
    <w:rsid w:val="00EC09F4"/>
    <w:rsid w:val="00EC0CD5"/>
    <w:rsid w:val="00EC1223"/>
    <w:rsid w:val="00EC17F6"/>
    <w:rsid w:val="00EC185F"/>
    <w:rsid w:val="00EC1D39"/>
    <w:rsid w:val="00EC1DB9"/>
    <w:rsid w:val="00EC2267"/>
    <w:rsid w:val="00EC2823"/>
    <w:rsid w:val="00EC2C5D"/>
    <w:rsid w:val="00EC316F"/>
    <w:rsid w:val="00EC346B"/>
    <w:rsid w:val="00EC3AD5"/>
    <w:rsid w:val="00EC3B26"/>
    <w:rsid w:val="00EC3C4B"/>
    <w:rsid w:val="00EC3EB8"/>
    <w:rsid w:val="00EC3F26"/>
    <w:rsid w:val="00EC41B9"/>
    <w:rsid w:val="00EC4206"/>
    <w:rsid w:val="00EC4279"/>
    <w:rsid w:val="00EC43C0"/>
    <w:rsid w:val="00EC446D"/>
    <w:rsid w:val="00EC4563"/>
    <w:rsid w:val="00EC478A"/>
    <w:rsid w:val="00EC5092"/>
    <w:rsid w:val="00EC5103"/>
    <w:rsid w:val="00EC5298"/>
    <w:rsid w:val="00EC571F"/>
    <w:rsid w:val="00EC5A1B"/>
    <w:rsid w:val="00EC5E78"/>
    <w:rsid w:val="00EC5FB3"/>
    <w:rsid w:val="00EC60B7"/>
    <w:rsid w:val="00EC74E6"/>
    <w:rsid w:val="00EC7510"/>
    <w:rsid w:val="00EC77D4"/>
    <w:rsid w:val="00EC7894"/>
    <w:rsid w:val="00EC7F1D"/>
    <w:rsid w:val="00ED011E"/>
    <w:rsid w:val="00ED0791"/>
    <w:rsid w:val="00ED083F"/>
    <w:rsid w:val="00ED0E9A"/>
    <w:rsid w:val="00ED0FD7"/>
    <w:rsid w:val="00ED1B02"/>
    <w:rsid w:val="00ED1D5B"/>
    <w:rsid w:val="00ED1D87"/>
    <w:rsid w:val="00ED278F"/>
    <w:rsid w:val="00ED2BEC"/>
    <w:rsid w:val="00ED2F25"/>
    <w:rsid w:val="00ED3003"/>
    <w:rsid w:val="00ED32F4"/>
    <w:rsid w:val="00ED364C"/>
    <w:rsid w:val="00ED39E8"/>
    <w:rsid w:val="00ED3A0C"/>
    <w:rsid w:val="00ED42F9"/>
    <w:rsid w:val="00ED4342"/>
    <w:rsid w:val="00ED454B"/>
    <w:rsid w:val="00ED558D"/>
    <w:rsid w:val="00ED55B0"/>
    <w:rsid w:val="00ED55C0"/>
    <w:rsid w:val="00ED5E65"/>
    <w:rsid w:val="00ED61FD"/>
    <w:rsid w:val="00ED682B"/>
    <w:rsid w:val="00ED6888"/>
    <w:rsid w:val="00ED69E5"/>
    <w:rsid w:val="00ED6C62"/>
    <w:rsid w:val="00ED6E77"/>
    <w:rsid w:val="00ED6F11"/>
    <w:rsid w:val="00ED77E4"/>
    <w:rsid w:val="00ED7A55"/>
    <w:rsid w:val="00ED7B18"/>
    <w:rsid w:val="00ED7C7F"/>
    <w:rsid w:val="00ED7E3B"/>
    <w:rsid w:val="00EE0938"/>
    <w:rsid w:val="00EE0A9D"/>
    <w:rsid w:val="00EE0B93"/>
    <w:rsid w:val="00EE14CB"/>
    <w:rsid w:val="00EE2055"/>
    <w:rsid w:val="00EE27C6"/>
    <w:rsid w:val="00EE28B2"/>
    <w:rsid w:val="00EE2AAA"/>
    <w:rsid w:val="00EE310F"/>
    <w:rsid w:val="00EE332F"/>
    <w:rsid w:val="00EE344B"/>
    <w:rsid w:val="00EE3A4A"/>
    <w:rsid w:val="00EE3E4D"/>
    <w:rsid w:val="00EE3ED7"/>
    <w:rsid w:val="00EE41D5"/>
    <w:rsid w:val="00EE41FB"/>
    <w:rsid w:val="00EE4368"/>
    <w:rsid w:val="00EE43C7"/>
    <w:rsid w:val="00EE461B"/>
    <w:rsid w:val="00EE4BF2"/>
    <w:rsid w:val="00EE4CF4"/>
    <w:rsid w:val="00EE4DBE"/>
    <w:rsid w:val="00EE4EA1"/>
    <w:rsid w:val="00EE5A98"/>
    <w:rsid w:val="00EE5E37"/>
    <w:rsid w:val="00EE684B"/>
    <w:rsid w:val="00EE6FB2"/>
    <w:rsid w:val="00EE70A1"/>
    <w:rsid w:val="00EE722B"/>
    <w:rsid w:val="00EE7554"/>
    <w:rsid w:val="00EE755A"/>
    <w:rsid w:val="00EE790F"/>
    <w:rsid w:val="00EE7C5C"/>
    <w:rsid w:val="00EE7D40"/>
    <w:rsid w:val="00EF007E"/>
    <w:rsid w:val="00EF02F2"/>
    <w:rsid w:val="00EF06C3"/>
    <w:rsid w:val="00EF0F8D"/>
    <w:rsid w:val="00EF13B9"/>
    <w:rsid w:val="00EF13EB"/>
    <w:rsid w:val="00EF17FF"/>
    <w:rsid w:val="00EF21C8"/>
    <w:rsid w:val="00EF25CC"/>
    <w:rsid w:val="00EF2F14"/>
    <w:rsid w:val="00EF315E"/>
    <w:rsid w:val="00EF3171"/>
    <w:rsid w:val="00EF320E"/>
    <w:rsid w:val="00EF3787"/>
    <w:rsid w:val="00EF383D"/>
    <w:rsid w:val="00EF3982"/>
    <w:rsid w:val="00EF3BB0"/>
    <w:rsid w:val="00EF3F39"/>
    <w:rsid w:val="00EF4053"/>
    <w:rsid w:val="00EF44E0"/>
    <w:rsid w:val="00EF485F"/>
    <w:rsid w:val="00EF4EC4"/>
    <w:rsid w:val="00EF5239"/>
    <w:rsid w:val="00EF5660"/>
    <w:rsid w:val="00EF58D3"/>
    <w:rsid w:val="00EF5B79"/>
    <w:rsid w:val="00EF5E1C"/>
    <w:rsid w:val="00EF64D2"/>
    <w:rsid w:val="00EF6749"/>
    <w:rsid w:val="00EF68E4"/>
    <w:rsid w:val="00EF6D8E"/>
    <w:rsid w:val="00EF6E0A"/>
    <w:rsid w:val="00EF7D3F"/>
    <w:rsid w:val="00F0012C"/>
    <w:rsid w:val="00F0021A"/>
    <w:rsid w:val="00F0055B"/>
    <w:rsid w:val="00F00A19"/>
    <w:rsid w:val="00F00D06"/>
    <w:rsid w:val="00F00F6F"/>
    <w:rsid w:val="00F010A8"/>
    <w:rsid w:val="00F01FAD"/>
    <w:rsid w:val="00F021C3"/>
    <w:rsid w:val="00F022B6"/>
    <w:rsid w:val="00F0235B"/>
    <w:rsid w:val="00F03598"/>
    <w:rsid w:val="00F037A4"/>
    <w:rsid w:val="00F03CB7"/>
    <w:rsid w:val="00F0407A"/>
    <w:rsid w:val="00F0422E"/>
    <w:rsid w:val="00F049E3"/>
    <w:rsid w:val="00F04A1D"/>
    <w:rsid w:val="00F04BEF"/>
    <w:rsid w:val="00F04E66"/>
    <w:rsid w:val="00F04EE7"/>
    <w:rsid w:val="00F05837"/>
    <w:rsid w:val="00F05F55"/>
    <w:rsid w:val="00F061B1"/>
    <w:rsid w:val="00F066C1"/>
    <w:rsid w:val="00F06C6E"/>
    <w:rsid w:val="00F06C86"/>
    <w:rsid w:val="00F06CA3"/>
    <w:rsid w:val="00F0734D"/>
    <w:rsid w:val="00F079BA"/>
    <w:rsid w:val="00F07AC8"/>
    <w:rsid w:val="00F105D8"/>
    <w:rsid w:val="00F106DB"/>
    <w:rsid w:val="00F108BD"/>
    <w:rsid w:val="00F10A23"/>
    <w:rsid w:val="00F114E1"/>
    <w:rsid w:val="00F11769"/>
    <w:rsid w:val="00F11CEA"/>
    <w:rsid w:val="00F11FFB"/>
    <w:rsid w:val="00F12C83"/>
    <w:rsid w:val="00F12CD1"/>
    <w:rsid w:val="00F12DDC"/>
    <w:rsid w:val="00F12EB3"/>
    <w:rsid w:val="00F1326C"/>
    <w:rsid w:val="00F1350A"/>
    <w:rsid w:val="00F13F5F"/>
    <w:rsid w:val="00F1403C"/>
    <w:rsid w:val="00F14E78"/>
    <w:rsid w:val="00F154B1"/>
    <w:rsid w:val="00F16054"/>
    <w:rsid w:val="00F1634A"/>
    <w:rsid w:val="00F16688"/>
    <w:rsid w:val="00F16FE1"/>
    <w:rsid w:val="00F1726F"/>
    <w:rsid w:val="00F173B5"/>
    <w:rsid w:val="00F1770A"/>
    <w:rsid w:val="00F17961"/>
    <w:rsid w:val="00F2053D"/>
    <w:rsid w:val="00F20740"/>
    <w:rsid w:val="00F2075F"/>
    <w:rsid w:val="00F207EC"/>
    <w:rsid w:val="00F20A51"/>
    <w:rsid w:val="00F21459"/>
    <w:rsid w:val="00F2146A"/>
    <w:rsid w:val="00F21947"/>
    <w:rsid w:val="00F219A2"/>
    <w:rsid w:val="00F21A86"/>
    <w:rsid w:val="00F21D2D"/>
    <w:rsid w:val="00F21D7B"/>
    <w:rsid w:val="00F220BD"/>
    <w:rsid w:val="00F22FEC"/>
    <w:rsid w:val="00F22FFA"/>
    <w:rsid w:val="00F23B39"/>
    <w:rsid w:val="00F23E5D"/>
    <w:rsid w:val="00F23EEC"/>
    <w:rsid w:val="00F240DE"/>
    <w:rsid w:val="00F2441E"/>
    <w:rsid w:val="00F246D2"/>
    <w:rsid w:val="00F24B5F"/>
    <w:rsid w:val="00F25325"/>
    <w:rsid w:val="00F25382"/>
    <w:rsid w:val="00F25827"/>
    <w:rsid w:val="00F25AF4"/>
    <w:rsid w:val="00F26221"/>
    <w:rsid w:val="00F264C8"/>
    <w:rsid w:val="00F26541"/>
    <w:rsid w:val="00F26815"/>
    <w:rsid w:val="00F269D8"/>
    <w:rsid w:val="00F26AEF"/>
    <w:rsid w:val="00F26DAF"/>
    <w:rsid w:val="00F272DF"/>
    <w:rsid w:val="00F27C8F"/>
    <w:rsid w:val="00F27F7D"/>
    <w:rsid w:val="00F301CF"/>
    <w:rsid w:val="00F3069F"/>
    <w:rsid w:val="00F30A2F"/>
    <w:rsid w:val="00F30D1E"/>
    <w:rsid w:val="00F312B8"/>
    <w:rsid w:val="00F31A61"/>
    <w:rsid w:val="00F32749"/>
    <w:rsid w:val="00F3312A"/>
    <w:rsid w:val="00F3361E"/>
    <w:rsid w:val="00F33DD9"/>
    <w:rsid w:val="00F340C9"/>
    <w:rsid w:val="00F34104"/>
    <w:rsid w:val="00F3493D"/>
    <w:rsid w:val="00F34A90"/>
    <w:rsid w:val="00F34CD8"/>
    <w:rsid w:val="00F34D55"/>
    <w:rsid w:val="00F34D68"/>
    <w:rsid w:val="00F350A6"/>
    <w:rsid w:val="00F35417"/>
    <w:rsid w:val="00F354C3"/>
    <w:rsid w:val="00F355D7"/>
    <w:rsid w:val="00F356E6"/>
    <w:rsid w:val="00F35980"/>
    <w:rsid w:val="00F35B16"/>
    <w:rsid w:val="00F35C93"/>
    <w:rsid w:val="00F35FF3"/>
    <w:rsid w:val="00F36266"/>
    <w:rsid w:val="00F36E18"/>
    <w:rsid w:val="00F36FD5"/>
    <w:rsid w:val="00F37062"/>
    <w:rsid w:val="00F37172"/>
    <w:rsid w:val="00F371D2"/>
    <w:rsid w:val="00F373CF"/>
    <w:rsid w:val="00F374F5"/>
    <w:rsid w:val="00F3793A"/>
    <w:rsid w:val="00F37A1C"/>
    <w:rsid w:val="00F4033B"/>
    <w:rsid w:val="00F4061F"/>
    <w:rsid w:val="00F40786"/>
    <w:rsid w:val="00F40F71"/>
    <w:rsid w:val="00F41153"/>
    <w:rsid w:val="00F41C07"/>
    <w:rsid w:val="00F42035"/>
    <w:rsid w:val="00F42781"/>
    <w:rsid w:val="00F427CE"/>
    <w:rsid w:val="00F42CA8"/>
    <w:rsid w:val="00F42CAB"/>
    <w:rsid w:val="00F42D53"/>
    <w:rsid w:val="00F42ED2"/>
    <w:rsid w:val="00F42F33"/>
    <w:rsid w:val="00F4341F"/>
    <w:rsid w:val="00F436CC"/>
    <w:rsid w:val="00F43838"/>
    <w:rsid w:val="00F43969"/>
    <w:rsid w:val="00F43AD9"/>
    <w:rsid w:val="00F43B6F"/>
    <w:rsid w:val="00F43D03"/>
    <w:rsid w:val="00F43DC8"/>
    <w:rsid w:val="00F4477E"/>
    <w:rsid w:val="00F44818"/>
    <w:rsid w:val="00F45027"/>
    <w:rsid w:val="00F45647"/>
    <w:rsid w:val="00F458CE"/>
    <w:rsid w:val="00F45A31"/>
    <w:rsid w:val="00F46587"/>
    <w:rsid w:val="00F46935"/>
    <w:rsid w:val="00F469A3"/>
    <w:rsid w:val="00F46EB0"/>
    <w:rsid w:val="00F46F95"/>
    <w:rsid w:val="00F4711A"/>
    <w:rsid w:val="00F4712E"/>
    <w:rsid w:val="00F4721C"/>
    <w:rsid w:val="00F47548"/>
    <w:rsid w:val="00F4758C"/>
    <w:rsid w:val="00F4758E"/>
    <w:rsid w:val="00F47913"/>
    <w:rsid w:val="00F47B6E"/>
    <w:rsid w:val="00F47CB3"/>
    <w:rsid w:val="00F47F1B"/>
    <w:rsid w:val="00F501BA"/>
    <w:rsid w:val="00F502ED"/>
    <w:rsid w:val="00F50408"/>
    <w:rsid w:val="00F506DD"/>
    <w:rsid w:val="00F50C7F"/>
    <w:rsid w:val="00F50CC3"/>
    <w:rsid w:val="00F50E80"/>
    <w:rsid w:val="00F50F17"/>
    <w:rsid w:val="00F5119F"/>
    <w:rsid w:val="00F516DE"/>
    <w:rsid w:val="00F51934"/>
    <w:rsid w:val="00F51968"/>
    <w:rsid w:val="00F51C3D"/>
    <w:rsid w:val="00F520B9"/>
    <w:rsid w:val="00F52102"/>
    <w:rsid w:val="00F52809"/>
    <w:rsid w:val="00F52B4C"/>
    <w:rsid w:val="00F52E78"/>
    <w:rsid w:val="00F532E7"/>
    <w:rsid w:val="00F533EA"/>
    <w:rsid w:val="00F53A98"/>
    <w:rsid w:val="00F53DBC"/>
    <w:rsid w:val="00F53FE1"/>
    <w:rsid w:val="00F5408B"/>
    <w:rsid w:val="00F54193"/>
    <w:rsid w:val="00F55365"/>
    <w:rsid w:val="00F557DA"/>
    <w:rsid w:val="00F558FD"/>
    <w:rsid w:val="00F55A27"/>
    <w:rsid w:val="00F55AD2"/>
    <w:rsid w:val="00F55B66"/>
    <w:rsid w:val="00F55C88"/>
    <w:rsid w:val="00F55C8A"/>
    <w:rsid w:val="00F566EA"/>
    <w:rsid w:val="00F56768"/>
    <w:rsid w:val="00F567D7"/>
    <w:rsid w:val="00F5690B"/>
    <w:rsid w:val="00F56B3C"/>
    <w:rsid w:val="00F56D50"/>
    <w:rsid w:val="00F57313"/>
    <w:rsid w:val="00F57630"/>
    <w:rsid w:val="00F57631"/>
    <w:rsid w:val="00F57711"/>
    <w:rsid w:val="00F57910"/>
    <w:rsid w:val="00F57C64"/>
    <w:rsid w:val="00F57E1D"/>
    <w:rsid w:val="00F57E62"/>
    <w:rsid w:val="00F60072"/>
    <w:rsid w:val="00F60601"/>
    <w:rsid w:val="00F608A4"/>
    <w:rsid w:val="00F60ADD"/>
    <w:rsid w:val="00F60FD5"/>
    <w:rsid w:val="00F61034"/>
    <w:rsid w:val="00F6137E"/>
    <w:rsid w:val="00F61518"/>
    <w:rsid w:val="00F61819"/>
    <w:rsid w:val="00F61E71"/>
    <w:rsid w:val="00F623A7"/>
    <w:rsid w:val="00F62657"/>
    <w:rsid w:val="00F62904"/>
    <w:rsid w:val="00F62A36"/>
    <w:rsid w:val="00F63263"/>
    <w:rsid w:val="00F634E4"/>
    <w:rsid w:val="00F6350F"/>
    <w:rsid w:val="00F639E0"/>
    <w:rsid w:val="00F63EE4"/>
    <w:rsid w:val="00F64465"/>
    <w:rsid w:val="00F6471B"/>
    <w:rsid w:val="00F64EA4"/>
    <w:rsid w:val="00F64FD9"/>
    <w:rsid w:val="00F650B8"/>
    <w:rsid w:val="00F6516D"/>
    <w:rsid w:val="00F6554B"/>
    <w:rsid w:val="00F65B92"/>
    <w:rsid w:val="00F65EB8"/>
    <w:rsid w:val="00F664B2"/>
    <w:rsid w:val="00F6656C"/>
    <w:rsid w:val="00F6665E"/>
    <w:rsid w:val="00F66AB3"/>
    <w:rsid w:val="00F66DB5"/>
    <w:rsid w:val="00F67C38"/>
    <w:rsid w:val="00F67D30"/>
    <w:rsid w:val="00F67D8F"/>
    <w:rsid w:val="00F67FE0"/>
    <w:rsid w:val="00F70380"/>
    <w:rsid w:val="00F70481"/>
    <w:rsid w:val="00F70858"/>
    <w:rsid w:val="00F70B6C"/>
    <w:rsid w:val="00F71244"/>
    <w:rsid w:val="00F71287"/>
    <w:rsid w:val="00F713E9"/>
    <w:rsid w:val="00F717CD"/>
    <w:rsid w:val="00F71DBE"/>
    <w:rsid w:val="00F71FC4"/>
    <w:rsid w:val="00F72335"/>
    <w:rsid w:val="00F73644"/>
    <w:rsid w:val="00F73A76"/>
    <w:rsid w:val="00F7485E"/>
    <w:rsid w:val="00F750C1"/>
    <w:rsid w:val="00F7518D"/>
    <w:rsid w:val="00F754C9"/>
    <w:rsid w:val="00F75687"/>
    <w:rsid w:val="00F75B75"/>
    <w:rsid w:val="00F75CB5"/>
    <w:rsid w:val="00F75D9B"/>
    <w:rsid w:val="00F7669E"/>
    <w:rsid w:val="00F772E3"/>
    <w:rsid w:val="00F777C5"/>
    <w:rsid w:val="00F77887"/>
    <w:rsid w:val="00F778D5"/>
    <w:rsid w:val="00F77B0F"/>
    <w:rsid w:val="00F77C2B"/>
    <w:rsid w:val="00F802BE"/>
    <w:rsid w:val="00F805C9"/>
    <w:rsid w:val="00F80C35"/>
    <w:rsid w:val="00F80D3F"/>
    <w:rsid w:val="00F80E93"/>
    <w:rsid w:val="00F81201"/>
    <w:rsid w:val="00F81409"/>
    <w:rsid w:val="00F81922"/>
    <w:rsid w:val="00F819F5"/>
    <w:rsid w:val="00F81B7E"/>
    <w:rsid w:val="00F81B81"/>
    <w:rsid w:val="00F8212C"/>
    <w:rsid w:val="00F82189"/>
    <w:rsid w:val="00F828C8"/>
    <w:rsid w:val="00F8310A"/>
    <w:rsid w:val="00F8332F"/>
    <w:rsid w:val="00F8365D"/>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A46"/>
    <w:rsid w:val="00F91CE6"/>
    <w:rsid w:val="00F91D3E"/>
    <w:rsid w:val="00F91D4A"/>
    <w:rsid w:val="00F9204B"/>
    <w:rsid w:val="00F923BE"/>
    <w:rsid w:val="00F92898"/>
    <w:rsid w:val="00F92A2F"/>
    <w:rsid w:val="00F92C26"/>
    <w:rsid w:val="00F92F62"/>
    <w:rsid w:val="00F931E0"/>
    <w:rsid w:val="00F93788"/>
    <w:rsid w:val="00F9388D"/>
    <w:rsid w:val="00F938ED"/>
    <w:rsid w:val="00F93C8A"/>
    <w:rsid w:val="00F93CB8"/>
    <w:rsid w:val="00F944B1"/>
    <w:rsid w:val="00F9513C"/>
    <w:rsid w:val="00F95935"/>
    <w:rsid w:val="00F95CBC"/>
    <w:rsid w:val="00F95DC1"/>
    <w:rsid w:val="00F96343"/>
    <w:rsid w:val="00F964E9"/>
    <w:rsid w:val="00F9650B"/>
    <w:rsid w:val="00F96A4C"/>
    <w:rsid w:val="00F96DFF"/>
    <w:rsid w:val="00F97055"/>
    <w:rsid w:val="00F977A4"/>
    <w:rsid w:val="00F97956"/>
    <w:rsid w:val="00F97DA1"/>
    <w:rsid w:val="00F97E44"/>
    <w:rsid w:val="00F97F66"/>
    <w:rsid w:val="00FA0061"/>
    <w:rsid w:val="00FA03C1"/>
    <w:rsid w:val="00FA0576"/>
    <w:rsid w:val="00FA08BD"/>
    <w:rsid w:val="00FA0CE5"/>
    <w:rsid w:val="00FA0E47"/>
    <w:rsid w:val="00FA0F04"/>
    <w:rsid w:val="00FA1F2F"/>
    <w:rsid w:val="00FA23E4"/>
    <w:rsid w:val="00FA2618"/>
    <w:rsid w:val="00FA29A0"/>
    <w:rsid w:val="00FA2B7C"/>
    <w:rsid w:val="00FA30D5"/>
    <w:rsid w:val="00FA32CD"/>
    <w:rsid w:val="00FA37BA"/>
    <w:rsid w:val="00FA3839"/>
    <w:rsid w:val="00FA387B"/>
    <w:rsid w:val="00FA3A91"/>
    <w:rsid w:val="00FA3FC4"/>
    <w:rsid w:val="00FA426C"/>
    <w:rsid w:val="00FA4374"/>
    <w:rsid w:val="00FA45F8"/>
    <w:rsid w:val="00FA469F"/>
    <w:rsid w:val="00FA4776"/>
    <w:rsid w:val="00FA47BF"/>
    <w:rsid w:val="00FA5128"/>
    <w:rsid w:val="00FA5D7C"/>
    <w:rsid w:val="00FA6B11"/>
    <w:rsid w:val="00FA715A"/>
    <w:rsid w:val="00FA7612"/>
    <w:rsid w:val="00FA77E9"/>
    <w:rsid w:val="00FA793A"/>
    <w:rsid w:val="00FA7A77"/>
    <w:rsid w:val="00FA7CC2"/>
    <w:rsid w:val="00FA7D99"/>
    <w:rsid w:val="00FB02B3"/>
    <w:rsid w:val="00FB0C8C"/>
    <w:rsid w:val="00FB0CE5"/>
    <w:rsid w:val="00FB0EBF"/>
    <w:rsid w:val="00FB0F41"/>
    <w:rsid w:val="00FB102A"/>
    <w:rsid w:val="00FB110F"/>
    <w:rsid w:val="00FB15CE"/>
    <w:rsid w:val="00FB160C"/>
    <w:rsid w:val="00FB1F0D"/>
    <w:rsid w:val="00FB1F2D"/>
    <w:rsid w:val="00FB2372"/>
    <w:rsid w:val="00FB2740"/>
    <w:rsid w:val="00FB31DE"/>
    <w:rsid w:val="00FB3650"/>
    <w:rsid w:val="00FB3B54"/>
    <w:rsid w:val="00FB3B75"/>
    <w:rsid w:val="00FB42D4"/>
    <w:rsid w:val="00FB45E1"/>
    <w:rsid w:val="00FB49AE"/>
    <w:rsid w:val="00FB4A93"/>
    <w:rsid w:val="00FB4C36"/>
    <w:rsid w:val="00FB4E60"/>
    <w:rsid w:val="00FB5567"/>
    <w:rsid w:val="00FB562E"/>
    <w:rsid w:val="00FB5906"/>
    <w:rsid w:val="00FB5D5C"/>
    <w:rsid w:val="00FB649F"/>
    <w:rsid w:val="00FB6978"/>
    <w:rsid w:val="00FB6BFC"/>
    <w:rsid w:val="00FB7204"/>
    <w:rsid w:val="00FB762F"/>
    <w:rsid w:val="00FB7FC2"/>
    <w:rsid w:val="00FC0006"/>
    <w:rsid w:val="00FC015D"/>
    <w:rsid w:val="00FC0353"/>
    <w:rsid w:val="00FC0560"/>
    <w:rsid w:val="00FC06B4"/>
    <w:rsid w:val="00FC0749"/>
    <w:rsid w:val="00FC0ACC"/>
    <w:rsid w:val="00FC11E0"/>
    <w:rsid w:val="00FC1E1B"/>
    <w:rsid w:val="00FC22C0"/>
    <w:rsid w:val="00FC26C4"/>
    <w:rsid w:val="00FC28F4"/>
    <w:rsid w:val="00FC2AED"/>
    <w:rsid w:val="00FC2CC2"/>
    <w:rsid w:val="00FC2E73"/>
    <w:rsid w:val="00FC3134"/>
    <w:rsid w:val="00FC3228"/>
    <w:rsid w:val="00FC3348"/>
    <w:rsid w:val="00FC3763"/>
    <w:rsid w:val="00FC3AD1"/>
    <w:rsid w:val="00FC3C6D"/>
    <w:rsid w:val="00FC4239"/>
    <w:rsid w:val="00FC429A"/>
    <w:rsid w:val="00FC4CC8"/>
    <w:rsid w:val="00FC4F0C"/>
    <w:rsid w:val="00FC5350"/>
    <w:rsid w:val="00FC57D7"/>
    <w:rsid w:val="00FC5A66"/>
    <w:rsid w:val="00FC5BD5"/>
    <w:rsid w:val="00FC5C06"/>
    <w:rsid w:val="00FC5C94"/>
    <w:rsid w:val="00FC5DBE"/>
    <w:rsid w:val="00FC5FEC"/>
    <w:rsid w:val="00FC601F"/>
    <w:rsid w:val="00FC624D"/>
    <w:rsid w:val="00FC68EE"/>
    <w:rsid w:val="00FC6A2A"/>
    <w:rsid w:val="00FC6F23"/>
    <w:rsid w:val="00FC7042"/>
    <w:rsid w:val="00FC7370"/>
    <w:rsid w:val="00FC76C2"/>
    <w:rsid w:val="00FC7B13"/>
    <w:rsid w:val="00FC7B4C"/>
    <w:rsid w:val="00FD0335"/>
    <w:rsid w:val="00FD0A54"/>
    <w:rsid w:val="00FD1227"/>
    <w:rsid w:val="00FD15DD"/>
    <w:rsid w:val="00FD1C69"/>
    <w:rsid w:val="00FD2076"/>
    <w:rsid w:val="00FD2213"/>
    <w:rsid w:val="00FD2357"/>
    <w:rsid w:val="00FD2525"/>
    <w:rsid w:val="00FD25C8"/>
    <w:rsid w:val="00FD2ADB"/>
    <w:rsid w:val="00FD2BFA"/>
    <w:rsid w:val="00FD311F"/>
    <w:rsid w:val="00FD336D"/>
    <w:rsid w:val="00FD36EF"/>
    <w:rsid w:val="00FD38BF"/>
    <w:rsid w:val="00FD39B9"/>
    <w:rsid w:val="00FD4117"/>
    <w:rsid w:val="00FD441B"/>
    <w:rsid w:val="00FD4DD3"/>
    <w:rsid w:val="00FD555D"/>
    <w:rsid w:val="00FD5961"/>
    <w:rsid w:val="00FD5E0E"/>
    <w:rsid w:val="00FD5EA7"/>
    <w:rsid w:val="00FD5F5B"/>
    <w:rsid w:val="00FD60A9"/>
    <w:rsid w:val="00FD686F"/>
    <w:rsid w:val="00FD6E84"/>
    <w:rsid w:val="00FD7282"/>
    <w:rsid w:val="00FD7390"/>
    <w:rsid w:val="00FD77E2"/>
    <w:rsid w:val="00FD79A4"/>
    <w:rsid w:val="00FD79F0"/>
    <w:rsid w:val="00FE00A0"/>
    <w:rsid w:val="00FE00E9"/>
    <w:rsid w:val="00FE0907"/>
    <w:rsid w:val="00FE0E08"/>
    <w:rsid w:val="00FE130D"/>
    <w:rsid w:val="00FE13B5"/>
    <w:rsid w:val="00FE14EC"/>
    <w:rsid w:val="00FE219F"/>
    <w:rsid w:val="00FE24E6"/>
    <w:rsid w:val="00FE252C"/>
    <w:rsid w:val="00FE2E69"/>
    <w:rsid w:val="00FE2EFD"/>
    <w:rsid w:val="00FE3186"/>
    <w:rsid w:val="00FE36F3"/>
    <w:rsid w:val="00FE3974"/>
    <w:rsid w:val="00FE3B2D"/>
    <w:rsid w:val="00FE3B76"/>
    <w:rsid w:val="00FE3BE6"/>
    <w:rsid w:val="00FE3F57"/>
    <w:rsid w:val="00FE3F71"/>
    <w:rsid w:val="00FE404E"/>
    <w:rsid w:val="00FE4140"/>
    <w:rsid w:val="00FE42EC"/>
    <w:rsid w:val="00FE440E"/>
    <w:rsid w:val="00FE47BB"/>
    <w:rsid w:val="00FE480C"/>
    <w:rsid w:val="00FE4970"/>
    <w:rsid w:val="00FE4AFB"/>
    <w:rsid w:val="00FE4C50"/>
    <w:rsid w:val="00FE5307"/>
    <w:rsid w:val="00FE5CAA"/>
    <w:rsid w:val="00FE601A"/>
    <w:rsid w:val="00FE6A1B"/>
    <w:rsid w:val="00FE6B50"/>
    <w:rsid w:val="00FE6B6E"/>
    <w:rsid w:val="00FE7367"/>
    <w:rsid w:val="00FE761D"/>
    <w:rsid w:val="00FE762A"/>
    <w:rsid w:val="00FE7690"/>
    <w:rsid w:val="00FE7B91"/>
    <w:rsid w:val="00FE7D11"/>
    <w:rsid w:val="00FF0369"/>
    <w:rsid w:val="00FF07C3"/>
    <w:rsid w:val="00FF080D"/>
    <w:rsid w:val="00FF09A0"/>
    <w:rsid w:val="00FF0ECC"/>
    <w:rsid w:val="00FF100D"/>
    <w:rsid w:val="00FF1631"/>
    <w:rsid w:val="00FF1B7B"/>
    <w:rsid w:val="00FF1F0F"/>
    <w:rsid w:val="00FF22B7"/>
    <w:rsid w:val="00FF2305"/>
    <w:rsid w:val="00FF24BD"/>
    <w:rsid w:val="00FF2834"/>
    <w:rsid w:val="00FF2FC4"/>
    <w:rsid w:val="00FF3369"/>
    <w:rsid w:val="00FF3485"/>
    <w:rsid w:val="00FF36C3"/>
    <w:rsid w:val="00FF425B"/>
    <w:rsid w:val="00FF4344"/>
    <w:rsid w:val="00FF4407"/>
    <w:rsid w:val="00FF48CC"/>
    <w:rsid w:val="00FF491D"/>
    <w:rsid w:val="00FF4C2B"/>
    <w:rsid w:val="00FF5462"/>
    <w:rsid w:val="00FF5886"/>
    <w:rsid w:val="00FF5D6D"/>
    <w:rsid w:val="00FF5DDA"/>
    <w:rsid w:val="00FF6953"/>
    <w:rsid w:val="00FF6AEE"/>
    <w:rsid w:val="00FF6F72"/>
    <w:rsid w:val="00FF71AD"/>
    <w:rsid w:val="00FF7230"/>
    <w:rsid w:val="00FF781B"/>
    <w:rsid w:val="00FF787F"/>
    <w:rsid w:val="00FF7C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DB8AF0-74C7-4D16-8BAD-D8C8DC0E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151192"/>
    <w:pPr>
      <w:widowControl w:val="0"/>
      <w:tabs>
        <w:tab w:val="left" w:pos="340"/>
        <w:tab w:val="left" w:pos="567"/>
        <w:tab w:val="left" w:pos="1701"/>
        <w:tab w:val="left" w:pos="3402"/>
        <w:tab w:val="left" w:pos="5103"/>
      </w:tabs>
      <w:autoSpaceDE w:val="0"/>
      <w:autoSpaceDN w:val="0"/>
      <w:adjustRightInd w:val="0"/>
      <w:spacing w:after="0" w:line="240" w:lineRule="exact"/>
    </w:pPr>
    <w:rPr>
      <w:rFonts w:ascii="Fira Sans" w:eastAsia="Times New Roman" w:hAnsi="Fira Sans" w:cs="Times New Roman"/>
      <w:b/>
      <w:color w:val="000000"/>
      <w:sz w:val="16"/>
      <w:szCs w:val="16"/>
      <w:lang w:eastAsia="pl-PL"/>
    </w:rPr>
  </w:style>
  <w:style w:type="paragraph" w:customStyle="1" w:styleId="boczek1">
    <w:name w:val="boczek1"/>
    <w:basedOn w:val="Normalny"/>
    <w:autoRedefine/>
    <w:qFormat/>
    <w:rsid w:val="00DD5305"/>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DD5305"/>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F91CE6"/>
    <w:pPr>
      <w:framePr w:hSpace="141" w:wrap="around" w:vAnchor="text" w:hAnchor="margin" w:y="5"/>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rsid w:val="00EB45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6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4C5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D501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180" w:lineRule="exact"/>
      <w:ind w:right="57"/>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D50110"/>
    <w:pPr>
      <w:tabs>
        <w:tab w:val="right" w:pos="3969"/>
      </w:tabs>
      <w:ind w:right="0"/>
    </w:pPr>
  </w:style>
  <w:style w:type="paragraph" w:customStyle="1" w:styleId="g2">
    <w:name w:val="g2"/>
    <w:basedOn w:val="g1"/>
    <w:autoRedefine/>
    <w:rsid w:val="00650670"/>
    <w:pPr>
      <w:tabs>
        <w:tab w:val="clear" w:pos="3969"/>
      </w:tabs>
    </w:pPr>
  </w:style>
  <w:style w:type="paragraph" w:customStyle="1" w:styleId="g3">
    <w:name w:val="g3"/>
    <w:basedOn w:val="g2"/>
    <w:autoRedefine/>
    <w:rsid w:val="00D50110"/>
    <w:pPr>
      <w:ind w:left="170"/>
    </w:pPr>
  </w:style>
  <w:style w:type="paragraph" w:customStyle="1" w:styleId="StylboczekCzarny">
    <w:name w:val="Styl boczek + Czarny"/>
    <w:basedOn w:val="boczek"/>
    <w:rsid w:val="00465C71"/>
    <w:pPr>
      <w:tabs>
        <w:tab w:val="left" w:pos="170"/>
        <w:tab w:val="left" w:pos="340"/>
        <w:tab w:val="left" w:leader="dot" w:pos="4253"/>
        <w:tab w:val="right" w:pos="17010"/>
        <w:tab w:val="right" w:leader="dot" w:pos="28350"/>
      </w:tabs>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qFormat/>
    <w:rsid w:val="00D74D92"/>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9A5BF0"/>
    <w:pPr>
      <w:numPr>
        <w:numId w:val="19"/>
      </w:numPr>
      <w:tabs>
        <w:tab w:val="left" w:pos="10065"/>
      </w:tabs>
      <w:spacing w:before="0"/>
      <w:ind w:left="568" w:right="284" w:hanging="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D50110"/>
    <w:pPr>
      <w:ind w:left="340"/>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9832">
      <w:bodyDiv w:val="1"/>
      <w:marLeft w:val="0"/>
      <w:marRight w:val="0"/>
      <w:marTop w:val="0"/>
      <w:marBottom w:val="0"/>
      <w:divBdr>
        <w:top w:val="none" w:sz="0" w:space="0" w:color="auto"/>
        <w:left w:val="none" w:sz="0" w:space="0" w:color="auto"/>
        <w:bottom w:val="none" w:sz="0" w:space="0" w:color="auto"/>
        <w:right w:val="none" w:sz="0" w:space="0" w:color="auto"/>
      </w:divBdr>
    </w:div>
    <w:div w:id="17396494">
      <w:bodyDiv w:val="1"/>
      <w:marLeft w:val="0"/>
      <w:marRight w:val="0"/>
      <w:marTop w:val="0"/>
      <w:marBottom w:val="0"/>
      <w:divBdr>
        <w:top w:val="none" w:sz="0" w:space="0" w:color="auto"/>
        <w:left w:val="none" w:sz="0" w:space="0" w:color="auto"/>
        <w:bottom w:val="none" w:sz="0" w:space="0" w:color="auto"/>
        <w:right w:val="none" w:sz="0" w:space="0" w:color="auto"/>
      </w:divBdr>
    </w:div>
    <w:div w:id="34426953">
      <w:bodyDiv w:val="1"/>
      <w:marLeft w:val="0"/>
      <w:marRight w:val="0"/>
      <w:marTop w:val="0"/>
      <w:marBottom w:val="0"/>
      <w:divBdr>
        <w:top w:val="none" w:sz="0" w:space="0" w:color="auto"/>
        <w:left w:val="none" w:sz="0" w:space="0" w:color="auto"/>
        <w:bottom w:val="none" w:sz="0" w:space="0" w:color="auto"/>
        <w:right w:val="none" w:sz="0" w:space="0" w:color="auto"/>
      </w:divBdr>
    </w:div>
    <w:div w:id="47190787">
      <w:bodyDiv w:val="1"/>
      <w:marLeft w:val="0"/>
      <w:marRight w:val="0"/>
      <w:marTop w:val="0"/>
      <w:marBottom w:val="0"/>
      <w:divBdr>
        <w:top w:val="none" w:sz="0" w:space="0" w:color="auto"/>
        <w:left w:val="none" w:sz="0" w:space="0" w:color="auto"/>
        <w:bottom w:val="none" w:sz="0" w:space="0" w:color="auto"/>
        <w:right w:val="none" w:sz="0" w:space="0" w:color="auto"/>
      </w:divBdr>
    </w:div>
    <w:div w:id="62485119">
      <w:bodyDiv w:val="1"/>
      <w:marLeft w:val="0"/>
      <w:marRight w:val="0"/>
      <w:marTop w:val="0"/>
      <w:marBottom w:val="0"/>
      <w:divBdr>
        <w:top w:val="none" w:sz="0" w:space="0" w:color="auto"/>
        <w:left w:val="none" w:sz="0" w:space="0" w:color="auto"/>
        <w:bottom w:val="none" w:sz="0" w:space="0" w:color="auto"/>
        <w:right w:val="none" w:sz="0" w:space="0" w:color="auto"/>
      </w:divBdr>
    </w:div>
    <w:div w:id="63840003">
      <w:bodyDiv w:val="1"/>
      <w:marLeft w:val="0"/>
      <w:marRight w:val="0"/>
      <w:marTop w:val="0"/>
      <w:marBottom w:val="0"/>
      <w:divBdr>
        <w:top w:val="none" w:sz="0" w:space="0" w:color="auto"/>
        <w:left w:val="none" w:sz="0" w:space="0" w:color="auto"/>
        <w:bottom w:val="none" w:sz="0" w:space="0" w:color="auto"/>
        <w:right w:val="none" w:sz="0" w:space="0" w:color="auto"/>
      </w:divBdr>
    </w:div>
    <w:div w:id="80563498">
      <w:bodyDiv w:val="1"/>
      <w:marLeft w:val="0"/>
      <w:marRight w:val="0"/>
      <w:marTop w:val="0"/>
      <w:marBottom w:val="0"/>
      <w:divBdr>
        <w:top w:val="none" w:sz="0" w:space="0" w:color="auto"/>
        <w:left w:val="none" w:sz="0" w:space="0" w:color="auto"/>
        <w:bottom w:val="none" w:sz="0" w:space="0" w:color="auto"/>
        <w:right w:val="none" w:sz="0" w:space="0" w:color="auto"/>
      </w:divBdr>
    </w:div>
    <w:div w:id="83260788">
      <w:bodyDiv w:val="1"/>
      <w:marLeft w:val="0"/>
      <w:marRight w:val="0"/>
      <w:marTop w:val="0"/>
      <w:marBottom w:val="0"/>
      <w:divBdr>
        <w:top w:val="none" w:sz="0" w:space="0" w:color="auto"/>
        <w:left w:val="none" w:sz="0" w:space="0" w:color="auto"/>
        <w:bottom w:val="none" w:sz="0" w:space="0" w:color="auto"/>
        <w:right w:val="none" w:sz="0" w:space="0" w:color="auto"/>
      </w:divBdr>
    </w:div>
    <w:div w:id="105975779">
      <w:bodyDiv w:val="1"/>
      <w:marLeft w:val="0"/>
      <w:marRight w:val="0"/>
      <w:marTop w:val="0"/>
      <w:marBottom w:val="0"/>
      <w:divBdr>
        <w:top w:val="none" w:sz="0" w:space="0" w:color="auto"/>
        <w:left w:val="none" w:sz="0" w:space="0" w:color="auto"/>
        <w:bottom w:val="none" w:sz="0" w:space="0" w:color="auto"/>
        <w:right w:val="none" w:sz="0" w:space="0" w:color="auto"/>
      </w:divBdr>
    </w:div>
    <w:div w:id="108597886">
      <w:bodyDiv w:val="1"/>
      <w:marLeft w:val="0"/>
      <w:marRight w:val="0"/>
      <w:marTop w:val="0"/>
      <w:marBottom w:val="0"/>
      <w:divBdr>
        <w:top w:val="none" w:sz="0" w:space="0" w:color="auto"/>
        <w:left w:val="none" w:sz="0" w:space="0" w:color="auto"/>
        <w:bottom w:val="none" w:sz="0" w:space="0" w:color="auto"/>
        <w:right w:val="none" w:sz="0" w:space="0" w:color="auto"/>
      </w:divBdr>
    </w:div>
    <w:div w:id="122575990">
      <w:bodyDiv w:val="1"/>
      <w:marLeft w:val="0"/>
      <w:marRight w:val="0"/>
      <w:marTop w:val="0"/>
      <w:marBottom w:val="0"/>
      <w:divBdr>
        <w:top w:val="none" w:sz="0" w:space="0" w:color="auto"/>
        <w:left w:val="none" w:sz="0" w:space="0" w:color="auto"/>
        <w:bottom w:val="none" w:sz="0" w:space="0" w:color="auto"/>
        <w:right w:val="none" w:sz="0" w:space="0" w:color="auto"/>
      </w:divBdr>
    </w:div>
    <w:div w:id="126777494">
      <w:bodyDiv w:val="1"/>
      <w:marLeft w:val="0"/>
      <w:marRight w:val="0"/>
      <w:marTop w:val="0"/>
      <w:marBottom w:val="0"/>
      <w:divBdr>
        <w:top w:val="none" w:sz="0" w:space="0" w:color="auto"/>
        <w:left w:val="none" w:sz="0" w:space="0" w:color="auto"/>
        <w:bottom w:val="none" w:sz="0" w:space="0" w:color="auto"/>
        <w:right w:val="none" w:sz="0" w:space="0" w:color="auto"/>
      </w:divBdr>
    </w:div>
    <w:div w:id="130294321">
      <w:bodyDiv w:val="1"/>
      <w:marLeft w:val="0"/>
      <w:marRight w:val="0"/>
      <w:marTop w:val="0"/>
      <w:marBottom w:val="0"/>
      <w:divBdr>
        <w:top w:val="none" w:sz="0" w:space="0" w:color="auto"/>
        <w:left w:val="none" w:sz="0" w:space="0" w:color="auto"/>
        <w:bottom w:val="none" w:sz="0" w:space="0" w:color="auto"/>
        <w:right w:val="none" w:sz="0" w:space="0" w:color="auto"/>
      </w:divBdr>
    </w:div>
    <w:div w:id="132720719">
      <w:bodyDiv w:val="1"/>
      <w:marLeft w:val="0"/>
      <w:marRight w:val="0"/>
      <w:marTop w:val="0"/>
      <w:marBottom w:val="0"/>
      <w:divBdr>
        <w:top w:val="none" w:sz="0" w:space="0" w:color="auto"/>
        <w:left w:val="none" w:sz="0" w:space="0" w:color="auto"/>
        <w:bottom w:val="none" w:sz="0" w:space="0" w:color="auto"/>
        <w:right w:val="none" w:sz="0" w:space="0" w:color="auto"/>
      </w:divBdr>
    </w:div>
    <w:div w:id="132842053">
      <w:bodyDiv w:val="1"/>
      <w:marLeft w:val="0"/>
      <w:marRight w:val="0"/>
      <w:marTop w:val="0"/>
      <w:marBottom w:val="0"/>
      <w:divBdr>
        <w:top w:val="none" w:sz="0" w:space="0" w:color="auto"/>
        <w:left w:val="none" w:sz="0" w:space="0" w:color="auto"/>
        <w:bottom w:val="none" w:sz="0" w:space="0" w:color="auto"/>
        <w:right w:val="none" w:sz="0" w:space="0" w:color="auto"/>
      </w:divBdr>
    </w:div>
    <w:div w:id="175927104">
      <w:bodyDiv w:val="1"/>
      <w:marLeft w:val="0"/>
      <w:marRight w:val="0"/>
      <w:marTop w:val="0"/>
      <w:marBottom w:val="0"/>
      <w:divBdr>
        <w:top w:val="none" w:sz="0" w:space="0" w:color="auto"/>
        <w:left w:val="none" w:sz="0" w:space="0" w:color="auto"/>
        <w:bottom w:val="none" w:sz="0" w:space="0" w:color="auto"/>
        <w:right w:val="none" w:sz="0" w:space="0" w:color="auto"/>
      </w:divBdr>
    </w:div>
    <w:div w:id="177081454">
      <w:bodyDiv w:val="1"/>
      <w:marLeft w:val="0"/>
      <w:marRight w:val="0"/>
      <w:marTop w:val="0"/>
      <w:marBottom w:val="0"/>
      <w:divBdr>
        <w:top w:val="none" w:sz="0" w:space="0" w:color="auto"/>
        <w:left w:val="none" w:sz="0" w:space="0" w:color="auto"/>
        <w:bottom w:val="none" w:sz="0" w:space="0" w:color="auto"/>
        <w:right w:val="none" w:sz="0" w:space="0" w:color="auto"/>
      </w:divBdr>
    </w:div>
    <w:div w:id="177238361">
      <w:bodyDiv w:val="1"/>
      <w:marLeft w:val="0"/>
      <w:marRight w:val="0"/>
      <w:marTop w:val="0"/>
      <w:marBottom w:val="0"/>
      <w:divBdr>
        <w:top w:val="none" w:sz="0" w:space="0" w:color="auto"/>
        <w:left w:val="none" w:sz="0" w:space="0" w:color="auto"/>
        <w:bottom w:val="none" w:sz="0" w:space="0" w:color="auto"/>
        <w:right w:val="none" w:sz="0" w:space="0" w:color="auto"/>
      </w:divBdr>
    </w:div>
    <w:div w:id="186330124">
      <w:bodyDiv w:val="1"/>
      <w:marLeft w:val="0"/>
      <w:marRight w:val="0"/>
      <w:marTop w:val="0"/>
      <w:marBottom w:val="0"/>
      <w:divBdr>
        <w:top w:val="none" w:sz="0" w:space="0" w:color="auto"/>
        <w:left w:val="none" w:sz="0" w:space="0" w:color="auto"/>
        <w:bottom w:val="none" w:sz="0" w:space="0" w:color="auto"/>
        <w:right w:val="none" w:sz="0" w:space="0" w:color="auto"/>
      </w:divBdr>
    </w:div>
    <w:div w:id="189223558">
      <w:bodyDiv w:val="1"/>
      <w:marLeft w:val="0"/>
      <w:marRight w:val="0"/>
      <w:marTop w:val="0"/>
      <w:marBottom w:val="0"/>
      <w:divBdr>
        <w:top w:val="none" w:sz="0" w:space="0" w:color="auto"/>
        <w:left w:val="none" w:sz="0" w:space="0" w:color="auto"/>
        <w:bottom w:val="none" w:sz="0" w:space="0" w:color="auto"/>
        <w:right w:val="none" w:sz="0" w:space="0" w:color="auto"/>
      </w:divBdr>
    </w:div>
    <w:div w:id="191042591">
      <w:bodyDiv w:val="1"/>
      <w:marLeft w:val="0"/>
      <w:marRight w:val="0"/>
      <w:marTop w:val="0"/>
      <w:marBottom w:val="0"/>
      <w:divBdr>
        <w:top w:val="none" w:sz="0" w:space="0" w:color="auto"/>
        <w:left w:val="none" w:sz="0" w:space="0" w:color="auto"/>
        <w:bottom w:val="none" w:sz="0" w:space="0" w:color="auto"/>
        <w:right w:val="none" w:sz="0" w:space="0" w:color="auto"/>
      </w:divBdr>
    </w:div>
    <w:div w:id="203292951">
      <w:bodyDiv w:val="1"/>
      <w:marLeft w:val="0"/>
      <w:marRight w:val="0"/>
      <w:marTop w:val="0"/>
      <w:marBottom w:val="0"/>
      <w:divBdr>
        <w:top w:val="none" w:sz="0" w:space="0" w:color="auto"/>
        <w:left w:val="none" w:sz="0" w:space="0" w:color="auto"/>
        <w:bottom w:val="none" w:sz="0" w:space="0" w:color="auto"/>
        <w:right w:val="none" w:sz="0" w:space="0" w:color="auto"/>
      </w:divBdr>
    </w:div>
    <w:div w:id="209584308">
      <w:bodyDiv w:val="1"/>
      <w:marLeft w:val="0"/>
      <w:marRight w:val="0"/>
      <w:marTop w:val="0"/>
      <w:marBottom w:val="0"/>
      <w:divBdr>
        <w:top w:val="none" w:sz="0" w:space="0" w:color="auto"/>
        <w:left w:val="none" w:sz="0" w:space="0" w:color="auto"/>
        <w:bottom w:val="none" w:sz="0" w:space="0" w:color="auto"/>
        <w:right w:val="none" w:sz="0" w:space="0" w:color="auto"/>
      </w:divBdr>
    </w:div>
    <w:div w:id="264922452">
      <w:bodyDiv w:val="1"/>
      <w:marLeft w:val="0"/>
      <w:marRight w:val="0"/>
      <w:marTop w:val="0"/>
      <w:marBottom w:val="0"/>
      <w:divBdr>
        <w:top w:val="none" w:sz="0" w:space="0" w:color="auto"/>
        <w:left w:val="none" w:sz="0" w:space="0" w:color="auto"/>
        <w:bottom w:val="none" w:sz="0" w:space="0" w:color="auto"/>
        <w:right w:val="none" w:sz="0" w:space="0" w:color="auto"/>
      </w:divBdr>
    </w:div>
    <w:div w:id="331638650">
      <w:bodyDiv w:val="1"/>
      <w:marLeft w:val="0"/>
      <w:marRight w:val="0"/>
      <w:marTop w:val="0"/>
      <w:marBottom w:val="0"/>
      <w:divBdr>
        <w:top w:val="none" w:sz="0" w:space="0" w:color="auto"/>
        <w:left w:val="none" w:sz="0" w:space="0" w:color="auto"/>
        <w:bottom w:val="none" w:sz="0" w:space="0" w:color="auto"/>
        <w:right w:val="none" w:sz="0" w:space="0" w:color="auto"/>
      </w:divBdr>
    </w:div>
    <w:div w:id="355498015">
      <w:bodyDiv w:val="1"/>
      <w:marLeft w:val="0"/>
      <w:marRight w:val="0"/>
      <w:marTop w:val="0"/>
      <w:marBottom w:val="0"/>
      <w:divBdr>
        <w:top w:val="none" w:sz="0" w:space="0" w:color="auto"/>
        <w:left w:val="none" w:sz="0" w:space="0" w:color="auto"/>
        <w:bottom w:val="none" w:sz="0" w:space="0" w:color="auto"/>
        <w:right w:val="none" w:sz="0" w:space="0" w:color="auto"/>
      </w:divBdr>
    </w:div>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6799611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464303">
      <w:bodyDiv w:val="1"/>
      <w:marLeft w:val="0"/>
      <w:marRight w:val="0"/>
      <w:marTop w:val="0"/>
      <w:marBottom w:val="0"/>
      <w:divBdr>
        <w:top w:val="none" w:sz="0" w:space="0" w:color="auto"/>
        <w:left w:val="none" w:sz="0" w:space="0" w:color="auto"/>
        <w:bottom w:val="none" w:sz="0" w:space="0" w:color="auto"/>
        <w:right w:val="none" w:sz="0" w:space="0" w:color="auto"/>
      </w:divBdr>
    </w:div>
    <w:div w:id="381485960">
      <w:bodyDiv w:val="1"/>
      <w:marLeft w:val="0"/>
      <w:marRight w:val="0"/>
      <w:marTop w:val="0"/>
      <w:marBottom w:val="0"/>
      <w:divBdr>
        <w:top w:val="none" w:sz="0" w:space="0" w:color="auto"/>
        <w:left w:val="none" w:sz="0" w:space="0" w:color="auto"/>
        <w:bottom w:val="none" w:sz="0" w:space="0" w:color="auto"/>
        <w:right w:val="none" w:sz="0" w:space="0" w:color="auto"/>
      </w:divBdr>
    </w:div>
    <w:div w:id="385031345">
      <w:bodyDiv w:val="1"/>
      <w:marLeft w:val="0"/>
      <w:marRight w:val="0"/>
      <w:marTop w:val="0"/>
      <w:marBottom w:val="0"/>
      <w:divBdr>
        <w:top w:val="none" w:sz="0" w:space="0" w:color="auto"/>
        <w:left w:val="none" w:sz="0" w:space="0" w:color="auto"/>
        <w:bottom w:val="none" w:sz="0" w:space="0" w:color="auto"/>
        <w:right w:val="none" w:sz="0" w:space="0" w:color="auto"/>
      </w:divBdr>
    </w:div>
    <w:div w:id="395469506">
      <w:bodyDiv w:val="1"/>
      <w:marLeft w:val="0"/>
      <w:marRight w:val="0"/>
      <w:marTop w:val="0"/>
      <w:marBottom w:val="0"/>
      <w:divBdr>
        <w:top w:val="none" w:sz="0" w:space="0" w:color="auto"/>
        <w:left w:val="none" w:sz="0" w:space="0" w:color="auto"/>
        <w:bottom w:val="none" w:sz="0" w:space="0" w:color="auto"/>
        <w:right w:val="none" w:sz="0" w:space="0" w:color="auto"/>
      </w:divBdr>
    </w:div>
    <w:div w:id="412550743">
      <w:bodyDiv w:val="1"/>
      <w:marLeft w:val="0"/>
      <w:marRight w:val="0"/>
      <w:marTop w:val="0"/>
      <w:marBottom w:val="0"/>
      <w:divBdr>
        <w:top w:val="none" w:sz="0" w:space="0" w:color="auto"/>
        <w:left w:val="none" w:sz="0" w:space="0" w:color="auto"/>
        <w:bottom w:val="none" w:sz="0" w:space="0" w:color="auto"/>
        <w:right w:val="none" w:sz="0" w:space="0" w:color="auto"/>
      </w:divBdr>
    </w:div>
    <w:div w:id="414742468">
      <w:bodyDiv w:val="1"/>
      <w:marLeft w:val="0"/>
      <w:marRight w:val="0"/>
      <w:marTop w:val="0"/>
      <w:marBottom w:val="0"/>
      <w:divBdr>
        <w:top w:val="none" w:sz="0" w:space="0" w:color="auto"/>
        <w:left w:val="none" w:sz="0" w:space="0" w:color="auto"/>
        <w:bottom w:val="none" w:sz="0" w:space="0" w:color="auto"/>
        <w:right w:val="none" w:sz="0" w:space="0" w:color="auto"/>
      </w:divBdr>
    </w:div>
    <w:div w:id="421804532">
      <w:bodyDiv w:val="1"/>
      <w:marLeft w:val="0"/>
      <w:marRight w:val="0"/>
      <w:marTop w:val="0"/>
      <w:marBottom w:val="0"/>
      <w:divBdr>
        <w:top w:val="none" w:sz="0" w:space="0" w:color="auto"/>
        <w:left w:val="none" w:sz="0" w:space="0" w:color="auto"/>
        <w:bottom w:val="none" w:sz="0" w:space="0" w:color="auto"/>
        <w:right w:val="none" w:sz="0" w:space="0" w:color="auto"/>
      </w:divBdr>
    </w:div>
    <w:div w:id="436678224">
      <w:bodyDiv w:val="1"/>
      <w:marLeft w:val="0"/>
      <w:marRight w:val="0"/>
      <w:marTop w:val="0"/>
      <w:marBottom w:val="0"/>
      <w:divBdr>
        <w:top w:val="none" w:sz="0" w:space="0" w:color="auto"/>
        <w:left w:val="none" w:sz="0" w:space="0" w:color="auto"/>
        <w:bottom w:val="none" w:sz="0" w:space="0" w:color="auto"/>
        <w:right w:val="none" w:sz="0" w:space="0" w:color="auto"/>
      </w:divBdr>
    </w:div>
    <w:div w:id="446389090">
      <w:bodyDiv w:val="1"/>
      <w:marLeft w:val="0"/>
      <w:marRight w:val="0"/>
      <w:marTop w:val="0"/>
      <w:marBottom w:val="0"/>
      <w:divBdr>
        <w:top w:val="none" w:sz="0" w:space="0" w:color="auto"/>
        <w:left w:val="none" w:sz="0" w:space="0" w:color="auto"/>
        <w:bottom w:val="none" w:sz="0" w:space="0" w:color="auto"/>
        <w:right w:val="none" w:sz="0" w:space="0" w:color="auto"/>
      </w:divBdr>
    </w:div>
    <w:div w:id="453863388">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479078232">
      <w:bodyDiv w:val="1"/>
      <w:marLeft w:val="0"/>
      <w:marRight w:val="0"/>
      <w:marTop w:val="0"/>
      <w:marBottom w:val="0"/>
      <w:divBdr>
        <w:top w:val="none" w:sz="0" w:space="0" w:color="auto"/>
        <w:left w:val="none" w:sz="0" w:space="0" w:color="auto"/>
        <w:bottom w:val="none" w:sz="0" w:space="0" w:color="auto"/>
        <w:right w:val="none" w:sz="0" w:space="0" w:color="auto"/>
      </w:divBdr>
    </w:div>
    <w:div w:id="484517417">
      <w:bodyDiv w:val="1"/>
      <w:marLeft w:val="0"/>
      <w:marRight w:val="0"/>
      <w:marTop w:val="0"/>
      <w:marBottom w:val="0"/>
      <w:divBdr>
        <w:top w:val="none" w:sz="0" w:space="0" w:color="auto"/>
        <w:left w:val="none" w:sz="0" w:space="0" w:color="auto"/>
        <w:bottom w:val="none" w:sz="0" w:space="0" w:color="auto"/>
        <w:right w:val="none" w:sz="0" w:space="0" w:color="auto"/>
      </w:divBdr>
    </w:div>
    <w:div w:id="489369938">
      <w:bodyDiv w:val="1"/>
      <w:marLeft w:val="0"/>
      <w:marRight w:val="0"/>
      <w:marTop w:val="0"/>
      <w:marBottom w:val="0"/>
      <w:divBdr>
        <w:top w:val="none" w:sz="0" w:space="0" w:color="auto"/>
        <w:left w:val="none" w:sz="0" w:space="0" w:color="auto"/>
        <w:bottom w:val="none" w:sz="0" w:space="0" w:color="auto"/>
        <w:right w:val="none" w:sz="0" w:space="0" w:color="auto"/>
      </w:divBdr>
    </w:div>
    <w:div w:id="49920199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0682713">
      <w:bodyDiv w:val="1"/>
      <w:marLeft w:val="0"/>
      <w:marRight w:val="0"/>
      <w:marTop w:val="0"/>
      <w:marBottom w:val="0"/>
      <w:divBdr>
        <w:top w:val="none" w:sz="0" w:space="0" w:color="auto"/>
        <w:left w:val="none" w:sz="0" w:space="0" w:color="auto"/>
        <w:bottom w:val="none" w:sz="0" w:space="0" w:color="auto"/>
        <w:right w:val="none" w:sz="0" w:space="0" w:color="auto"/>
      </w:divBdr>
    </w:div>
    <w:div w:id="532422583">
      <w:bodyDiv w:val="1"/>
      <w:marLeft w:val="0"/>
      <w:marRight w:val="0"/>
      <w:marTop w:val="0"/>
      <w:marBottom w:val="0"/>
      <w:divBdr>
        <w:top w:val="none" w:sz="0" w:space="0" w:color="auto"/>
        <w:left w:val="none" w:sz="0" w:space="0" w:color="auto"/>
        <w:bottom w:val="none" w:sz="0" w:space="0" w:color="auto"/>
        <w:right w:val="none" w:sz="0" w:space="0" w:color="auto"/>
      </w:divBdr>
    </w:div>
    <w:div w:id="534393734">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7888085">
      <w:bodyDiv w:val="1"/>
      <w:marLeft w:val="0"/>
      <w:marRight w:val="0"/>
      <w:marTop w:val="0"/>
      <w:marBottom w:val="0"/>
      <w:divBdr>
        <w:top w:val="none" w:sz="0" w:space="0" w:color="auto"/>
        <w:left w:val="none" w:sz="0" w:space="0" w:color="auto"/>
        <w:bottom w:val="none" w:sz="0" w:space="0" w:color="auto"/>
        <w:right w:val="none" w:sz="0" w:space="0" w:color="auto"/>
      </w:divBdr>
    </w:div>
    <w:div w:id="570046038">
      <w:bodyDiv w:val="1"/>
      <w:marLeft w:val="0"/>
      <w:marRight w:val="0"/>
      <w:marTop w:val="0"/>
      <w:marBottom w:val="0"/>
      <w:divBdr>
        <w:top w:val="none" w:sz="0" w:space="0" w:color="auto"/>
        <w:left w:val="none" w:sz="0" w:space="0" w:color="auto"/>
        <w:bottom w:val="none" w:sz="0" w:space="0" w:color="auto"/>
        <w:right w:val="none" w:sz="0" w:space="0" w:color="auto"/>
      </w:divBdr>
    </w:div>
    <w:div w:id="571164135">
      <w:bodyDiv w:val="1"/>
      <w:marLeft w:val="0"/>
      <w:marRight w:val="0"/>
      <w:marTop w:val="0"/>
      <w:marBottom w:val="0"/>
      <w:divBdr>
        <w:top w:val="none" w:sz="0" w:space="0" w:color="auto"/>
        <w:left w:val="none" w:sz="0" w:space="0" w:color="auto"/>
        <w:bottom w:val="none" w:sz="0" w:space="0" w:color="auto"/>
        <w:right w:val="none" w:sz="0" w:space="0" w:color="auto"/>
      </w:divBdr>
    </w:div>
    <w:div w:id="581986394">
      <w:bodyDiv w:val="1"/>
      <w:marLeft w:val="0"/>
      <w:marRight w:val="0"/>
      <w:marTop w:val="0"/>
      <w:marBottom w:val="0"/>
      <w:divBdr>
        <w:top w:val="none" w:sz="0" w:space="0" w:color="auto"/>
        <w:left w:val="none" w:sz="0" w:space="0" w:color="auto"/>
        <w:bottom w:val="none" w:sz="0" w:space="0" w:color="auto"/>
        <w:right w:val="none" w:sz="0" w:space="0" w:color="auto"/>
      </w:divBdr>
    </w:div>
    <w:div w:id="600260285">
      <w:bodyDiv w:val="1"/>
      <w:marLeft w:val="0"/>
      <w:marRight w:val="0"/>
      <w:marTop w:val="0"/>
      <w:marBottom w:val="0"/>
      <w:divBdr>
        <w:top w:val="none" w:sz="0" w:space="0" w:color="auto"/>
        <w:left w:val="none" w:sz="0" w:space="0" w:color="auto"/>
        <w:bottom w:val="none" w:sz="0" w:space="0" w:color="auto"/>
        <w:right w:val="none" w:sz="0" w:space="0" w:color="auto"/>
      </w:divBdr>
    </w:div>
    <w:div w:id="607733652">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29626065">
      <w:bodyDiv w:val="1"/>
      <w:marLeft w:val="0"/>
      <w:marRight w:val="0"/>
      <w:marTop w:val="0"/>
      <w:marBottom w:val="0"/>
      <w:divBdr>
        <w:top w:val="none" w:sz="0" w:space="0" w:color="auto"/>
        <w:left w:val="none" w:sz="0" w:space="0" w:color="auto"/>
        <w:bottom w:val="none" w:sz="0" w:space="0" w:color="auto"/>
        <w:right w:val="none" w:sz="0" w:space="0" w:color="auto"/>
      </w:divBdr>
    </w:div>
    <w:div w:id="634330361">
      <w:bodyDiv w:val="1"/>
      <w:marLeft w:val="0"/>
      <w:marRight w:val="0"/>
      <w:marTop w:val="0"/>
      <w:marBottom w:val="0"/>
      <w:divBdr>
        <w:top w:val="none" w:sz="0" w:space="0" w:color="auto"/>
        <w:left w:val="none" w:sz="0" w:space="0" w:color="auto"/>
        <w:bottom w:val="none" w:sz="0" w:space="0" w:color="auto"/>
        <w:right w:val="none" w:sz="0" w:space="0" w:color="auto"/>
      </w:divBdr>
    </w:div>
    <w:div w:id="638002017">
      <w:bodyDiv w:val="1"/>
      <w:marLeft w:val="0"/>
      <w:marRight w:val="0"/>
      <w:marTop w:val="0"/>
      <w:marBottom w:val="0"/>
      <w:divBdr>
        <w:top w:val="none" w:sz="0" w:space="0" w:color="auto"/>
        <w:left w:val="none" w:sz="0" w:space="0" w:color="auto"/>
        <w:bottom w:val="none" w:sz="0" w:space="0" w:color="auto"/>
        <w:right w:val="none" w:sz="0" w:space="0" w:color="auto"/>
      </w:divBdr>
    </w:div>
    <w:div w:id="654263422">
      <w:bodyDiv w:val="1"/>
      <w:marLeft w:val="0"/>
      <w:marRight w:val="0"/>
      <w:marTop w:val="0"/>
      <w:marBottom w:val="0"/>
      <w:divBdr>
        <w:top w:val="none" w:sz="0" w:space="0" w:color="auto"/>
        <w:left w:val="none" w:sz="0" w:space="0" w:color="auto"/>
        <w:bottom w:val="none" w:sz="0" w:space="0" w:color="auto"/>
        <w:right w:val="none" w:sz="0" w:space="0" w:color="auto"/>
      </w:divBdr>
    </w:div>
    <w:div w:id="655457715">
      <w:bodyDiv w:val="1"/>
      <w:marLeft w:val="0"/>
      <w:marRight w:val="0"/>
      <w:marTop w:val="0"/>
      <w:marBottom w:val="0"/>
      <w:divBdr>
        <w:top w:val="none" w:sz="0" w:space="0" w:color="auto"/>
        <w:left w:val="none" w:sz="0" w:space="0" w:color="auto"/>
        <w:bottom w:val="none" w:sz="0" w:space="0" w:color="auto"/>
        <w:right w:val="none" w:sz="0" w:space="0" w:color="auto"/>
      </w:divBdr>
    </w:div>
    <w:div w:id="657658331">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673730747">
      <w:bodyDiv w:val="1"/>
      <w:marLeft w:val="0"/>
      <w:marRight w:val="0"/>
      <w:marTop w:val="0"/>
      <w:marBottom w:val="0"/>
      <w:divBdr>
        <w:top w:val="none" w:sz="0" w:space="0" w:color="auto"/>
        <w:left w:val="none" w:sz="0" w:space="0" w:color="auto"/>
        <w:bottom w:val="none" w:sz="0" w:space="0" w:color="auto"/>
        <w:right w:val="none" w:sz="0" w:space="0" w:color="auto"/>
      </w:divBdr>
    </w:div>
    <w:div w:id="683440113">
      <w:bodyDiv w:val="1"/>
      <w:marLeft w:val="0"/>
      <w:marRight w:val="0"/>
      <w:marTop w:val="0"/>
      <w:marBottom w:val="0"/>
      <w:divBdr>
        <w:top w:val="none" w:sz="0" w:space="0" w:color="auto"/>
        <w:left w:val="none" w:sz="0" w:space="0" w:color="auto"/>
        <w:bottom w:val="none" w:sz="0" w:space="0" w:color="auto"/>
        <w:right w:val="none" w:sz="0" w:space="0" w:color="auto"/>
      </w:divBdr>
    </w:div>
    <w:div w:id="697507573">
      <w:bodyDiv w:val="1"/>
      <w:marLeft w:val="0"/>
      <w:marRight w:val="0"/>
      <w:marTop w:val="0"/>
      <w:marBottom w:val="0"/>
      <w:divBdr>
        <w:top w:val="none" w:sz="0" w:space="0" w:color="auto"/>
        <w:left w:val="none" w:sz="0" w:space="0" w:color="auto"/>
        <w:bottom w:val="none" w:sz="0" w:space="0" w:color="auto"/>
        <w:right w:val="none" w:sz="0" w:space="0" w:color="auto"/>
      </w:divBdr>
    </w:div>
    <w:div w:id="727460256">
      <w:bodyDiv w:val="1"/>
      <w:marLeft w:val="0"/>
      <w:marRight w:val="0"/>
      <w:marTop w:val="0"/>
      <w:marBottom w:val="0"/>
      <w:divBdr>
        <w:top w:val="none" w:sz="0" w:space="0" w:color="auto"/>
        <w:left w:val="none" w:sz="0" w:space="0" w:color="auto"/>
        <w:bottom w:val="none" w:sz="0" w:space="0" w:color="auto"/>
        <w:right w:val="none" w:sz="0" w:space="0" w:color="auto"/>
      </w:divBdr>
    </w:div>
    <w:div w:id="733049644">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746726021">
      <w:bodyDiv w:val="1"/>
      <w:marLeft w:val="0"/>
      <w:marRight w:val="0"/>
      <w:marTop w:val="0"/>
      <w:marBottom w:val="0"/>
      <w:divBdr>
        <w:top w:val="none" w:sz="0" w:space="0" w:color="auto"/>
        <w:left w:val="none" w:sz="0" w:space="0" w:color="auto"/>
        <w:bottom w:val="none" w:sz="0" w:space="0" w:color="auto"/>
        <w:right w:val="none" w:sz="0" w:space="0" w:color="auto"/>
      </w:divBdr>
    </w:div>
    <w:div w:id="746732180">
      <w:bodyDiv w:val="1"/>
      <w:marLeft w:val="0"/>
      <w:marRight w:val="0"/>
      <w:marTop w:val="0"/>
      <w:marBottom w:val="0"/>
      <w:divBdr>
        <w:top w:val="none" w:sz="0" w:space="0" w:color="auto"/>
        <w:left w:val="none" w:sz="0" w:space="0" w:color="auto"/>
        <w:bottom w:val="none" w:sz="0" w:space="0" w:color="auto"/>
        <w:right w:val="none" w:sz="0" w:space="0" w:color="auto"/>
      </w:divBdr>
    </w:div>
    <w:div w:id="747461042">
      <w:bodyDiv w:val="1"/>
      <w:marLeft w:val="0"/>
      <w:marRight w:val="0"/>
      <w:marTop w:val="0"/>
      <w:marBottom w:val="0"/>
      <w:divBdr>
        <w:top w:val="none" w:sz="0" w:space="0" w:color="auto"/>
        <w:left w:val="none" w:sz="0" w:space="0" w:color="auto"/>
        <w:bottom w:val="none" w:sz="0" w:space="0" w:color="auto"/>
        <w:right w:val="none" w:sz="0" w:space="0" w:color="auto"/>
      </w:divBdr>
    </w:div>
    <w:div w:id="754860078">
      <w:bodyDiv w:val="1"/>
      <w:marLeft w:val="0"/>
      <w:marRight w:val="0"/>
      <w:marTop w:val="0"/>
      <w:marBottom w:val="0"/>
      <w:divBdr>
        <w:top w:val="none" w:sz="0" w:space="0" w:color="auto"/>
        <w:left w:val="none" w:sz="0" w:space="0" w:color="auto"/>
        <w:bottom w:val="none" w:sz="0" w:space="0" w:color="auto"/>
        <w:right w:val="none" w:sz="0" w:space="0" w:color="auto"/>
      </w:divBdr>
    </w:div>
    <w:div w:id="758256477">
      <w:bodyDiv w:val="1"/>
      <w:marLeft w:val="0"/>
      <w:marRight w:val="0"/>
      <w:marTop w:val="0"/>
      <w:marBottom w:val="0"/>
      <w:divBdr>
        <w:top w:val="none" w:sz="0" w:space="0" w:color="auto"/>
        <w:left w:val="none" w:sz="0" w:space="0" w:color="auto"/>
        <w:bottom w:val="none" w:sz="0" w:space="0" w:color="auto"/>
        <w:right w:val="none" w:sz="0" w:space="0" w:color="auto"/>
      </w:divBdr>
    </w:div>
    <w:div w:id="758329332">
      <w:bodyDiv w:val="1"/>
      <w:marLeft w:val="0"/>
      <w:marRight w:val="0"/>
      <w:marTop w:val="0"/>
      <w:marBottom w:val="0"/>
      <w:divBdr>
        <w:top w:val="none" w:sz="0" w:space="0" w:color="auto"/>
        <w:left w:val="none" w:sz="0" w:space="0" w:color="auto"/>
        <w:bottom w:val="none" w:sz="0" w:space="0" w:color="auto"/>
        <w:right w:val="none" w:sz="0" w:space="0" w:color="auto"/>
      </w:divBdr>
    </w:div>
    <w:div w:id="761991437">
      <w:bodyDiv w:val="1"/>
      <w:marLeft w:val="0"/>
      <w:marRight w:val="0"/>
      <w:marTop w:val="0"/>
      <w:marBottom w:val="0"/>
      <w:divBdr>
        <w:top w:val="none" w:sz="0" w:space="0" w:color="auto"/>
        <w:left w:val="none" w:sz="0" w:space="0" w:color="auto"/>
        <w:bottom w:val="none" w:sz="0" w:space="0" w:color="auto"/>
        <w:right w:val="none" w:sz="0" w:space="0" w:color="auto"/>
      </w:divBdr>
    </w:div>
    <w:div w:id="768507675">
      <w:bodyDiv w:val="1"/>
      <w:marLeft w:val="0"/>
      <w:marRight w:val="0"/>
      <w:marTop w:val="0"/>
      <w:marBottom w:val="0"/>
      <w:divBdr>
        <w:top w:val="none" w:sz="0" w:space="0" w:color="auto"/>
        <w:left w:val="none" w:sz="0" w:space="0" w:color="auto"/>
        <w:bottom w:val="none" w:sz="0" w:space="0" w:color="auto"/>
        <w:right w:val="none" w:sz="0" w:space="0" w:color="auto"/>
      </w:divBdr>
    </w:div>
    <w:div w:id="798955712">
      <w:bodyDiv w:val="1"/>
      <w:marLeft w:val="0"/>
      <w:marRight w:val="0"/>
      <w:marTop w:val="0"/>
      <w:marBottom w:val="0"/>
      <w:divBdr>
        <w:top w:val="none" w:sz="0" w:space="0" w:color="auto"/>
        <w:left w:val="none" w:sz="0" w:space="0" w:color="auto"/>
        <w:bottom w:val="none" w:sz="0" w:space="0" w:color="auto"/>
        <w:right w:val="none" w:sz="0" w:space="0" w:color="auto"/>
      </w:divBdr>
    </w:div>
    <w:div w:id="800616359">
      <w:bodyDiv w:val="1"/>
      <w:marLeft w:val="0"/>
      <w:marRight w:val="0"/>
      <w:marTop w:val="0"/>
      <w:marBottom w:val="0"/>
      <w:divBdr>
        <w:top w:val="none" w:sz="0" w:space="0" w:color="auto"/>
        <w:left w:val="none" w:sz="0" w:space="0" w:color="auto"/>
        <w:bottom w:val="none" w:sz="0" w:space="0" w:color="auto"/>
        <w:right w:val="none" w:sz="0" w:space="0" w:color="auto"/>
      </w:divBdr>
    </w:div>
    <w:div w:id="829177351">
      <w:bodyDiv w:val="1"/>
      <w:marLeft w:val="0"/>
      <w:marRight w:val="0"/>
      <w:marTop w:val="0"/>
      <w:marBottom w:val="0"/>
      <w:divBdr>
        <w:top w:val="none" w:sz="0" w:space="0" w:color="auto"/>
        <w:left w:val="none" w:sz="0" w:space="0" w:color="auto"/>
        <w:bottom w:val="none" w:sz="0" w:space="0" w:color="auto"/>
        <w:right w:val="none" w:sz="0" w:space="0" w:color="auto"/>
      </w:divBdr>
    </w:div>
    <w:div w:id="842430502">
      <w:bodyDiv w:val="1"/>
      <w:marLeft w:val="0"/>
      <w:marRight w:val="0"/>
      <w:marTop w:val="0"/>
      <w:marBottom w:val="0"/>
      <w:divBdr>
        <w:top w:val="none" w:sz="0" w:space="0" w:color="auto"/>
        <w:left w:val="none" w:sz="0" w:space="0" w:color="auto"/>
        <w:bottom w:val="none" w:sz="0" w:space="0" w:color="auto"/>
        <w:right w:val="none" w:sz="0" w:space="0" w:color="auto"/>
      </w:divBdr>
    </w:div>
    <w:div w:id="853611477">
      <w:bodyDiv w:val="1"/>
      <w:marLeft w:val="0"/>
      <w:marRight w:val="0"/>
      <w:marTop w:val="0"/>
      <w:marBottom w:val="0"/>
      <w:divBdr>
        <w:top w:val="none" w:sz="0" w:space="0" w:color="auto"/>
        <w:left w:val="none" w:sz="0" w:space="0" w:color="auto"/>
        <w:bottom w:val="none" w:sz="0" w:space="0" w:color="auto"/>
        <w:right w:val="none" w:sz="0" w:space="0" w:color="auto"/>
      </w:divBdr>
    </w:div>
    <w:div w:id="855734322">
      <w:bodyDiv w:val="1"/>
      <w:marLeft w:val="0"/>
      <w:marRight w:val="0"/>
      <w:marTop w:val="0"/>
      <w:marBottom w:val="0"/>
      <w:divBdr>
        <w:top w:val="none" w:sz="0" w:space="0" w:color="auto"/>
        <w:left w:val="none" w:sz="0" w:space="0" w:color="auto"/>
        <w:bottom w:val="none" w:sz="0" w:space="0" w:color="auto"/>
        <w:right w:val="none" w:sz="0" w:space="0" w:color="auto"/>
      </w:divBdr>
    </w:div>
    <w:div w:id="884099951">
      <w:bodyDiv w:val="1"/>
      <w:marLeft w:val="0"/>
      <w:marRight w:val="0"/>
      <w:marTop w:val="0"/>
      <w:marBottom w:val="0"/>
      <w:divBdr>
        <w:top w:val="none" w:sz="0" w:space="0" w:color="auto"/>
        <w:left w:val="none" w:sz="0" w:space="0" w:color="auto"/>
        <w:bottom w:val="none" w:sz="0" w:space="0" w:color="auto"/>
        <w:right w:val="none" w:sz="0" w:space="0" w:color="auto"/>
      </w:divBdr>
    </w:div>
    <w:div w:id="889221685">
      <w:bodyDiv w:val="1"/>
      <w:marLeft w:val="0"/>
      <w:marRight w:val="0"/>
      <w:marTop w:val="0"/>
      <w:marBottom w:val="0"/>
      <w:divBdr>
        <w:top w:val="none" w:sz="0" w:space="0" w:color="auto"/>
        <w:left w:val="none" w:sz="0" w:space="0" w:color="auto"/>
        <w:bottom w:val="none" w:sz="0" w:space="0" w:color="auto"/>
        <w:right w:val="none" w:sz="0" w:space="0" w:color="auto"/>
      </w:divBdr>
    </w:div>
    <w:div w:id="894581835">
      <w:bodyDiv w:val="1"/>
      <w:marLeft w:val="0"/>
      <w:marRight w:val="0"/>
      <w:marTop w:val="0"/>
      <w:marBottom w:val="0"/>
      <w:divBdr>
        <w:top w:val="none" w:sz="0" w:space="0" w:color="auto"/>
        <w:left w:val="none" w:sz="0" w:space="0" w:color="auto"/>
        <w:bottom w:val="none" w:sz="0" w:space="0" w:color="auto"/>
        <w:right w:val="none" w:sz="0" w:space="0" w:color="auto"/>
      </w:divBdr>
    </w:div>
    <w:div w:id="900292008">
      <w:bodyDiv w:val="1"/>
      <w:marLeft w:val="0"/>
      <w:marRight w:val="0"/>
      <w:marTop w:val="0"/>
      <w:marBottom w:val="0"/>
      <w:divBdr>
        <w:top w:val="none" w:sz="0" w:space="0" w:color="auto"/>
        <w:left w:val="none" w:sz="0" w:space="0" w:color="auto"/>
        <w:bottom w:val="none" w:sz="0" w:space="0" w:color="auto"/>
        <w:right w:val="none" w:sz="0" w:space="0" w:color="auto"/>
      </w:divBdr>
    </w:div>
    <w:div w:id="916938882">
      <w:bodyDiv w:val="1"/>
      <w:marLeft w:val="0"/>
      <w:marRight w:val="0"/>
      <w:marTop w:val="0"/>
      <w:marBottom w:val="0"/>
      <w:divBdr>
        <w:top w:val="none" w:sz="0" w:space="0" w:color="auto"/>
        <w:left w:val="none" w:sz="0" w:space="0" w:color="auto"/>
        <w:bottom w:val="none" w:sz="0" w:space="0" w:color="auto"/>
        <w:right w:val="none" w:sz="0" w:space="0" w:color="auto"/>
      </w:divBdr>
    </w:div>
    <w:div w:id="928545770">
      <w:bodyDiv w:val="1"/>
      <w:marLeft w:val="0"/>
      <w:marRight w:val="0"/>
      <w:marTop w:val="0"/>
      <w:marBottom w:val="0"/>
      <w:divBdr>
        <w:top w:val="none" w:sz="0" w:space="0" w:color="auto"/>
        <w:left w:val="none" w:sz="0" w:space="0" w:color="auto"/>
        <w:bottom w:val="none" w:sz="0" w:space="0" w:color="auto"/>
        <w:right w:val="none" w:sz="0" w:space="0" w:color="auto"/>
      </w:divBdr>
    </w:div>
    <w:div w:id="931549476">
      <w:bodyDiv w:val="1"/>
      <w:marLeft w:val="0"/>
      <w:marRight w:val="0"/>
      <w:marTop w:val="0"/>
      <w:marBottom w:val="0"/>
      <w:divBdr>
        <w:top w:val="none" w:sz="0" w:space="0" w:color="auto"/>
        <w:left w:val="none" w:sz="0" w:space="0" w:color="auto"/>
        <w:bottom w:val="none" w:sz="0" w:space="0" w:color="auto"/>
        <w:right w:val="none" w:sz="0" w:space="0" w:color="auto"/>
      </w:divBdr>
    </w:div>
    <w:div w:id="937640636">
      <w:bodyDiv w:val="1"/>
      <w:marLeft w:val="0"/>
      <w:marRight w:val="0"/>
      <w:marTop w:val="0"/>
      <w:marBottom w:val="0"/>
      <w:divBdr>
        <w:top w:val="none" w:sz="0" w:space="0" w:color="auto"/>
        <w:left w:val="none" w:sz="0" w:space="0" w:color="auto"/>
        <w:bottom w:val="none" w:sz="0" w:space="0" w:color="auto"/>
        <w:right w:val="none" w:sz="0" w:space="0" w:color="auto"/>
      </w:divBdr>
    </w:div>
    <w:div w:id="949244042">
      <w:bodyDiv w:val="1"/>
      <w:marLeft w:val="0"/>
      <w:marRight w:val="0"/>
      <w:marTop w:val="0"/>
      <w:marBottom w:val="0"/>
      <w:divBdr>
        <w:top w:val="none" w:sz="0" w:space="0" w:color="auto"/>
        <w:left w:val="none" w:sz="0" w:space="0" w:color="auto"/>
        <w:bottom w:val="none" w:sz="0" w:space="0" w:color="auto"/>
        <w:right w:val="none" w:sz="0" w:space="0" w:color="auto"/>
      </w:divBdr>
    </w:div>
    <w:div w:id="965545243">
      <w:bodyDiv w:val="1"/>
      <w:marLeft w:val="0"/>
      <w:marRight w:val="0"/>
      <w:marTop w:val="0"/>
      <w:marBottom w:val="0"/>
      <w:divBdr>
        <w:top w:val="none" w:sz="0" w:space="0" w:color="auto"/>
        <w:left w:val="none" w:sz="0" w:space="0" w:color="auto"/>
        <w:bottom w:val="none" w:sz="0" w:space="0" w:color="auto"/>
        <w:right w:val="none" w:sz="0" w:space="0" w:color="auto"/>
      </w:divBdr>
    </w:div>
    <w:div w:id="986203935">
      <w:bodyDiv w:val="1"/>
      <w:marLeft w:val="0"/>
      <w:marRight w:val="0"/>
      <w:marTop w:val="0"/>
      <w:marBottom w:val="0"/>
      <w:divBdr>
        <w:top w:val="none" w:sz="0" w:space="0" w:color="auto"/>
        <w:left w:val="none" w:sz="0" w:space="0" w:color="auto"/>
        <w:bottom w:val="none" w:sz="0" w:space="0" w:color="auto"/>
        <w:right w:val="none" w:sz="0" w:space="0" w:color="auto"/>
      </w:divBdr>
    </w:div>
    <w:div w:id="986518987">
      <w:bodyDiv w:val="1"/>
      <w:marLeft w:val="0"/>
      <w:marRight w:val="0"/>
      <w:marTop w:val="0"/>
      <w:marBottom w:val="0"/>
      <w:divBdr>
        <w:top w:val="none" w:sz="0" w:space="0" w:color="auto"/>
        <w:left w:val="none" w:sz="0" w:space="0" w:color="auto"/>
        <w:bottom w:val="none" w:sz="0" w:space="0" w:color="auto"/>
        <w:right w:val="none" w:sz="0" w:space="0" w:color="auto"/>
      </w:divBdr>
    </w:div>
    <w:div w:id="993874688">
      <w:bodyDiv w:val="1"/>
      <w:marLeft w:val="0"/>
      <w:marRight w:val="0"/>
      <w:marTop w:val="0"/>
      <w:marBottom w:val="0"/>
      <w:divBdr>
        <w:top w:val="none" w:sz="0" w:space="0" w:color="auto"/>
        <w:left w:val="none" w:sz="0" w:space="0" w:color="auto"/>
        <w:bottom w:val="none" w:sz="0" w:space="0" w:color="auto"/>
        <w:right w:val="none" w:sz="0" w:space="0" w:color="auto"/>
      </w:divBdr>
    </w:div>
    <w:div w:id="1004406455">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25984286">
      <w:bodyDiv w:val="1"/>
      <w:marLeft w:val="0"/>
      <w:marRight w:val="0"/>
      <w:marTop w:val="0"/>
      <w:marBottom w:val="0"/>
      <w:divBdr>
        <w:top w:val="none" w:sz="0" w:space="0" w:color="auto"/>
        <w:left w:val="none" w:sz="0" w:space="0" w:color="auto"/>
        <w:bottom w:val="none" w:sz="0" w:space="0" w:color="auto"/>
        <w:right w:val="none" w:sz="0" w:space="0" w:color="auto"/>
      </w:divBdr>
    </w:div>
    <w:div w:id="1042680197">
      <w:bodyDiv w:val="1"/>
      <w:marLeft w:val="0"/>
      <w:marRight w:val="0"/>
      <w:marTop w:val="0"/>
      <w:marBottom w:val="0"/>
      <w:divBdr>
        <w:top w:val="none" w:sz="0" w:space="0" w:color="auto"/>
        <w:left w:val="none" w:sz="0" w:space="0" w:color="auto"/>
        <w:bottom w:val="none" w:sz="0" w:space="0" w:color="auto"/>
        <w:right w:val="none" w:sz="0" w:space="0" w:color="auto"/>
      </w:divBdr>
    </w:div>
    <w:div w:id="1045251725">
      <w:bodyDiv w:val="1"/>
      <w:marLeft w:val="0"/>
      <w:marRight w:val="0"/>
      <w:marTop w:val="0"/>
      <w:marBottom w:val="0"/>
      <w:divBdr>
        <w:top w:val="none" w:sz="0" w:space="0" w:color="auto"/>
        <w:left w:val="none" w:sz="0" w:space="0" w:color="auto"/>
        <w:bottom w:val="none" w:sz="0" w:space="0" w:color="auto"/>
        <w:right w:val="none" w:sz="0" w:space="0" w:color="auto"/>
      </w:divBdr>
    </w:div>
    <w:div w:id="1074667957">
      <w:bodyDiv w:val="1"/>
      <w:marLeft w:val="0"/>
      <w:marRight w:val="0"/>
      <w:marTop w:val="0"/>
      <w:marBottom w:val="0"/>
      <w:divBdr>
        <w:top w:val="none" w:sz="0" w:space="0" w:color="auto"/>
        <w:left w:val="none" w:sz="0" w:space="0" w:color="auto"/>
        <w:bottom w:val="none" w:sz="0" w:space="0" w:color="auto"/>
        <w:right w:val="none" w:sz="0" w:space="0" w:color="auto"/>
      </w:divBdr>
    </w:div>
    <w:div w:id="1087077369">
      <w:bodyDiv w:val="1"/>
      <w:marLeft w:val="0"/>
      <w:marRight w:val="0"/>
      <w:marTop w:val="0"/>
      <w:marBottom w:val="0"/>
      <w:divBdr>
        <w:top w:val="none" w:sz="0" w:space="0" w:color="auto"/>
        <w:left w:val="none" w:sz="0" w:space="0" w:color="auto"/>
        <w:bottom w:val="none" w:sz="0" w:space="0" w:color="auto"/>
        <w:right w:val="none" w:sz="0" w:space="0" w:color="auto"/>
      </w:divBdr>
    </w:div>
    <w:div w:id="1100489345">
      <w:bodyDiv w:val="1"/>
      <w:marLeft w:val="0"/>
      <w:marRight w:val="0"/>
      <w:marTop w:val="0"/>
      <w:marBottom w:val="0"/>
      <w:divBdr>
        <w:top w:val="none" w:sz="0" w:space="0" w:color="auto"/>
        <w:left w:val="none" w:sz="0" w:space="0" w:color="auto"/>
        <w:bottom w:val="none" w:sz="0" w:space="0" w:color="auto"/>
        <w:right w:val="none" w:sz="0" w:space="0" w:color="auto"/>
      </w:divBdr>
    </w:div>
    <w:div w:id="1118646703">
      <w:bodyDiv w:val="1"/>
      <w:marLeft w:val="0"/>
      <w:marRight w:val="0"/>
      <w:marTop w:val="0"/>
      <w:marBottom w:val="0"/>
      <w:divBdr>
        <w:top w:val="none" w:sz="0" w:space="0" w:color="auto"/>
        <w:left w:val="none" w:sz="0" w:space="0" w:color="auto"/>
        <w:bottom w:val="none" w:sz="0" w:space="0" w:color="auto"/>
        <w:right w:val="none" w:sz="0" w:space="0" w:color="auto"/>
      </w:divBdr>
    </w:div>
    <w:div w:id="1119302174">
      <w:bodyDiv w:val="1"/>
      <w:marLeft w:val="0"/>
      <w:marRight w:val="0"/>
      <w:marTop w:val="0"/>
      <w:marBottom w:val="0"/>
      <w:divBdr>
        <w:top w:val="none" w:sz="0" w:space="0" w:color="auto"/>
        <w:left w:val="none" w:sz="0" w:space="0" w:color="auto"/>
        <w:bottom w:val="none" w:sz="0" w:space="0" w:color="auto"/>
        <w:right w:val="none" w:sz="0" w:space="0" w:color="auto"/>
      </w:divBdr>
    </w:div>
    <w:div w:id="1144657125">
      <w:bodyDiv w:val="1"/>
      <w:marLeft w:val="0"/>
      <w:marRight w:val="0"/>
      <w:marTop w:val="0"/>
      <w:marBottom w:val="0"/>
      <w:divBdr>
        <w:top w:val="none" w:sz="0" w:space="0" w:color="auto"/>
        <w:left w:val="none" w:sz="0" w:space="0" w:color="auto"/>
        <w:bottom w:val="none" w:sz="0" w:space="0" w:color="auto"/>
        <w:right w:val="none" w:sz="0" w:space="0" w:color="auto"/>
      </w:divBdr>
    </w:div>
    <w:div w:id="1148017273">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62820551">
      <w:bodyDiv w:val="1"/>
      <w:marLeft w:val="0"/>
      <w:marRight w:val="0"/>
      <w:marTop w:val="0"/>
      <w:marBottom w:val="0"/>
      <w:divBdr>
        <w:top w:val="none" w:sz="0" w:space="0" w:color="auto"/>
        <w:left w:val="none" w:sz="0" w:space="0" w:color="auto"/>
        <w:bottom w:val="none" w:sz="0" w:space="0" w:color="auto"/>
        <w:right w:val="none" w:sz="0" w:space="0" w:color="auto"/>
      </w:divBdr>
    </w:div>
    <w:div w:id="1163741930">
      <w:bodyDiv w:val="1"/>
      <w:marLeft w:val="0"/>
      <w:marRight w:val="0"/>
      <w:marTop w:val="0"/>
      <w:marBottom w:val="0"/>
      <w:divBdr>
        <w:top w:val="none" w:sz="0" w:space="0" w:color="auto"/>
        <w:left w:val="none" w:sz="0" w:space="0" w:color="auto"/>
        <w:bottom w:val="none" w:sz="0" w:space="0" w:color="auto"/>
        <w:right w:val="none" w:sz="0" w:space="0" w:color="auto"/>
      </w:divBdr>
    </w:div>
    <w:div w:id="1170019668">
      <w:bodyDiv w:val="1"/>
      <w:marLeft w:val="0"/>
      <w:marRight w:val="0"/>
      <w:marTop w:val="0"/>
      <w:marBottom w:val="0"/>
      <w:divBdr>
        <w:top w:val="none" w:sz="0" w:space="0" w:color="auto"/>
        <w:left w:val="none" w:sz="0" w:space="0" w:color="auto"/>
        <w:bottom w:val="none" w:sz="0" w:space="0" w:color="auto"/>
        <w:right w:val="none" w:sz="0" w:space="0" w:color="auto"/>
      </w:divBdr>
    </w:div>
    <w:div w:id="1178353199">
      <w:bodyDiv w:val="1"/>
      <w:marLeft w:val="0"/>
      <w:marRight w:val="0"/>
      <w:marTop w:val="0"/>
      <w:marBottom w:val="0"/>
      <w:divBdr>
        <w:top w:val="none" w:sz="0" w:space="0" w:color="auto"/>
        <w:left w:val="none" w:sz="0" w:space="0" w:color="auto"/>
        <w:bottom w:val="none" w:sz="0" w:space="0" w:color="auto"/>
        <w:right w:val="none" w:sz="0" w:space="0" w:color="auto"/>
      </w:divBdr>
    </w:div>
    <w:div w:id="1190533349">
      <w:bodyDiv w:val="1"/>
      <w:marLeft w:val="0"/>
      <w:marRight w:val="0"/>
      <w:marTop w:val="0"/>
      <w:marBottom w:val="0"/>
      <w:divBdr>
        <w:top w:val="none" w:sz="0" w:space="0" w:color="auto"/>
        <w:left w:val="none" w:sz="0" w:space="0" w:color="auto"/>
        <w:bottom w:val="none" w:sz="0" w:space="0" w:color="auto"/>
        <w:right w:val="none" w:sz="0" w:space="0" w:color="auto"/>
      </w:divBdr>
    </w:div>
    <w:div w:id="1193617941">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198547039">
      <w:bodyDiv w:val="1"/>
      <w:marLeft w:val="0"/>
      <w:marRight w:val="0"/>
      <w:marTop w:val="0"/>
      <w:marBottom w:val="0"/>
      <w:divBdr>
        <w:top w:val="none" w:sz="0" w:space="0" w:color="auto"/>
        <w:left w:val="none" w:sz="0" w:space="0" w:color="auto"/>
        <w:bottom w:val="none" w:sz="0" w:space="0" w:color="auto"/>
        <w:right w:val="none" w:sz="0" w:space="0" w:color="auto"/>
      </w:divBdr>
    </w:div>
    <w:div w:id="1228808325">
      <w:bodyDiv w:val="1"/>
      <w:marLeft w:val="0"/>
      <w:marRight w:val="0"/>
      <w:marTop w:val="0"/>
      <w:marBottom w:val="0"/>
      <w:divBdr>
        <w:top w:val="none" w:sz="0" w:space="0" w:color="auto"/>
        <w:left w:val="none" w:sz="0" w:space="0" w:color="auto"/>
        <w:bottom w:val="none" w:sz="0" w:space="0" w:color="auto"/>
        <w:right w:val="none" w:sz="0" w:space="0" w:color="auto"/>
      </w:divBdr>
    </w:div>
    <w:div w:id="123589940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5675989">
      <w:bodyDiv w:val="1"/>
      <w:marLeft w:val="0"/>
      <w:marRight w:val="0"/>
      <w:marTop w:val="0"/>
      <w:marBottom w:val="0"/>
      <w:divBdr>
        <w:top w:val="none" w:sz="0" w:space="0" w:color="auto"/>
        <w:left w:val="none" w:sz="0" w:space="0" w:color="auto"/>
        <w:bottom w:val="none" w:sz="0" w:space="0" w:color="auto"/>
        <w:right w:val="none" w:sz="0" w:space="0" w:color="auto"/>
      </w:divBdr>
    </w:div>
    <w:div w:id="1301377265">
      <w:bodyDiv w:val="1"/>
      <w:marLeft w:val="0"/>
      <w:marRight w:val="0"/>
      <w:marTop w:val="0"/>
      <w:marBottom w:val="0"/>
      <w:divBdr>
        <w:top w:val="none" w:sz="0" w:space="0" w:color="auto"/>
        <w:left w:val="none" w:sz="0" w:space="0" w:color="auto"/>
        <w:bottom w:val="none" w:sz="0" w:space="0" w:color="auto"/>
        <w:right w:val="none" w:sz="0" w:space="0" w:color="auto"/>
      </w:divBdr>
    </w:div>
    <w:div w:id="1314138118">
      <w:bodyDiv w:val="1"/>
      <w:marLeft w:val="0"/>
      <w:marRight w:val="0"/>
      <w:marTop w:val="0"/>
      <w:marBottom w:val="0"/>
      <w:divBdr>
        <w:top w:val="none" w:sz="0" w:space="0" w:color="auto"/>
        <w:left w:val="none" w:sz="0" w:space="0" w:color="auto"/>
        <w:bottom w:val="none" w:sz="0" w:space="0" w:color="auto"/>
        <w:right w:val="none" w:sz="0" w:space="0" w:color="auto"/>
      </w:divBdr>
    </w:div>
    <w:div w:id="1324965681">
      <w:bodyDiv w:val="1"/>
      <w:marLeft w:val="0"/>
      <w:marRight w:val="0"/>
      <w:marTop w:val="0"/>
      <w:marBottom w:val="0"/>
      <w:divBdr>
        <w:top w:val="none" w:sz="0" w:space="0" w:color="auto"/>
        <w:left w:val="none" w:sz="0" w:space="0" w:color="auto"/>
        <w:bottom w:val="none" w:sz="0" w:space="0" w:color="auto"/>
        <w:right w:val="none" w:sz="0" w:space="0" w:color="auto"/>
      </w:divBdr>
    </w:div>
    <w:div w:id="1326477519">
      <w:bodyDiv w:val="1"/>
      <w:marLeft w:val="0"/>
      <w:marRight w:val="0"/>
      <w:marTop w:val="0"/>
      <w:marBottom w:val="0"/>
      <w:divBdr>
        <w:top w:val="none" w:sz="0" w:space="0" w:color="auto"/>
        <w:left w:val="none" w:sz="0" w:space="0" w:color="auto"/>
        <w:bottom w:val="none" w:sz="0" w:space="0" w:color="auto"/>
        <w:right w:val="none" w:sz="0" w:space="0" w:color="auto"/>
      </w:divBdr>
    </w:div>
    <w:div w:id="1333948218">
      <w:bodyDiv w:val="1"/>
      <w:marLeft w:val="0"/>
      <w:marRight w:val="0"/>
      <w:marTop w:val="0"/>
      <w:marBottom w:val="0"/>
      <w:divBdr>
        <w:top w:val="none" w:sz="0" w:space="0" w:color="auto"/>
        <w:left w:val="none" w:sz="0" w:space="0" w:color="auto"/>
        <w:bottom w:val="none" w:sz="0" w:space="0" w:color="auto"/>
        <w:right w:val="none" w:sz="0" w:space="0" w:color="auto"/>
      </w:divBdr>
    </w:div>
    <w:div w:id="1342505825">
      <w:bodyDiv w:val="1"/>
      <w:marLeft w:val="0"/>
      <w:marRight w:val="0"/>
      <w:marTop w:val="0"/>
      <w:marBottom w:val="0"/>
      <w:divBdr>
        <w:top w:val="none" w:sz="0" w:space="0" w:color="auto"/>
        <w:left w:val="none" w:sz="0" w:space="0" w:color="auto"/>
        <w:bottom w:val="none" w:sz="0" w:space="0" w:color="auto"/>
        <w:right w:val="none" w:sz="0" w:space="0" w:color="auto"/>
      </w:divBdr>
    </w:div>
    <w:div w:id="1347712789">
      <w:bodyDiv w:val="1"/>
      <w:marLeft w:val="0"/>
      <w:marRight w:val="0"/>
      <w:marTop w:val="0"/>
      <w:marBottom w:val="0"/>
      <w:divBdr>
        <w:top w:val="none" w:sz="0" w:space="0" w:color="auto"/>
        <w:left w:val="none" w:sz="0" w:space="0" w:color="auto"/>
        <w:bottom w:val="none" w:sz="0" w:space="0" w:color="auto"/>
        <w:right w:val="none" w:sz="0" w:space="0" w:color="auto"/>
      </w:divBdr>
    </w:div>
    <w:div w:id="1353611739">
      <w:bodyDiv w:val="1"/>
      <w:marLeft w:val="0"/>
      <w:marRight w:val="0"/>
      <w:marTop w:val="0"/>
      <w:marBottom w:val="0"/>
      <w:divBdr>
        <w:top w:val="none" w:sz="0" w:space="0" w:color="auto"/>
        <w:left w:val="none" w:sz="0" w:space="0" w:color="auto"/>
        <w:bottom w:val="none" w:sz="0" w:space="0" w:color="auto"/>
        <w:right w:val="none" w:sz="0" w:space="0" w:color="auto"/>
      </w:divBdr>
    </w:div>
    <w:div w:id="1359743425">
      <w:bodyDiv w:val="1"/>
      <w:marLeft w:val="0"/>
      <w:marRight w:val="0"/>
      <w:marTop w:val="0"/>
      <w:marBottom w:val="0"/>
      <w:divBdr>
        <w:top w:val="none" w:sz="0" w:space="0" w:color="auto"/>
        <w:left w:val="none" w:sz="0" w:space="0" w:color="auto"/>
        <w:bottom w:val="none" w:sz="0" w:space="0" w:color="auto"/>
        <w:right w:val="none" w:sz="0" w:space="0" w:color="auto"/>
      </w:divBdr>
    </w:div>
    <w:div w:id="1369378780">
      <w:bodyDiv w:val="1"/>
      <w:marLeft w:val="0"/>
      <w:marRight w:val="0"/>
      <w:marTop w:val="0"/>
      <w:marBottom w:val="0"/>
      <w:divBdr>
        <w:top w:val="none" w:sz="0" w:space="0" w:color="auto"/>
        <w:left w:val="none" w:sz="0" w:space="0" w:color="auto"/>
        <w:bottom w:val="none" w:sz="0" w:space="0" w:color="auto"/>
        <w:right w:val="none" w:sz="0" w:space="0" w:color="auto"/>
      </w:divBdr>
    </w:div>
    <w:div w:id="1371494784">
      <w:bodyDiv w:val="1"/>
      <w:marLeft w:val="0"/>
      <w:marRight w:val="0"/>
      <w:marTop w:val="0"/>
      <w:marBottom w:val="0"/>
      <w:divBdr>
        <w:top w:val="none" w:sz="0" w:space="0" w:color="auto"/>
        <w:left w:val="none" w:sz="0" w:space="0" w:color="auto"/>
        <w:bottom w:val="none" w:sz="0" w:space="0" w:color="auto"/>
        <w:right w:val="none" w:sz="0" w:space="0" w:color="auto"/>
      </w:divBdr>
    </w:div>
    <w:div w:id="1393457954">
      <w:bodyDiv w:val="1"/>
      <w:marLeft w:val="0"/>
      <w:marRight w:val="0"/>
      <w:marTop w:val="0"/>
      <w:marBottom w:val="0"/>
      <w:divBdr>
        <w:top w:val="none" w:sz="0" w:space="0" w:color="auto"/>
        <w:left w:val="none" w:sz="0" w:space="0" w:color="auto"/>
        <w:bottom w:val="none" w:sz="0" w:space="0" w:color="auto"/>
        <w:right w:val="none" w:sz="0" w:space="0" w:color="auto"/>
      </w:divBdr>
    </w:div>
    <w:div w:id="1403987947">
      <w:bodyDiv w:val="1"/>
      <w:marLeft w:val="0"/>
      <w:marRight w:val="0"/>
      <w:marTop w:val="0"/>
      <w:marBottom w:val="0"/>
      <w:divBdr>
        <w:top w:val="none" w:sz="0" w:space="0" w:color="auto"/>
        <w:left w:val="none" w:sz="0" w:space="0" w:color="auto"/>
        <w:bottom w:val="none" w:sz="0" w:space="0" w:color="auto"/>
        <w:right w:val="none" w:sz="0" w:space="0" w:color="auto"/>
      </w:divBdr>
    </w:div>
    <w:div w:id="1411152450">
      <w:bodyDiv w:val="1"/>
      <w:marLeft w:val="0"/>
      <w:marRight w:val="0"/>
      <w:marTop w:val="0"/>
      <w:marBottom w:val="0"/>
      <w:divBdr>
        <w:top w:val="none" w:sz="0" w:space="0" w:color="auto"/>
        <w:left w:val="none" w:sz="0" w:space="0" w:color="auto"/>
        <w:bottom w:val="none" w:sz="0" w:space="0" w:color="auto"/>
        <w:right w:val="none" w:sz="0" w:space="0" w:color="auto"/>
      </w:divBdr>
    </w:div>
    <w:div w:id="1412507531">
      <w:bodyDiv w:val="1"/>
      <w:marLeft w:val="0"/>
      <w:marRight w:val="0"/>
      <w:marTop w:val="0"/>
      <w:marBottom w:val="0"/>
      <w:divBdr>
        <w:top w:val="none" w:sz="0" w:space="0" w:color="auto"/>
        <w:left w:val="none" w:sz="0" w:space="0" w:color="auto"/>
        <w:bottom w:val="none" w:sz="0" w:space="0" w:color="auto"/>
        <w:right w:val="none" w:sz="0" w:space="0" w:color="auto"/>
      </w:divBdr>
    </w:div>
    <w:div w:id="1429891533">
      <w:bodyDiv w:val="1"/>
      <w:marLeft w:val="0"/>
      <w:marRight w:val="0"/>
      <w:marTop w:val="0"/>
      <w:marBottom w:val="0"/>
      <w:divBdr>
        <w:top w:val="none" w:sz="0" w:space="0" w:color="auto"/>
        <w:left w:val="none" w:sz="0" w:space="0" w:color="auto"/>
        <w:bottom w:val="none" w:sz="0" w:space="0" w:color="auto"/>
        <w:right w:val="none" w:sz="0" w:space="0" w:color="auto"/>
      </w:divBdr>
    </w:div>
    <w:div w:id="1440835900">
      <w:bodyDiv w:val="1"/>
      <w:marLeft w:val="0"/>
      <w:marRight w:val="0"/>
      <w:marTop w:val="0"/>
      <w:marBottom w:val="0"/>
      <w:divBdr>
        <w:top w:val="none" w:sz="0" w:space="0" w:color="auto"/>
        <w:left w:val="none" w:sz="0" w:space="0" w:color="auto"/>
        <w:bottom w:val="none" w:sz="0" w:space="0" w:color="auto"/>
        <w:right w:val="none" w:sz="0" w:space="0" w:color="auto"/>
      </w:divBdr>
    </w:div>
    <w:div w:id="1448963069">
      <w:bodyDiv w:val="1"/>
      <w:marLeft w:val="0"/>
      <w:marRight w:val="0"/>
      <w:marTop w:val="0"/>
      <w:marBottom w:val="0"/>
      <w:divBdr>
        <w:top w:val="none" w:sz="0" w:space="0" w:color="auto"/>
        <w:left w:val="none" w:sz="0" w:space="0" w:color="auto"/>
        <w:bottom w:val="none" w:sz="0" w:space="0" w:color="auto"/>
        <w:right w:val="none" w:sz="0" w:space="0" w:color="auto"/>
      </w:divBdr>
    </w:div>
    <w:div w:id="1456022847">
      <w:bodyDiv w:val="1"/>
      <w:marLeft w:val="0"/>
      <w:marRight w:val="0"/>
      <w:marTop w:val="0"/>
      <w:marBottom w:val="0"/>
      <w:divBdr>
        <w:top w:val="none" w:sz="0" w:space="0" w:color="auto"/>
        <w:left w:val="none" w:sz="0" w:space="0" w:color="auto"/>
        <w:bottom w:val="none" w:sz="0" w:space="0" w:color="auto"/>
        <w:right w:val="none" w:sz="0" w:space="0" w:color="auto"/>
      </w:divBdr>
    </w:div>
    <w:div w:id="1466236985">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498110200">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511410863">
      <w:bodyDiv w:val="1"/>
      <w:marLeft w:val="0"/>
      <w:marRight w:val="0"/>
      <w:marTop w:val="0"/>
      <w:marBottom w:val="0"/>
      <w:divBdr>
        <w:top w:val="none" w:sz="0" w:space="0" w:color="auto"/>
        <w:left w:val="none" w:sz="0" w:space="0" w:color="auto"/>
        <w:bottom w:val="none" w:sz="0" w:space="0" w:color="auto"/>
        <w:right w:val="none" w:sz="0" w:space="0" w:color="auto"/>
      </w:divBdr>
    </w:div>
    <w:div w:id="1519392423">
      <w:bodyDiv w:val="1"/>
      <w:marLeft w:val="0"/>
      <w:marRight w:val="0"/>
      <w:marTop w:val="0"/>
      <w:marBottom w:val="0"/>
      <w:divBdr>
        <w:top w:val="none" w:sz="0" w:space="0" w:color="auto"/>
        <w:left w:val="none" w:sz="0" w:space="0" w:color="auto"/>
        <w:bottom w:val="none" w:sz="0" w:space="0" w:color="auto"/>
        <w:right w:val="none" w:sz="0" w:space="0" w:color="auto"/>
      </w:divBdr>
    </w:div>
    <w:div w:id="1529249125">
      <w:bodyDiv w:val="1"/>
      <w:marLeft w:val="0"/>
      <w:marRight w:val="0"/>
      <w:marTop w:val="0"/>
      <w:marBottom w:val="0"/>
      <w:divBdr>
        <w:top w:val="none" w:sz="0" w:space="0" w:color="auto"/>
        <w:left w:val="none" w:sz="0" w:space="0" w:color="auto"/>
        <w:bottom w:val="none" w:sz="0" w:space="0" w:color="auto"/>
        <w:right w:val="none" w:sz="0" w:space="0" w:color="auto"/>
      </w:divBdr>
    </w:div>
    <w:div w:id="1536573769">
      <w:bodyDiv w:val="1"/>
      <w:marLeft w:val="0"/>
      <w:marRight w:val="0"/>
      <w:marTop w:val="0"/>
      <w:marBottom w:val="0"/>
      <w:divBdr>
        <w:top w:val="none" w:sz="0" w:space="0" w:color="auto"/>
        <w:left w:val="none" w:sz="0" w:space="0" w:color="auto"/>
        <w:bottom w:val="none" w:sz="0" w:space="0" w:color="auto"/>
        <w:right w:val="none" w:sz="0" w:space="0" w:color="auto"/>
      </w:divBdr>
    </w:div>
    <w:div w:id="1539926881">
      <w:bodyDiv w:val="1"/>
      <w:marLeft w:val="0"/>
      <w:marRight w:val="0"/>
      <w:marTop w:val="0"/>
      <w:marBottom w:val="0"/>
      <w:divBdr>
        <w:top w:val="none" w:sz="0" w:space="0" w:color="auto"/>
        <w:left w:val="none" w:sz="0" w:space="0" w:color="auto"/>
        <w:bottom w:val="none" w:sz="0" w:space="0" w:color="auto"/>
        <w:right w:val="none" w:sz="0" w:space="0" w:color="auto"/>
      </w:divBdr>
    </w:div>
    <w:div w:id="1553077223">
      <w:bodyDiv w:val="1"/>
      <w:marLeft w:val="0"/>
      <w:marRight w:val="0"/>
      <w:marTop w:val="0"/>
      <w:marBottom w:val="0"/>
      <w:divBdr>
        <w:top w:val="none" w:sz="0" w:space="0" w:color="auto"/>
        <w:left w:val="none" w:sz="0" w:space="0" w:color="auto"/>
        <w:bottom w:val="none" w:sz="0" w:space="0" w:color="auto"/>
        <w:right w:val="none" w:sz="0" w:space="0" w:color="auto"/>
      </w:divBdr>
    </w:div>
    <w:div w:id="1566137366">
      <w:bodyDiv w:val="1"/>
      <w:marLeft w:val="0"/>
      <w:marRight w:val="0"/>
      <w:marTop w:val="0"/>
      <w:marBottom w:val="0"/>
      <w:divBdr>
        <w:top w:val="none" w:sz="0" w:space="0" w:color="auto"/>
        <w:left w:val="none" w:sz="0" w:space="0" w:color="auto"/>
        <w:bottom w:val="none" w:sz="0" w:space="0" w:color="auto"/>
        <w:right w:val="none" w:sz="0" w:space="0" w:color="auto"/>
      </w:divBdr>
    </w:div>
    <w:div w:id="1567838796">
      <w:bodyDiv w:val="1"/>
      <w:marLeft w:val="0"/>
      <w:marRight w:val="0"/>
      <w:marTop w:val="0"/>
      <w:marBottom w:val="0"/>
      <w:divBdr>
        <w:top w:val="none" w:sz="0" w:space="0" w:color="auto"/>
        <w:left w:val="none" w:sz="0" w:space="0" w:color="auto"/>
        <w:bottom w:val="none" w:sz="0" w:space="0" w:color="auto"/>
        <w:right w:val="none" w:sz="0" w:space="0" w:color="auto"/>
      </w:divBdr>
    </w:div>
    <w:div w:id="1595556898">
      <w:bodyDiv w:val="1"/>
      <w:marLeft w:val="0"/>
      <w:marRight w:val="0"/>
      <w:marTop w:val="0"/>
      <w:marBottom w:val="0"/>
      <w:divBdr>
        <w:top w:val="none" w:sz="0" w:space="0" w:color="auto"/>
        <w:left w:val="none" w:sz="0" w:space="0" w:color="auto"/>
        <w:bottom w:val="none" w:sz="0" w:space="0" w:color="auto"/>
        <w:right w:val="none" w:sz="0" w:space="0" w:color="auto"/>
      </w:divBdr>
    </w:div>
    <w:div w:id="1596283692">
      <w:bodyDiv w:val="1"/>
      <w:marLeft w:val="0"/>
      <w:marRight w:val="0"/>
      <w:marTop w:val="0"/>
      <w:marBottom w:val="0"/>
      <w:divBdr>
        <w:top w:val="none" w:sz="0" w:space="0" w:color="auto"/>
        <w:left w:val="none" w:sz="0" w:space="0" w:color="auto"/>
        <w:bottom w:val="none" w:sz="0" w:space="0" w:color="auto"/>
        <w:right w:val="none" w:sz="0" w:space="0" w:color="auto"/>
      </w:divBdr>
    </w:div>
    <w:div w:id="1598830593">
      <w:bodyDiv w:val="1"/>
      <w:marLeft w:val="0"/>
      <w:marRight w:val="0"/>
      <w:marTop w:val="0"/>
      <w:marBottom w:val="0"/>
      <w:divBdr>
        <w:top w:val="none" w:sz="0" w:space="0" w:color="auto"/>
        <w:left w:val="none" w:sz="0" w:space="0" w:color="auto"/>
        <w:bottom w:val="none" w:sz="0" w:space="0" w:color="auto"/>
        <w:right w:val="none" w:sz="0" w:space="0" w:color="auto"/>
      </w:divBdr>
    </w:div>
    <w:div w:id="1602179899">
      <w:bodyDiv w:val="1"/>
      <w:marLeft w:val="0"/>
      <w:marRight w:val="0"/>
      <w:marTop w:val="0"/>
      <w:marBottom w:val="0"/>
      <w:divBdr>
        <w:top w:val="none" w:sz="0" w:space="0" w:color="auto"/>
        <w:left w:val="none" w:sz="0" w:space="0" w:color="auto"/>
        <w:bottom w:val="none" w:sz="0" w:space="0" w:color="auto"/>
        <w:right w:val="none" w:sz="0" w:space="0" w:color="auto"/>
      </w:divBdr>
    </w:div>
    <w:div w:id="1613441640">
      <w:bodyDiv w:val="1"/>
      <w:marLeft w:val="0"/>
      <w:marRight w:val="0"/>
      <w:marTop w:val="0"/>
      <w:marBottom w:val="0"/>
      <w:divBdr>
        <w:top w:val="none" w:sz="0" w:space="0" w:color="auto"/>
        <w:left w:val="none" w:sz="0" w:space="0" w:color="auto"/>
        <w:bottom w:val="none" w:sz="0" w:space="0" w:color="auto"/>
        <w:right w:val="none" w:sz="0" w:space="0" w:color="auto"/>
      </w:divBdr>
    </w:div>
    <w:div w:id="1618097375">
      <w:bodyDiv w:val="1"/>
      <w:marLeft w:val="0"/>
      <w:marRight w:val="0"/>
      <w:marTop w:val="0"/>
      <w:marBottom w:val="0"/>
      <w:divBdr>
        <w:top w:val="none" w:sz="0" w:space="0" w:color="auto"/>
        <w:left w:val="none" w:sz="0" w:space="0" w:color="auto"/>
        <w:bottom w:val="none" w:sz="0" w:space="0" w:color="auto"/>
        <w:right w:val="none" w:sz="0" w:space="0" w:color="auto"/>
      </w:divBdr>
    </w:div>
    <w:div w:id="1624385979">
      <w:bodyDiv w:val="1"/>
      <w:marLeft w:val="0"/>
      <w:marRight w:val="0"/>
      <w:marTop w:val="0"/>
      <w:marBottom w:val="0"/>
      <w:divBdr>
        <w:top w:val="none" w:sz="0" w:space="0" w:color="auto"/>
        <w:left w:val="none" w:sz="0" w:space="0" w:color="auto"/>
        <w:bottom w:val="none" w:sz="0" w:space="0" w:color="auto"/>
        <w:right w:val="none" w:sz="0" w:space="0" w:color="auto"/>
      </w:divBdr>
    </w:div>
    <w:div w:id="1628926696">
      <w:bodyDiv w:val="1"/>
      <w:marLeft w:val="0"/>
      <w:marRight w:val="0"/>
      <w:marTop w:val="0"/>
      <w:marBottom w:val="0"/>
      <w:divBdr>
        <w:top w:val="none" w:sz="0" w:space="0" w:color="auto"/>
        <w:left w:val="none" w:sz="0" w:space="0" w:color="auto"/>
        <w:bottom w:val="none" w:sz="0" w:space="0" w:color="auto"/>
        <w:right w:val="none" w:sz="0" w:space="0" w:color="auto"/>
      </w:divBdr>
    </w:div>
    <w:div w:id="1635404569">
      <w:bodyDiv w:val="1"/>
      <w:marLeft w:val="0"/>
      <w:marRight w:val="0"/>
      <w:marTop w:val="0"/>
      <w:marBottom w:val="0"/>
      <w:divBdr>
        <w:top w:val="none" w:sz="0" w:space="0" w:color="auto"/>
        <w:left w:val="none" w:sz="0" w:space="0" w:color="auto"/>
        <w:bottom w:val="none" w:sz="0" w:space="0" w:color="auto"/>
        <w:right w:val="none" w:sz="0" w:space="0" w:color="auto"/>
      </w:divBdr>
    </w:div>
    <w:div w:id="1657419910">
      <w:bodyDiv w:val="1"/>
      <w:marLeft w:val="0"/>
      <w:marRight w:val="0"/>
      <w:marTop w:val="0"/>
      <w:marBottom w:val="0"/>
      <w:divBdr>
        <w:top w:val="none" w:sz="0" w:space="0" w:color="auto"/>
        <w:left w:val="none" w:sz="0" w:space="0" w:color="auto"/>
        <w:bottom w:val="none" w:sz="0" w:space="0" w:color="auto"/>
        <w:right w:val="none" w:sz="0" w:space="0" w:color="auto"/>
      </w:divBdr>
    </w:div>
    <w:div w:id="1659765658">
      <w:bodyDiv w:val="1"/>
      <w:marLeft w:val="0"/>
      <w:marRight w:val="0"/>
      <w:marTop w:val="0"/>
      <w:marBottom w:val="0"/>
      <w:divBdr>
        <w:top w:val="none" w:sz="0" w:space="0" w:color="auto"/>
        <w:left w:val="none" w:sz="0" w:space="0" w:color="auto"/>
        <w:bottom w:val="none" w:sz="0" w:space="0" w:color="auto"/>
        <w:right w:val="none" w:sz="0" w:space="0" w:color="auto"/>
      </w:divBdr>
    </w:div>
    <w:div w:id="1705985890">
      <w:bodyDiv w:val="1"/>
      <w:marLeft w:val="0"/>
      <w:marRight w:val="0"/>
      <w:marTop w:val="0"/>
      <w:marBottom w:val="0"/>
      <w:divBdr>
        <w:top w:val="none" w:sz="0" w:space="0" w:color="auto"/>
        <w:left w:val="none" w:sz="0" w:space="0" w:color="auto"/>
        <w:bottom w:val="none" w:sz="0" w:space="0" w:color="auto"/>
        <w:right w:val="none" w:sz="0" w:space="0" w:color="auto"/>
      </w:divBdr>
    </w:div>
    <w:div w:id="1714377893">
      <w:bodyDiv w:val="1"/>
      <w:marLeft w:val="0"/>
      <w:marRight w:val="0"/>
      <w:marTop w:val="0"/>
      <w:marBottom w:val="0"/>
      <w:divBdr>
        <w:top w:val="none" w:sz="0" w:space="0" w:color="auto"/>
        <w:left w:val="none" w:sz="0" w:space="0" w:color="auto"/>
        <w:bottom w:val="none" w:sz="0" w:space="0" w:color="auto"/>
        <w:right w:val="none" w:sz="0" w:space="0" w:color="auto"/>
      </w:divBdr>
    </w:div>
    <w:div w:id="1725905567">
      <w:bodyDiv w:val="1"/>
      <w:marLeft w:val="0"/>
      <w:marRight w:val="0"/>
      <w:marTop w:val="0"/>
      <w:marBottom w:val="0"/>
      <w:divBdr>
        <w:top w:val="none" w:sz="0" w:space="0" w:color="auto"/>
        <w:left w:val="none" w:sz="0" w:space="0" w:color="auto"/>
        <w:bottom w:val="none" w:sz="0" w:space="0" w:color="auto"/>
        <w:right w:val="none" w:sz="0" w:space="0" w:color="auto"/>
      </w:divBdr>
    </w:div>
    <w:div w:id="1748305867">
      <w:bodyDiv w:val="1"/>
      <w:marLeft w:val="0"/>
      <w:marRight w:val="0"/>
      <w:marTop w:val="0"/>
      <w:marBottom w:val="0"/>
      <w:divBdr>
        <w:top w:val="none" w:sz="0" w:space="0" w:color="auto"/>
        <w:left w:val="none" w:sz="0" w:space="0" w:color="auto"/>
        <w:bottom w:val="none" w:sz="0" w:space="0" w:color="auto"/>
        <w:right w:val="none" w:sz="0" w:space="0" w:color="auto"/>
      </w:divBdr>
    </w:div>
    <w:div w:id="1774977577">
      <w:bodyDiv w:val="1"/>
      <w:marLeft w:val="0"/>
      <w:marRight w:val="0"/>
      <w:marTop w:val="0"/>
      <w:marBottom w:val="0"/>
      <w:divBdr>
        <w:top w:val="none" w:sz="0" w:space="0" w:color="auto"/>
        <w:left w:val="none" w:sz="0" w:space="0" w:color="auto"/>
        <w:bottom w:val="none" w:sz="0" w:space="0" w:color="auto"/>
        <w:right w:val="none" w:sz="0" w:space="0" w:color="auto"/>
      </w:divBdr>
    </w:div>
    <w:div w:id="1775049603">
      <w:bodyDiv w:val="1"/>
      <w:marLeft w:val="0"/>
      <w:marRight w:val="0"/>
      <w:marTop w:val="0"/>
      <w:marBottom w:val="0"/>
      <w:divBdr>
        <w:top w:val="none" w:sz="0" w:space="0" w:color="auto"/>
        <w:left w:val="none" w:sz="0" w:space="0" w:color="auto"/>
        <w:bottom w:val="none" w:sz="0" w:space="0" w:color="auto"/>
        <w:right w:val="none" w:sz="0" w:space="0" w:color="auto"/>
      </w:divBdr>
    </w:div>
    <w:div w:id="1788625117">
      <w:bodyDiv w:val="1"/>
      <w:marLeft w:val="0"/>
      <w:marRight w:val="0"/>
      <w:marTop w:val="0"/>
      <w:marBottom w:val="0"/>
      <w:divBdr>
        <w:top w:val="none" w:sz="0" w:space="0" w:color="auto"/>
        <w:left w:val="none" w:sz="0" w:space="0" w:color="auto"/>
        <w:bottom w:val="none" w:sz="0" w:space="0" w:color="auto"/>
        <w:right w:val="none" w:sz="0" w:space="0" w:color="auto"/>
      </w:divBdr>
    </w:div>
    <w:div w:id="1817338046">
      <w:bodyDiv w:val="1"/>
      <w:marLeft w:val="0"/>
      <w:marRight w:val="0"/>
      <w:marTop w:val="0"/>
      <w:marBottom w:val="0"/>
      <w:divBdr>
        <w:top w:val="none" w:sz="0" w:space="0" w:color="auto"/>
        <w:left w:val="none" w:sz="0" w:space="0" w:color="auto"/>
        <w:bottom w:val="none" w:sz="0" w:space="0" w:color="auto"/>
        <w:right w:val="none" w:sz="0" w:space="0" w:color="auto"/>
      </w:divBdr>
    </w:div>
    <w:div w:id="1838500102">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866290143">
      <w:bodyDiv w:val="1"/>
      <w:marLeft w:val="0"/>
      <w:marRight w:val="0"/>
      <w:marTop w:val="0"/>
      <w:marBottom w:val="0"/>
      <w:divBdr>
        <w:top w:val="none" w:sz="0" w:space="0" w:color="auto"/>
        <w:left w:val="none" w:sz="0" w:space="0" w:color="auto"/>
        <w:bottom w:val="none" w:sz="0" w:space="0" w:color="auto"/>
        <w:right w:val="none" w:sz="0" w:space="0" w:color="auto"/>
      </w:divBdr>
    </w:div>
    <w:div w:id="1868519581">
      <w:bodyDiv w:val="1"/>
      <w:marLeft w:val="0"/>
      <w:marRight w:val="0"/>
      <w:marTop w:val="0"/>
      <w:marBottom w:val="0"/>
      <w:divBdr>
        <w:top w:val="none" w:sz="0" w:space="0" w:color="auto"/>
        <w:left w:val="none" w:sz="0" w:space="0" w:color="auto"/>
        <w:bottom w:val="none" w:sz="0" w:space="0" w:color="auto"/>
        <w:right w:val="none" w:sz="0" w:space="0" w:color="auto"/>
      </w:divBdr>
    </w:div>
    <w:div w:id="1872067989">
      <w:bodyDiv w:val="1"/>
      <w:marLeft w:val="0"/>
      <w:marRight w:val="0"/>
      <w:marTop w:val="0"/>
      <w:marBottom w:val="0"/>
      <w:divBdr>
        <w:top w:val="none" w:sz="0" w:space="0" w:color="auto"/>
        <w:left w:val="none" w:sz="0" w:space="0" w:color="auto"/>
        <w:bottom w:val="none" w:sz="0" w:space="0" w:color="auto"/>
        <w:right w:val="none" w:sz="0" w:space="0" w:color="auto"/>
      </w:divBdr>
    </w:div>
    <w:div w:id="1883012170">
      <w:bodyDiv w:val="1"/>
      <w:marLeft w:val="0"/>
      <w:marRight w:val="0"/>
      <w:marTop w:val="0"/>
      <w:marBottom w:val="0"/>
      <w:divBdr>
        <w:top w:val="none" w:sz="0" w:space="0" w:color="auto"/>
        <w:left w:val="none" w:sz="0" w:space="0" w:color="auto"/>
        <w:bottom w:val="none" w:sz="0" w:space="0" w:color="auto"/>
        <w:right w:val="none" w:sz="0" w:space="0" w:color="auto"/>
      </w:divBdr>
    </w:div>
    <w:div w:id="189380823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026873">
      <w:bodyDiv w:val="1"/>
      <w:marLeft w:val="0"/>
      <w:marRight w:val="0"/>
      <w:marTop w:val="0"/>
      <w:marBottom w:val="0"/>
      <w:divBdr>
        <w:top w:val="none" w:sz="0" w:space="0" w:color="auto"/>
        <w:left w:val="none" w:sz="0" w:space="0" w:color="auto"/>
        <w:bottom w:val="none" w:sz="0" w:space="0" w:color="auto"/>
        <w:right w:val="none" w:sz="0" w:space="0" w:color="auto"/>
      </w:divBdr>
    </w:div>
    <w:div w:id="1909152377">
      <w:bodyDiv w:val="1"/>
      <w:marLeft w:val="0"/>
      <w:marRight w:val="0"/>
      <w:marTop w:val="0"/>
      <w:marBottom w:val="0"/>
      <w:divBdr>
        <w:top w:val="none" w:sz="0" w:space="0" w:color="auto"/>
        <w:left w:val="none" w:sz="0" w:space="0" w:color="auto"/>
        <w:bottom w:val="none" w:sz="0" w:space="0" w:color="auto"/>
        <w:right w:val="none" w:sz="0" w:space="0" w:color="auto"/>
      </w:divBdr>
    </w:div>
    <w:div w:id="1913470721">
      <w:bodyDiv w:val="1"/>
      <w:marLeft w:val="0"/>
      <w:marRight w:val="0"/>
      <w:marTop w:val="0"/>
      <w:marBottom w:val="0"/>
      <w:divBdr>
        <w:top w:val="none" w:sz="0" w:space="0" w:color="auto"/>
        <w:left w:val="none" w:sz="0" w:space="0" w:color="auto"/>
        <w:bottom w:val="none" w:sz="0" w:space="0" w:color="auto"/>
        <w:right w:val="none" w:sz="0" w:space="0" w:color="auto"/>
      </w:divBdr>
    </w:div>
    <w:div w:id="1918856300">
      <w:bodyDiv w:val="1"/>
      <w:marLeft w:val="0"/>
      <w:marRight w:val="0"/>
      <w:marTop w:val="0"/>
      <w:marBottom w:val="0"/>
      <w:divBdr>
        <w:top w:val="none" w:sz="0" w:space="0" w:color="auto"/>
        <w:left w:val="none" w:sz="0" w:space="0" w:color="auto"/>
        <w:bottom w:val="none" w:sz="0" w:space="0" w:color="auto"/>
        <w:right w:val="none" w:sz="0" w:space="0" w:color="auto"/>
      </w:divBdr>
    </w:div>
    <w:div w:id="1920671306">
      <w:bodyDiv w:val="1"/>
      <w:marLeft w:val="0"/>
      <w:marRight w:val="0"/>
      <w:marTop w:val="0"/>
      <w:marBottom w:val="0"/>
      <w:divBdr>
        <w:top w:val="none" w:sz="0" w:space="0" w:color="auto"/>
        <w:left w:val="none" w:sz="0" w:space="0" w:color="auto"/>
        <w:bottom w:val="none" w:sz="0" w:space="0" w:color="auto"/>
        <w:right w:val="none" w:sz="0" w:space="0" w:color="auto"/>
      </w:divBdr>
    </w:div>
    <w:div w:id="1924677104">
      <w:bodyDiv w:val="1"/>
      <w:marLeft w:val="0"/>
      <w:marRight w:val="0"/>
      <w:marTop w:val="0"/>
      <w:marBottom w:val="0"/>
      <w:divBdr>
        <w:top w:val="none" w:sz="0" w:space="0" w:color="auto"/>
        <w:left w:val="none" w:sz="0" w:space="0" w:color="auto"/>
        <w:bottom w:val="none" w:sz="0" w:space="0" w:color="auto"/>
        <w:right w:val="none" w:sz="0" w:space="0" w:color="auto"/>
      </w:divBdr>
    </w:div>
    <w:div w:id="1925530932">
      <w:bodyDiv w:val="1"/>
      <w:marLeft w:val="0"/>
      <w:marRight w:val="0"/>
      <w:marTop w:val="0"/>
      <w:marBottom w:val="0"/>
      <w:divBdr>
        <w:top w:val="none" w:sz="0" w:space="0" w:color="auto"/>
        <w:left w:val="none" w:sz="0" w:space="0" w:color="auto"/>
        <w:bottom w:val="none" w:sz="0" w:space="0" w:color="auto"/>
        <w:right w:val="none" w:sz="0" w:space="0" w:color="auto"/>
      </w:divBdr>
    </w:div>
    <w:div w:id="1934700234">
      <w:bodyDiv w:val="1"/>
      <w:marLeft w:val="0"/>
      <w:marRight w:val="0"/>
      <w:marTop w:val="0"/>
      <w:marBottom w:val="0"/>
      <w:divBdr>
        <w:top w:val="none" w:sz="0" w:space="0" w:color="auto"/>
        <w:left w:val="none" w:sz="0" w:space="0" w:color="auto"/>
        <w:bottom w:val="none" w:sz="0" w:space="0" w:color="auto"/>
        <w:right w:val="none" w:sz="0" w:space="0" w:color="auto"/>
      </w:divBdr>
    </w:div>
    <w:div w:id="196215413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1975982671">
      <w:bodyDiv w:val="1"/>
      <w:marLeft w:val="0"/>
      <w:marRight w:val="0"/>
      <w:marTop w:val="0"/>
      <w:marBottom w:val="0"/>
      <w:divBdr>
        <w:top w:val="none" w:sz="0" w:space="0" w:color="auto"/>
        <w:left w:val="none" w:sz="0" w:space="0" w:color="auto"/>
        <w:bottom w:val="none" w:sz="0" w:space="0" w:color="auto"/>
        <w:right w:val="none" w:sz="0" w:space="0" w:color="auto"/>
      </w:divBdr>
    </w:div>
    <w:div w:id="1997490821">
      <w:bodyDiv w:val="1"/>
      <w:marLeft w:val="0"/>
      <w:marRight w:val="0"/>
      <w:marTop w:val="0"/>
      <w:marBottom w:val="0"/>
      <w:divBdr>
        <w:top w:val="none" w:sz="0" w:space="0" w:color="auto"/>
        <w:left w:val="none" w:sz="0" w:space="0" w:color="auto"/>
        <w:bottom w:val="none" w:sz="0" w:space="0" w:color="auto"/>
        <w:right w:val="none" w:sz="0" w:space="0" w:color="auto"/>
      </w:divBdr>
    </w:div>
    <w:div w:id="2001543550">
      <w:bodyDiv w:val="1"/>
      <w:marLeft w:val="0"/>
      <w:marRight w:val="0"/>
      <w:marTop w:val="0"/>
      <w:marBottom w:val="0"/>
      <w:divBdr>
        <w:top w:val="none" w:sz="0" w:space="0" w:color="auto"/>
        <w:left w:val="none" w:sz="0" w:space="0" w:color="auto"/>
        <w:bottom w:val="none" w:sz="0" w:space="0" w:color="auto"/>
        <w:right w:val="none" w:sz="0" w:space="0" w:color="auto"/>
      </w:divBdr>
    </w:div>
    <w:div w:id="2014454711">
      <w:bodyDiv w:val="1"/>
      <w:marLeft w:val="0"/>
      <w:marRight w:val="0"/>
      <w:marTop w:val="0"/>
      <w:marBottom w:val="0"/>
      <w:divBdr>
        <w:top w:val="none" w:sz="0" w:space="0" w:color="auto"/>
        <w:left w:val="none" w:sz="0" w:space="0" w:color="auto"/>
        <w:bottom w:val="none" w:sz="0" w:space="0" w:color="auto"/>
        <w:right w:val="none" w:sz="0" w:space="0" w:color="auto"/>
      </w:divBdr>
    </w:div>
    <w:div w:id="2027978195">
      <w:bodyDiv w:val="1"/>
      <w:marLeft w:val="0"/>
      <w:marRight w:val="0"/>
      <w:marTop w:val="0"/>
      <w:marBottom w:val="0"/>
      <w:divBdr>
        <w:top w:val="none" w:sz="0" w:space="0" w:color="auto"/>
        <w:left w:val="none" w:sz="0" w:space="0" w:color="auto"/>
        <w:bottom w:val="none" w:sz="0" w:space="0" w:color="auto"/>
        <w:right w:val="none" w:sz="0" w:space="0" w:color="auto"/>
      </w:divBdr>
    </w:div>
    <w:div w:id="2032876839">
      <w:bodyDiv w:val="1"/>
      <w:marLeft w:val="0"/>
      <w:marRight w:val="0"/>
      <w:marTop w:val="0"/>
      <w:marBottom w:val="0"/>
      <w:divBdr>
        <w:top w:val="none" w:sz="0" w:space="0" w:color="auto"/>
        <w:left w:val="none" w:sz="0" w:space="0" w:color="auto"/>
        <w:bottom w:val="none" w:sz="0" w:space="0" w:color="auto"/>
        <w:right w:val="none" w:sz="0" w:space="0" w:color="auto"/>
      </w:divBdr>
    </w:div>
    <w:div w:id="2035766693">
      <w:bodyDiv w:val="1"/>
      <w:marLeft w:val="0"/>
      <w:marRight w:val="0"/>
      <w:marTop w:val="0"/>
      <w:marBottom w:val="0"/>
      <w:divBdr>
        <w:top w:val="none" w:sz="0" w:space="0" w:color="auto"/>
        <w:left w:val="none" w:sz="0" w:space="0" w:color="auto"/>
        <w:bottom w:val="none" w:sz="0" w:space="0" w:color="auto"/>
        <w:right w:val="none" w:sz="0" w:space="0" w:color="auto"/>
      </w:divBdr>
    </w:div>
    <w:div w:id="2037846881">
      <w:bodyDiv w:val="1"/>
      <w:marLeft w:val="0"/>
      <w:marRight w:val="0"/>
      <w:marTop w:val="0"/>
      <w:marBottom w:val="0"/>
      <w:divBdr>
        <w:top w:val="none" w:sz="0" w:space="0" w:color="auto"/>
        <w:left w:val="none" w:sz="0" w:space="0" w:color="auto"/>
        <w:bottom w:val="none" w:sz="0" w:space="0" w:color="auto"/>
        <w:right w:val="none" w:sz="0" w:space="0" w:color="auto"/>
      </w:divBdr>
    </w:div>
    <w:div w:id="2042129274">
      <w:bodyDiv w:val="1"/>
      <w:marLeft w:val="0"/>
      <w:marRight w:val="0"/>
      <w:marTop w:val="0"/>
      <w:marBottom w:val="0"/>
      <w:divBdr>
        <w:top w:val="none" w:sz="0" w:space="0" w:color="auto"/>
        <w:left w:val="none" w:sz="0" w:space="0" w:color="auto"/>
        <w:bottom w:val="none" w:sz="0" w:space="0" w:color="auto"/>
        <w:right w:val="none" w:sz="0" w:space="0" w:color="auto"/>
      </w:divBdr>
    </w:div>
    <w:div w:id="2049989302">
      <w:bodyDiv w:val="1"/>
      <w:marLeft w:val="0"/>
      <w:marRight w:val="0"/>
      <w:marTop w:val="0"/>
      <w:marBottom w:val="0"/>
      <w:divBdr>
        <w:top w:val="none" w:sz="0" w:space="0" w:color="auto"/>
        <w:left w:val="none" w:sz="0" w:space="0" w:color="auto"/>
        <w:bottom w:val="none" w:sz="0" w:space="0" w:color="auto"/>
        <w:right w:val="none" w:sz="0" w:space="0" w:color="auto"/>
      </w:divBdr>
    </w:div>
    <w:div w:id="2068795464">
      <w:bodyDiv w:val="1"/>
      <w:marLeft w:val="0"/>
      <w:marRight w:val="0"/>
      <w:marTop w:val="0"/>
      <w:marBottom w:val="0"/>
      <w:divBdr>
        <w:top w:val="none" w:sz="0" w:space="0" w:color="auto"/>
        <w:left w:val="none" w:sz="0" w:space="0" w:color="auto"/>
        <w:bottom w:val="none" w:sz="0" w:space="0" w:color="auto"/>
        <w:right w:val="none" w:sz="0" w:space="0" w:color="auto"/>
      </w:divBdr>
    </w:div>
    <w:div w:id="2083330954">
      <w:bodyDiv w:val="1"/>
      <w:marLeft w:val="0"/>
      <w:marRight w:val="0"/>
      <w:marTop w:val="0"/>
      <w:marBottom w:val="0"/>
      <w:divBdr>
        <w:top w:val="none" w:sz="0" w:space="0" w:color="auto"/>
        <w:left w:val="none" w:sz="0" w:space="0" w:color="auto"/>
        <w:bottom w:val="none" w:sz="0" w:space="0" w:color="auto"/>
        <w:right w:val="none" w:sz="0" w:space="0" w:color="auto"/>
      </w:divBdr>
    </w:div>
    <w:div w:id="2087412102">
      <w:bodyDiv w:val="1"/>
      <w:marLeft w:val="0"/>
      <w:marRight w:val="0"/>
      <w:marTop w:val="0"/>
      <w:marBottom w:val="0"/>
      <w:divBdr>
        <w:top w:val="none" w:sz="0" w:space="0" w:color="auto"/>
        <w:left w:val="none" w:sz="0" w:space="0" w:color="auto"/>
        <w:bottom w:val="none" w:sz="0" w:space="0" w:color="auto"/>
        <w:right w:val="none" w:sz="0" w:space="0" w:color="auto"/>
      </w:divBdr>
    </w:div>
    <w:div w:id="2090734380">
      <w:bodyDiv w:val="1"/>
      <w:marLeft w:val="0"/>
      <w:marRight w:val="0"/>
      <w:marTop w:val="0"/>
      <w:marBottom w:val="0"/>
      <w:divBdr>
        <w:top w:val="none" w:sz="0" w:space="0" w:color="auto"/>
        <w:left w:val="none" w:sz="0" w:space="0" w:color="auto"/>
        <w:bottom w:val="none" w:sz="0" w:space="0" w:color="auto"/>
        <w:right w:val="none" w:sz="0" w:space="0" w:color="auto"/>
      </w:divBdr>
    </w:div>
    <w:div w:id="2094350242">
      <w:bodyDiv w:val="1"/>
      <w:marLeft w:val="0"/>
      <w:marRight w:val="0"/>
      <w:marTop w:val="0"/>
      <w:marBottom w:val="0"/>
      <w:divBdr>
        <w:top w:val="none" w:sz="0" w:space="0" w:color="auto"/>
        <w:left w:val="none" w:sz="0" w:space="0" w:color="auto"/>
        <w:bottom w:val="none" w:sz="0" w:space="0" w:color="auto"/>
        <w:right w:val="none" w:sz="0" w:space="0" w:color="auto"/>
      </w:divBdr>
    </w:div>
    <w:div w:id="2104493574">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 w:id="2123914576">
      <w:bodyDiv w:val="1"/>
      <w:marLeft w:val="0"/>
      <w:marRight w:val="0"/>
      <w:marTop w:val="0"/>
      <w:marBottom w:val="0"/>
      <w:divBdr>
        <w:top w:val="none" w:sz="0" w:space="0" w:color="auto"/>
        <w:left w:val="none" w:sz="0" w:space="0" w:color="auto"/>
        <w:bottom w:val="none" w:sz="0" w:space="0" w:color="auto"/>
        <w:right w:val="none" w:sz="0" w:space="0" w:color="auto"/>
      </w:divBdr>
    </w:div>
    <w:div w:id="2124231284">
      <w:bodyDiv w:val="1"/>
      <w:marLeft w:val="0"/>
      <w:marRight w:val="0"/>
      <w:marTop w:val="0"/>
      <w:marBottom w:val="0"/>
      <w:divBdr>
        <w:top w:val="none" w:sz="0" w:space="0" w:color="auto"/>
        <w:left w:val="none" w:sz="0" w:space="0" w:color="auto"/>
        <w:bottom w:val="none" w:sz="0" w:space="0" w:color="auto"/>
        <w:right w:val="none" w:sz="0" w:space="0" w:color="auto"/>
      </w:divBdr>
    </w:div>
    <w:div w:id="2133667496">
      <w:bodyDiv w:val="1"/>
      <w:marLeft w:val="0"/>
      <w:marRight w:val="0"/>
      <w:marTop w:val="0"/>
      <w:marBottom w:val="0"/>
      <w:divBdr>
        <w:top w:val="none" w:sz="0" w:space="0" w:color="auto"/>
        <w:left w:val="none" w:sz="0" w:space="0" w:color="auto"/>
        <w:bottom w:val="none" w:sz="0" w:space="0" w:color="auto"/>
        <w:right w:val="none" w:sz="0" w:space="0" w:color="auto"/>
      </w:divBdr>
    </w:div>
    <w:div w:id="214454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27.png"/><Relationship Id="rId47" Type="http://schemas.openxmlformats.org/officeDocument/2006/relationships/hyperlink" Target="http://stat.gov.pl/banki-i-bazy-danych/platforma-analityczna-swaid-dziedzinowe-bazy-wiedzy/" TargetMode="External"/><Relationship Id="rId63" Type="http://schemas.openxmlformats.org/officeDocument/2006/relationships/hyperlink" Target="https://stat.gov.pl/metainformacje/slownik-pojec/pojecia-stosowane-w-statystyce-publicznej/2390,pojecie.html" TargetMode="External"/><Relationship Id="rId68" Type="http://schemas.openxmlformats.org/officeDocument/2006/relationships/hyperlink" Target="https://stat.gov.pl/metainformacje/slownik-pojec/pojecia-stosowane-w-statystyce-publicznej/814,pojecie.html" TargetMode="Externa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mailto:a.olbrot@stat.gov.pl" TargetMode="External"/><Relationship Id="rId40" Type="http://schemas.openxmlformats.org/officeDocument/2006/relationships/image" Target="media/image26.png"/><Relationship Id="rId45" Type="http://schemas.openxmlformats.org/officeDocument/2006/relationships/hyperlink" Target="https://www.youtube.com/@UrzadStatystycznywPoznaniu" TargetMode="External"/><Relationship Id="rId53" Type="http://schemas.openxmlformats.org/officeDocument/2006/relationships/hyperlink" Target="https://stat.gov.pl/metainformacje/slownik-pojec/pojecia-stosowane-w-statystyce-publicznej/3763,pojecie.html" TargetMode="External"/><Relationship Id="rId58" Type="http://schemas.openxmlformats.org/officeDocument/2006/relationships/hyperlink" Target="https://ssgk.stat.gov.pl/" TargetMode="External"/><Relationship Id="rId66" Type="http://schemas.openxmlformats.org/officeDocument/2006/relationships/hyperlink" Target="https://stat.gov.pl/metainformacje/slownik-pojec/pojecia-stosowane-w-statystyce-publicznej/945,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2958,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header" Target="header2.xml"/><Relationship Id="rId43" Type="http://schemas.openxmlformats.org/officeDocument/2006/relationships/hyperlink" Target="https://www.facebook.com/PoznanSTAT/" TargetMode="External"/><Relationship Id="rId48" Type="http://schemas.openxmlformats.org/officeDocument/2006/relationships/hyperlink" Target="https://bdl.stat.gov.pl/BDL/start" TargetMode="External"/><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693,pojecie.html" TargetMode="External"/><Relationship Id="rId69" Type="http://schemas.openxmlformats.org/officeDocument/2006/relationships/hyperlink" Target="https://stat.gov.pl/metainformacje/slownik-pojec/pojecia-stosowane-w-statystyce-publicznej/2076,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5.png"/><Relationship Id="rId46" Type="http://schemas.openxmlformats.org/officeDocument/2006/relationships/hyperlink" Target="https://ssgk.stat.gov.pl/" TargetMode="External"/><Relationship Id="rId59" Type="http://schemas.openxmlformats.org/officeDocument/2006/relationships/hyperlink" Target="http://stat.gov.pl/banki-i-bazy-danych/platforma-analityczna-swaid-dziedzinowe-bazy-wiedzy/" TargetMode="External"/><Relationship Id="rId67" Type="http://schemas.openxmlformats.org/officeDocument/2006/relationships/hyperlink" Target="https://stat.gov.pl/metainformacje/slownik-pojec/pojecia-stosowane-w-statystyce-publicznej/223,pojecie.html" TargetMode="External"/><Relationship Id="rId20" Type="http://schemas.openxmlformats.org/officeDocument/2006/relationships/image" Target="media/image10.emf"/><Relationship Id="rId41" Type="http://schemas.openxmlformats.org/officeDocument/2006/relationships/hyperlink" Target="https://x.com/poznan_stat" TargetMode="External"/><Relationship Id="rId54" Type="http://schemas.openxmlformats.org/officeDocument/2006/relationships/hyperlink" Target="https://stat.gov.pl/metainformacje/slownik-pojec/pojecia-stosowane-w-statystyce-publicznej/945,pojecie.html" TargetMode="External"/><Relationship Id="rId62" Type="http://schemas.openxmlformats.org/officeDocument/2006/relationships/hyperlink" Target="https://stat.gov.pl/metainformacje/slownik-pojec/pojecia-stosowane-w-statystyce-publicznej/2389,pojecie.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3.xml"/><Relationship Id="rId49" Type="http://schemas.openxmlformats.org/officeDocument/2006/relationships/hyperlink" Target="https://stat.gov.pl/metainformacje/slownik-pojec/pojecia-stosowane-w-statystyce-publicznej/2958,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image" Target="media/image28.png"/><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bdl.stat.gov.pl/BDL/start" TargetMode="External"/><Relationship Id="rId65" Type="http://schemas.openxmlformats.org/officeDocument/2006/relationships/hyperlink" Target="https://stat.gov.pl/metainformacje/slownik-pojec/pojecia-stosowane-w-statystyce-publicznej/3763,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hyperlink" Target="http://poznan.stat.gov.pl/" TargetMode="External"/><Relationship Id="rId34" Type="http://schemas.openxmlformats.org/officeDocument/2006/relationships/image" Target="media/image24.emf"/><Relationship Id="rId50" Type="http://schemas.openxmlformats.org/officeDocument/2006/relationships/hyperlink" Target="https://stat.gov.pl/metainformacje/slownik-pojec/pojecia-stosowane-w-statystyce-publicznej/2389,pojecie.html" TargetMode="External"/><Relationship Id="rId55" Type="http://schemas.openxmlformats.org/officeDocument/2006/relationships/hyperlink" Target="https://stat.gov.pl/metainformacje/slownik-pojec/pojecia-stosowane-w-statystyce-publicznej/22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D378A217-987C-47D8-8954-293E0CD9FE98}">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6F772290-6A20-4800-AB89-B5DA5C42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10004</Words>
  <Characters>60026</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lipcu 2025 r.</vt:lpstr>
    </vt:vector>
  </TitlesOfParts>
  <Company/>
  <LinksUpToDate>false</LinksUpToDate>
  <CharactersWithSpaces>69891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lipcu 2025 r.</dc:title>
  <dc:subject/>
  <dc:creator>US Poznań</dc:creator>
  <cp:keywords/>
  <dc:description/>
  <cp:revision>7</cp:revision>
  <cp:lastPrinted>2025-09-01T10:27:00Z</cp:lastPrinted>
  <dcterms:created xsi:type="dcterms:W3CDTF">2025-09-01T09:44:00Z</dcterms:created>
  <dcterms:modified xsi:type="dcterms:W3CDTF">2025-09-01T10:28:00Z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