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040CF" w14:textId="2F41F300" w:rsidR="00A619B7" w:rsidRDefault="004E43BB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Wyniki finansowe przedsiębiorstw niefinansowych </w:t>
      </w:r>
      <w:r>
        <w:rPr>
          <w:shd w:val="clear" w:color="auto" w:fill="FFFFFF"/>
        </w:rPr>
        <w:br/>
        <w:t xml:space="preserve">w województwie zachodniopomorskim w </w:t>
      </w:r>
      <w:r w:rsidR="00DC4293">
        <w:rPr>
          <w:shd w:val="clear" w:color="auto" w:fill="FFFFFF"/>
        </w:rPr>
        <w:t xml:space="preserve">2025 </w:t>
      </w:r>
      <w:r>
        <w:rPr>
          <w:shd w:val="clear" w:color="auto" w:fill="FFFFFF"/>
        </w:rPr>
        <w:t>r</w:t>
      </w:r>
      <w:r w:rsidR="007039A4">
        <w:rPr>
          <w:shd w:val="clear" w:color="auto" w:fill="FFFFFF"/>
        </w:rPr>
        <w:t>.</w:t>
      </w:r>
    </w:p>
    <w:p w14:paraId="7DBD1904" w14:textId="77777777" w:rsidR="00E44E5C" w:rsidRDefault="00E44E5C" w:rsidP="00074DD8">
      <w:pPr>
        <w:pStyle w:val="tytuinformacji"/>
        <w:rPr>
          <w:shd w:val="clear" w:color="auto" w:fill="FFFFFF"/>
        </w:rPr>
      </w:pPr>
    </w:p>
    <w:p w14:paraId="55BC0305" w14:textId="0CB3940D" w:rsidR="00D05070" w:rsidRPr="00D05070" w:rsidRDefault="004558E8" w:rsidP="00D05070">
      <w:pPr>
        <w:pStyle w:val="Lead"/>
        <w:spacing w:line="240" w:lineRule="exact"/>
      </w:pPr>
      <w:r w:rsidRPr="007039A4">
        <w:rPr>
          <w:color w:val="FF0000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45E94D3" wp14:editId="3A70993D">
                <wp:simplePos x="0" y="0"/>
                <wp:positionH relativeFrom="margin">
                  <wp:align>left</wp:align>
                </wp:positionH>
                <wp:positionV relativeFrom="paragraph">
                  <wp:posOffset>215489</wp:posOffset>
                </wp:positionV>
                <wp:extent cx="1872000" cy="1043940"/>
                <wp:effectExtent l="0" t="0" r="0" b="3810"/>
                <wp:wrapSquare wrapText="bothSides"/>
                <wp:docPr id="20" name="Pole tekstowe 2" descr="Opis wskaźnika&#10;&#10;Wzrost wartości aktywów obrotowych r/r o 7,5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000" cy="10439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922C8" w14:textId="6B21607E" w:rsidR="00A05623" w:rsidRPr="008B25D9" w:rsidRDefault="002E3551" w:rsidP="00B14DF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-170"/>
                              <w:jc w:val="both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4DFB">
                              <w:rPr>
                                <w:rStyle w:val="IkonawskanikaZnak"/>
                                <w:color w:val="FFFFFF" w:themeColor="background1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DE0E13" w:rsidRPr="008B25D9">
                              <w:rPr>
                                <w:rStyle w:val="IkonawskanikaZnak"/>
                                <w:color w:val="FFFFFF" w:themeColor="background1"/>
                              </w:rPr>
                              <w:t xml:space="preserve"> </w:t>
                            </w:r>
                            <w:r w:rsidR="00A455E3" w:rsidRPr="008B25D9">
                              <w:rPr>
                                <w:rStyle w:val="IkonawskanikaZnak"/>
                                <w:color w:val="FFFFFF" w:themeColor="background1"/>
                              </w:rPr>
                              <w:t>7,5</w:t>
                            </w:r>
                            <w:r w:rsidR="00A05623" w:rsidRPr="008B25D9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08F83D5C" w14:textId="75554BB8" w:rsidR="00A05623" w:rsidRPr="00B14DFB" w:rsidRDefault="00E4610F" w:rsidP="004730B3">
                            <w:pPr>
                              <w:pStyle w:val="tekstnaniebieskimtle"/>
                              <w:ind w:left="-113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B14DFB">
                              <w:rPr>
                                <w:color w:val="FFFFFF" w:themeColor="background1"/>
                              </w:rPr>
                              <w:t>Wzrost wartości aktywów obrotowych</w:t>
                            </w:r>
                            <w:r w:rsidR="005C5E2E" w:rsidRPr="00B14DFB">
                              <w:rPr>
                                <w:color w:val="FFFFFF" w:themeColor="background1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E94D3" id="Pole tekstowe 2" o:spid="_x0000_s1026" alt="Opis wskaźnika&#10;&#10;Wzrost wartości aktywów obrotowych r/r o 7,5%" style="position:absolute;margin-left:0;margin-top:16.95pt;width:147.4pt;height:82.2pt;z-index:2517606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" fillcolor="#001d77" stroked="f">
                <v:stroke joinstyle="miter"/>
                <v:textbox>
                  <w:txbxContent>
                    <w:p w14:paraId="763922C8" w14:textId="6B21607E" w:rsidR="00A05623" w:rsidRPr="008B25D9" w:rsidRDefault="002E3551" w:rsidP="00B14DF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-170"/>
                        <w:jc w:val="both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4DFB">
                        <w:rPr>
                          <w:rStyle w:val="IkonawskanikaZnak"/>
                          <w:color w:val="FFFFFF" w:themeColor="background1"/>
                          <w:sz w:val="72"/>
                          <w:szCs w:val="72"/>
                        </w:rPr>
                        <w:sym w:font="Wingdings" w:char="F0F1"/>
                      </w:r>
                      <w:r w:rsidR="00DE0E13" w:rsidRPr="008B25D9">
                        <w:rPr>
                          <w:rStyle w:val="IkonawskanikaZnak"/>
                          <w:color w:val="FFFFFF" w:themeColor="background1"/>
                        </w:rPr>
                        <w:t xml:space="preserve"> </w:t>
                      </w:r>
                      <w:r w:rsidR="00A455E3" w:rsidRPr="008B25D9">
                        <w:rPr>
                          <w:rStyle w:val="IkonawskanikaZnak"/>
                          <w:color w:val="FFFFFF" w:themeColor="background1"/>
                        </w:rPr>
                        <w:t>7,5</w:t>
                      </w:r>
                      <w:r w:rsidR="00A05623" w:rsidRPr="008B25D9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08F83D5C" w14:textId="75554BB8" w:rsidR="00A05623" w:rsidRPr="00B14DFB" w:rsidRDefault="00E4610F" w:rsidP="004730B3">
                      <w:pPr>
                        <w:pStyle w:val="tekstnaniebieskimtle"/>
                        <w:ind w:left="-113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B14DFB">
                        <w:rPr>
                          <w:color w:val="FFFFFF" w:themeColor="background1"/>
                        </w:rPr>
                        <w:t>Wzrost wartości aktywów obrotowych</w:t>
                      </w:r>
                      <w:r w:rsidR="005C5E2E" w:rsidRPr="00B14DFB">
                        <w:rPr>
                          <w:color w:val="FFFFFF" w:themeColor="background1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64834" w:rsidRPr="00B64834">
        <w:t xml:space="preserve">W </w:t>
      </w:r>
      <w:r w:rsidR="00FD2691" w:rsidRPr="00B64834">
        <w:t>202</w:t>
      </w:r>
      <w:r w:rsidR="001171AB">
        <w:t>5</w:t>
      </w:r>
      <w:r w:rsidR="00FD2691">
        <w:t xml:space="preserve"> </w:t>
      </w:r>
      <w:r w:rsidR="008A41F1">
        <w:t xml:space="preserve">r. </w:t>
      </w:r>
      <w:r w:rsidR="00A455E3">
        <w:t>dla badanych przedsiębiorstw niefinansowych odnotowano wyższą</w:t>
      </w:r>
      <w:r w:rsidR="00A455E3">
        <w:rPr>
          <w:spacing w:val="-4"/>
        </w:rPr>
        <w:t xml:space="preserve"> wartość aktywów obrotowych</w:t>
      </w:r>
      <w:r w:rsidR="00A8721E">
        <w:rPr>
          <w:spacing w:val="-4"/>
        </w:rPr>
        <w:t xml:space="preserve"> </w:t>
      </w:r>
      <w:r w:rsidR="00F2417F">
        <w:rPr>
          <w:spacing w:val="-4"/>
        </w:rPr>
        <w:br/>
      </w:r>
      <w:r w:rsidR="00A8721E">
        <w:rPr>
          <w:spacing w:val="-4"/>
        </w:rPr>
        <w:t xml:space="preserve">i </w:t>
      </w:r>
      <w:r w:rsidR="007639B7">
        <w:rPr>
          <w:spacing w:val="-4"/>
        </w:rPr>
        <w:t>zobowiązań krótkoterminowych. W</w:t>
      </w:r>
      <w:r w:rsidR="00A455E3">
        <w:rPr>
          <w:spacing w:val="-4"/>
        </w:rPr>
        <w:t xml:space="preserve">ykazano niższe zobowiązania długoterminowe. </w:t>
      </w:r>
      <w:r w:rsidR="00A455E3">
        <w:t>P</w:t>
      </w:r>
      <w:r w:rsidR="005C5E2E">
        <w:t xml:space="preserve">omimo wzrostu przychodów ogółem </w:t>
      </w:r>
      <w:r w:rsidR="00FD791A">
        <w:t>wynik finanso</w:t>
      </w:r>
      <w:r w:rsidR="00E4610F">
        <w:t>w</w:t>
      </w:r>
      <w:r w:rsidR="001171AB">
        <w:t>y</w:t>
      </w:r>
      <w:r w:rsidR="00FD791A">
        <w:t xml:space="preserve"> </w:t>
      </w:r>
      <w:r w:rsidR="001171AB">
        <w:t xml:space="preserve">netto </w:t>
      </w:r>
      <w:r w:rsidR="007376CF">
        <w:t xml:space="preserve">był </w:t>
      </w:r>
      <w:r w:rsidR="001171AB">
        <w:t xml:space="preserve">niższy </w:t>
      </w:r>
      <w:r w:rsidR="007376CF">
        <w:t xml:space="preserve">od </w:t>
      </w:r>
      <w:r w:rsidR="001171AB">
        <w:t xml:space="preserve">uzyskanego </w:t>
      </w:r>
      <w:r w:rsidR="007376CF">
        <w:t>rok wcześniej. Pogorszeniu uległy wskaźniki ekonomiczno-finansowe</w:t>
      </w:r>
      <w:r w:rsidR="008A41F1" w:rsidRPr="003137C3">
        <w:rPr>
          <w:spacing w:val="-4"/>
        </w:rPr>
        <w:t>.</w:t>
      </w:r>
      <w:r w:rsidR="00A8721E">
        <w:rPr>
          <w:spacing w:val="-4"/>
        </w:rPr>
        <w:t xml:space="preserve"> </w:t>
      </w:r>
      <w:r w:rsidR="005C5E2E">
        <w:rPr>
          <w:spacing w:val="-4"/>
        </w:rPr>
        <w:t xml:space="preserve">Zmniejszyła się </w:t>
      </w:r>
      <w:r w:rsidR="005C5E2E">
        <w:t>w</w:t>
      </w:r>
      <w:r w:rsidR="008A41F1">
        <w:t>artość nakładów inwestycyjnych</w:t>
      </w:r>
      <w:r w:rsidR="0036775F">
        <w:t>.</w:t>
      </w:r>
      <w:r w:rsidR="00FD3CE9">
        <w:t xml:space="preserve"> </w:t>
      </w:r>
    </w:p>
    <w:p w14:paraId="50347440" w14:textId="77777777" w:rsidR="008826DE" w:rsidRDefault="008826DE" w:rsidP="008826DE">
      <w:pPr>
        <w:rPr>
          <w:shd w:val="clear" w:color="auto" w:fill="FFFFFF"/>
        </w:rPr>
      </w:pPr>
    </w:p>
    <w:p w14:paraId="075CADF8" w14:textId="7F660E57" w:rsidR="00B64834" w:rsidRDefault="0074543D" w:rsidP="00B33788">
      <w:r w:rsidRPr="00E430C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0449A0AB" wp14:editId="3BDA7990">
                <wp:simplePos x="0" y="0"/>
                <wp:positionH relativeFrom="page">
                  <wp:posOffset>5649595</wp:posOffset>
                </wp:positionH>
                <wp:positionV relativeFrom="paragraph">
                  <wp:posOffset>852805</wp:posOffset>
                </wp:positionV>
                <wp:extent cx="1898650" cy="1501140"/>
                <wp:effectExtent l="0" t="0" r="0" b="3810"/>
                <wp:wrapTight wrapText="bothSides">
                  <wp:wrapPolygon edited="0">
                    <wp:start x="650" y="0"/>
                    <wp:lineTo x="650" y="21381"/>
                    <wp:lineTo x="20805" y="21381"/>
                    <wp:lineTo x="20805" y="0"/>
                    <wp:lineTo x="650" y="0"/>
                  </wp:wrapPolygon>
                </wp:wrapTight>
                <wp:docPr id="11" name="Pole tekstowe 2" descr="Wśród badanych przedsiębiorstw 76,7% przychodów &#10;ogółem stanowiły przychody uzyskane przez przedsiębiorstwa prowadzące działalność w zakresie przetwórstwa przemysłowego oraz handlu; &#10;napraw pojazdów samochodowych (wobec 75,1% przed rokiem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65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D50FD" w14:textId="2EB337E7" w:rsidR="00A05623" w:rsidRPr="00C717E2" w:rsidRDefault="00A05623" w:rsidP="00B33788">
                            <w:pPr>
                              <w:pStyle w:val="tekstzboku"/>
                            </w:pPr>
                            <w:r w:rsidRPr="00F2417F">
                              <w:rPr>
                                <w:spacing w:val="-2"/>
                              </w:rPr>
                              <w:t>Wśród badanych przedsiębiorstw</w:t>
                            </w:r>
                            <w:r w:rsidRPr="00C717E2">
                              <w:t xml:space="preserve"> </w:t>
                            </w:r>
                            <w:r w:rsidR="00AD4A57">
                              <w:t>76,7</w:t>
                            </w:r>
                            <w:r w:rsidRPr="00C717E2">
                              <w:t xml:space="preserve">% przychodów ogółem stanowiły przychody uzyskane przez przedsiębiorstwa prowadzące działalność w zakresie </w:t>
                            </w:r>
                            <w:r w:rsidR="00A25CD3">
                              <w:t>przetwórstwa przemysłowego</w:t>
                            </w:r>
                            <w:r w:rsidR="00A25CD3" w:rsidRPr="00C717E2">
                              <w:t xml:space="preserve"> </w:t>
                            </w:r>
                            <w:r w:rsidRPr="00C717E2">
                              <w:t xml:space="preserve">oraz handlu; </w:t>
                            </w:r>
                            <w:r w:rsidRPr="00B43897">
                              <w:rPr>
                                <w:spacing w:val="-2"/>
                              </w:rPr>
                              <w:t xml:space="preserve">napraw pojazdów samochodowych (wobec </w:t>
                            </w:r>
                            <w:r w:rsidR="00AD4A57">
                              <w:rPr>
                                <w:spacing w:val="-2"/>
                              </w:rPr>
                              <w:t>75,1</w:t>
                            </w:r>
                            <w:r w:rsidRPr="00B43897">
                              <w:rPr>
                                <w:spacing w:val="-2"/>
                              </w:rPr>
                              <w:t>% przed rokiem)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9A0A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śród badanych przedsiębiorstw 76,7% przychodów &#10;ogółem stanowiły przychody uzyskane przez przedsiębiorstwa prowadzące działalność w zakresie przetwórstwa przemysłowego oraz handlu; &#10;napraw pojazdów samochodowych (wobec 75,1% przed rokiem)" style="position:absolute;margin-left:444.85pt;margin-top:67.15pt;width:149.5pt;height:118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" filled="f" stroked="f">
                <v:textbox>
                  <w:txbxContent>
                    <w:p w14:paraId="332D50FD" w14:textId="2EB337E7" w:rsidR="00A05623" w:rsidRPr="00C717E2" w:rsidRDefault="00A05623" w:rsidP="00B33788">
                      <w:pPr>
                        <w:pStyle w:val="tekstzboku"/>
                      </w:pPr>
                      <w:r w:rsidRPr="00F2417F">
                        <w:rPr>
                          <w:spacing w:val="-2"/>
                        </w:rPr>
                        <w:t>Wśród badanych przedsiębiorstw</w:t>
                      </w:r>
                      <w:r w:rsidRPr="00C717E2">
                        <w:t xml:space="preserve"> </w:t>
                      </w:r>
                      <w:r w:rsidR="00AD4A57">
                        <w:t>76,7</w:t>
                      </w:r>
                      <w:r w:rsidRPr="00C717E2">
                        <w:t xml:space="preserve">% przychodów ogółem stanowiły przychody uzyskane przez przedsiębiorstwa prowadzące działalność w zakresie </w:t>
                      </w:r>
                      <w:r w:rsidR="00A25CD3">
                        <w:t>przetwórstwa przemysłowego</w:t>
                      </w:r>
                      <w:r w:rsidR="00A25CD3" w:rsidRPr="00C717E2">
                        <w:t xml:space="preserve"> </w:t>
                      </w:r>
                      <w:r w:rsidRPr="00C717E2">
                        <w:t xml:space="preserve">oraz handlu; </w:t>
                      </w:r>
                      <w:r w:rsidRPr="00B43897">
                        <w:rPr>
                          <w:spacing w:val="-2"/>
                        </w:rPr>
                        <w:t xml:space="preserve">napraw pojazdów samochodowych (wobec </w:t>
                      </w:r>
                      <w:r w:rsidR="00AD4A57">
                        <w:rPr>
                          <w:spacing w:val="-2"/>
                        </w:rPr>
                        <w:t>75,1</w:t>
                      </w:r>
                      <w:r w:rsidRPr="00B43897">
                        <w:rPr>
                          <w:spacing w:val="-2"/>
                        </w:rPr>
                        <w:t>% przed rokiem)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826DE" w:rsidRPr="00E231AB">
        <w:rPr>
          <w:shd w:val="clear" w:color="auto" w:fill="FFFFFF"/>
        </w:rPr>
        <w:br/>
      </w:r>
      <w:r w:rsidR="00B64834" w:rsidRPr="00B64834">
        <w:t xml:space="preserve">W </w:t>
      </w:r>
      <w:r w:rsidR="00FD2691" w:rsidRPr="00B64834">
        <w:t>202</w:t>
      </w:r>
      <w:r w:rsidR="00457689">
        <w:t>5</w:t>
      </w:r>
      <w:r w:rsidR="00FD2691" w:rsidRPr="00B64834">
        <w:t xml:space="preserve"> </w:t>
      </w:r>
      <w:r w:rsidR="00B64834" w:rsidRPr="00B64834">
        <w:t xml:space="preserve">r. badaniem wyników finansowych objęto </w:t>
      </w:r>
      <w:r w:rsidR="00E06AC0">
        <w:t>1 8</w:t>
      </w:r>
      <w:r w:rsidR="00457689">
        <w:t>17</w:t>
      </w:r>
      <w:r w:rsidR="000831F3" w:rsidRPr="00B64834">
        <w:t xml:space="preserve"> </w:t>
      </w:r>
      <w:r w:rsidR="00B64834" w:rsidRPr="00B64834">
        <w:t>przedsiębiorstw niefinansowych</w:t>
      </w:r>
      <w:r w:rsidR="007039A4">
        <w:rPr>
          <w:rStyle w:val="Odwoanieprzypisudolnego"/>
        </w:rPr>
        <w:footnoteReference w:id="1"/>
      </w:r>
      <w:r w:rsidR="00B64834" w:rsidRPr="00B64834">
        <w:t xml:space="preserve">, </w:t>
      </w:r>
      <w:r w:rsidR="003137C3">
        <w:br/>
      </w:r>
      <w:r w:rsidR="00B64834" w:rsidRPr="00B64834">
        <w:t>tj. o</w:t>
      </w:r>
      <w:r w:rsidR="003137C3">
        <w:t xml:space="preserve"> </w:t>
      </w:r>
      <w:r w:rsidR="00E06AC0">
        <w:t>1</w:t>
      </w:r>
      <w:r w:rsidR="00457689">
        <w:t>1</w:t>
      </w:r>
      <w:r w:rsidR="00E06AC0" w:rsidRPr="00B64834">
        <w:t xml:space="preserve"> </w:t>
      </w:r>
      <w:r w:rsidR="00457689">
        <w:t>więcej</w:t>
      </w:r>
      <w:r w:rsidR="00457689" w:rsidRPr="00B64834">
        <w:t xml:space="preserve"> </w:t>
      </w:r>
      <w:r w:rsidR="00B64834" w:rsidRPr="00B64834">
        <w:t xml:space="preserve">niż w </w:t>
      </w:r>
      <w:r w:rsidR="00457689" w:rsidRPr="00B64834">
        <w:t>202</w:t>
      </w:r>
      <w:r w:rsidR="00457689">
        <w:t>4</w:t>
      </w:r>
      <w:r w:rsidR="00457689" w:rsidRPr="00B64834">
        <w:t xml:space="preserve"> </w:t>
      </w:r>
      <w:r w:rsidR="00B64834" w:rsidRPr="00B64834">
        <w:t xml:space="preserve">r. Wśród podmiotów przeważały jednostki </w:t>
      </w:r>
      <w:r w:rsidR="000831F3">
        <w:t>średnie (o liczbie pracujących 50</w:t>
      </w:r>
      <w:r w:rsidR="00B33788">
        <w:t>–</w:t>
      </w:r>
      <w:r w:rsidR="000831F3">
        <w:t xml:space="preserve">249 osób) </w:t>
      </w:r>
      <w:r w:rsidR="00B64834" w:rsidRPr="00B64834">
        <w:t xml:space="preserve">i stanowiły one </w:t>
      </w:r>
      <w:r w:rsidR="00457689">
        <w:t>65,5</w:t>
      </w:r>
      <w:r w:rsidR="00B64834" w:rsidRPr="00B64834">
        <w:t>% badanej grupy. Udz</w:t>
      </w:r>
      <w:r w:rsidR="00B64834">
        <w:t xml:space="preserve">iał podmiotów </w:t>
      </w:r>
      <w:r w:rsidR="000831F3">
        <w:t xml:space="preserve">dużych </w:t>
      </w:r>
      <w:r w:rsidR="00B64834">
        <w:t>o liczbie pracują</w:t>
      </w:r>
      <w:r w:rsidR="00B64834" w:rsidRPr="00B64834">
        <w:t xml:space="preserve">cych </w:t>
      </w:r>
      <w:r w:rsidR="000831F3">
        <w:t>2</w:t>
      </w:r>
      <w:r w:rsidR="00B64834" w:rsidRPr="00B64834">
        <w:t xml:space="preserve">50 osób i więcej wyniósł </w:t>
      </w:r>
      <w:r w:rsidR="00457689">
        <w:t>34,5</w:t>
      </w:r>
      <w:r w:rsidR="00B64834" w:rsidRPr="00B64834">
        <w:t>%.</w:t>
      </w:r>
    </w:p>
    <w:p w14:paraId="098ABA18" w14:textId="47766B3E" w:rsidR="00897258" w:rsidRDefault="00B64834" w:rsidP="00F2417F">
      <w:r w:rsidRPr="00B43897">
        <w:rPr>
          <w:spacing w:val="-2"/>
        </w:rPr>
        <w:t xml:space="preserve">Przychody z całokształtu działalności badanych podmiotów w </w:t>
      </w:r>
      <w:r w:rsidR="00457689" w:rsidRPr="00B43897">
        <w:rPr>
          <w:spacing w:val="-2"/>
        </w:rPr>
        <w:t>202</w:t>
      </w:r>
      <w:r w:rsidR="00457689">
        <w:rPr>
          <w:spacing w:val="-2"/>
        </w:rPr>
        <w:t>5</w:t>
      </w:r>
      <w:r w:rsidR="00457689" w:rsidRPr="00B43897">
        <w:rPr>
          <w:spacing w:val="-2"/>
        </w:rPr>
        <w:t xml:space="preserve"> </w:t>
      </w:r>
      <w:r w:rsidRPr="00B43897">
        <w:rPr>
          <w:spacing w:val="-2"/>
        </w:rPr>
        <w:t xml:space="preserve">r. wyniosły </w:t>
      </w:r>
      <w:r w:rsidR="00457689">
        <w:rPr>
          <w:rFonts w:cs="Arial"/>
          <w:color w:val="000000" w:themeColor="text1"/>
          <w:spacing w:val="-2"/>
          <w:szCs w:val="19"/>
        </w:rPr>
        <w:t>129 660,6</w:t>
      </w:r>
      <w:r w:rsidR="000C106F" w:rsidRPr="00B43897">
        <w:rPr>
          <w:spacing w:val="-2"/>
        </w:rPr>
        <w:t xml:space="preserve"> </w:t>
      </w:r>
      <w:r w:rsidRPr="00B43897">
        <w:rPr>
          <w:spacing w:val="-2"/>
        </w:rPr>
        <w:t>mln zł</w:t>
      </w:r>
      <w:r>
        <w:t xml:space="preserve"> (o </w:t>
      </w:r>
      <w:r w:rsidR="00457689">
        <w:t>13,1% więcej</w:t>
      </w:r>
      <w:r w:rsidR="007C0A8F">
        <w:t xml:space="preserve"> </w:t>
      </w:r>
      <w:r>
        <w:t xml:space="preserve">niż przed rokiem), a koszty ich uzyskania – </w:t>
      </w:r>
      <w:r w:rsidR="00457689" w:rsidRPr="00457689">
        <w:rPr>
          <w:rFonts w:cs="Arial"/>
          <w:color w:val="000000" w:themeColor="text1"/>
          <w:szCs w:val="19"/>
        </w:rPr>
        <w:t>125</w:t>
      </w:r>
      <w:r w:rsidR="00457689">
        <w:rPr>
          <w:rFonts w:cs="Arial"/>
          <w:color w:val="000000" w:themeColor="text1"/>
          <w:szCs w:val="19"/>
        </w:rPr>
        <w:t xml:space="preserve"> </w:t>
      </w:r>
      <w:r w:rsidR="00457689" w:rsidRPr="00457689">
        <w:rPr>
          <w:rFonts w:cs="Arial"/>
          <w:color w:val="000000" w:themeColor="text1"/>
          <w:szCs w:val="19"/>
        </w:rPr>
        <w:t>429,5</w:t>
      </w:r>
      <w:r w:rsidR="007807F2">
        <w:rPr>
          <w:rFonts w:cs="Arial"/>
          <w:color w:val="000000" w:themeColor="text1"/>
          <w:szCs w:val="19"/>
        </w:rPr>
        <w:t xml:space="preserve"> </w:t>
      </w:r>
      <w:r>
        <w:t xml:space="preserve">mln zł (o </w:t>
      </w:r>
      <w:r w:rsidR="00457689">
        <w:t>14,1% więcej</w:t>
      </w:r>
      <w:r>
        <w:t xml:space="preserve">). Nieznacznie </w:t>
      </w:r>
      <w:r w:rsidR="000C106F">
        <w:t>zwiększył się</w:t>
      </w:r>
      <w:r>
        <w:t xml:space="preserve"> wskaźnik poziomu kosztów (z </w:t>
      </w:r>
      <w:r w:rsidR="00457689">
        <w:t>95,9</w:t>
      </w:r>
      <w:r>
        <w:t xml:space="preserve">% w </w:t>
      </w:r>
      <w:r w:rsidR="00457689">
        <w:t xml:space="preserve">2024 </w:t>
      </w:r>
      <w:r>
        <w:t xml:space="preserve">r. do </w:t>
      </w:r>
      <w:r w:rsidR="00457689">
        <w:t>96,7</w:t>
      </w:r>
      <w:r>
        <w:t xml:space="preserve">%). </w:t>
      </w:r>
      <w:r w:rsidR="0050238F">
        <w:t xml:space="preserve">Wyższe </w:t>
      </w:r>
      <w:r>
        <w:t xml:space="preserve">niż </w:t>
      </w:r>
      <w:r w:rsidRPr="003137C3">
        <w:rPr>
          <w:spacing w:val="-2"/>
        </w:rPr>
        <w:t>przed rokiem były przychody netto ze sprzedaży produktów, towarów i materiałów oraz koszty</w:t>
      </w:r>
      <w:r>
        <w:t xml:space="preserve"> tej działalności (odpowiednio o </w:t>
      </w:r>
      <w:r w:rsidR="0050238F">
        <w:t>12,1</w:t>
      </w:r>
      <w:r>
        <w:t xml:space="preserve">% i </w:t>
      </w:r>
      <w:r w:rsidR="00B00AD4">
        <w:t xml:space="preserve">o </w:t>
      </w:r>
      <w:r w:rsidR="0050238F">
        <w:t>12,9</w:t>
      </w:r>
      <w:r>
        <w:t xml:space="preserve">%). Poziom przychodów netto ze sprzedaży produktów, towarów i materiałów na eksport był o </w:t>
      </w:r>
      <w:r w:rsidR="0050238F">
        <w:t>8,8</w:t>
      </w:r>
      <w:r>
        <w:t xml:space="preserve">% </w:t>
      </w:r>
      <w:r w:rsidR="0050238F">
        <w:t xml:space="preserve">wyższy </w:t>
      </w:r>
      <w:r>
        <w:t xml:space="preserve">niż w </w:t>
      </w:r>
      <w:r w:rsidR="0050238F">
        <w:t xml:space="preserve">2024 </w:t>
      </w:r>
      <w:r>
        <w:t xml:space="preserve">r. Udział tych </w:t>
      </w:r>
      <w:r w:rsidRPr="00AF59A5">
        <w:rPr>
          <w:spacing w:val="-2"/>
        </w:rPr>
        <w:t>przychodów w przychodach netto ze sprzedaży produktów, towarów i materiałów ogółu badanych</w:t>
      </w:r>
      <w:r>
        <w:t xml:space="preserve"> podmiotów </w:t>
      </w:r>
      <w:r w:rsidR="00575F81">
        <w:t xml:space="preserve">zmniejszył </w:t>
      </w:r>
      <w:r>
        <w:t xml:space="preserve">się z </w:t>
      </w:r>
      <w:r w:rsidR="0050238F">
        <w:t>31,0</w:t>
      </w:r>
      <w:r>
        <w:t xml:space="preserve">% do </w:t>
      </w:r>
      <w:r w:rsidR="0050238F">
        <w:t>30,1</w:t>
      </w:r>
      <w:r>
        <w:t>%.</w:t>
      </w:r>
    </w:p>
    <w:p w14:paraId="2A11EAA2" w14:textId="5381A1D1" w:rsidR="00B64834" w:rsidRDefault="00B33788" w:rsidP="00F2417F">
      <w:r w:rsidRPr="00B3378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43BD6A52" wp14:editId="4D6C9E01">
                <wp:simplePos x="0" y="0"/>
                <wp:positionH relativeFrom="page">
                  <wp:posOffset>5669915</wp:posOffset>
                </wp:positionH>
                <wp:positionV relativeFrom="paragraph">
                  <wp:posOffset>654685</wp:posOffset>
                </wp:positionV>
                <wp:extent cx="1877695" cy="804545"/>
                <wp:effectExtent l="0" t="0" r="0" b="0"/>
                <wp:wrapTight wrapText="bothSides">
                  <wp:wrapPolygon edited="0">
                    <wp:start x="657" y="0"/>
                    <wp:lineTo x="657" y="20969"/>
                    <wp:lineTo x="20818" y="20969"/>
                    <wp:lineTo x="20818" y="0"/>
                    <wp:lineTo x="657" y="0"/>
                  </wp:wrapPolygon>
                </wp:wrapTight>
                <wp:docPr id="13" name="Pole tekstowe 2" descr="W przetwórstwie przemysłowym zysk netto odnotowało 72,8% jednostek (przed rokiem – 68,3%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6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0568" w14:textId="54AE8A13" w:rsidR="004F49BF" w:rsidRPr="004F49BF" w:rsidRDefault="004F49BF" w:rsidP="00B33788">
                            <w:pPr>
                              <w:pStyle w:val="tekstzboku"/>
                            </w:pPr>
                            <w:r w:rsidRPr="00B43897">
                              <w:t xml:space="preserve">W przetwórstwie przemysłowym zysk netto </w:t>
                            </w:r>
                            <w:r w:rsidRPr="00B33788">
                              <w:t>odnotowało</w:t>
                            </w:r>
                            <w:r w:rsidRPr="00B43897">
                              <w:t xml:space="preserve"> </w:t>
                            </w:r>
                            <w:r w:rsidR="007639B7">
                              <w:t>72,8</w:t>
                            </w:r>
                            <w:r w:rsidRPr="00B43897">
                              <w:t xml:space="preserve">% jednostek (przed rokiem </w:t>
                            </w:r>
                            <w:r w:rsidR="00B33788">
                              <w:br/>
                            </w:r>
                            <w:r w:rsidRPr="00B43897">
                              <w:t xml:space="preserve">– </w:t>
                            </w:r>
                            <w:r w:rsidR="007639B7">
                              <w:t>68,3</w:t>
                            </w:r>
                            <w:r w:rsidRPr="00B43897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6A52" id="_x0000_s1028" type="#_x0000_t202" alt="W przetwórstwie przemysłowym zysk netto odnotowało 72,8% jednostek (przed rokiem – 68,3%)&#10;" style="position:absolute;margin-left:446.45pt;margin-top:51.55pt;width:147.85pt;height:63.3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" filled="f" stroked="f">
                <v:textbox>
                  <w:txbxContent>
                    <w:p w14:paraId="57950568" w14:textId="54AE8A13" w:rsidR="004F49BF" w:rsidRPr="004F49BF" w:rsidRDefault="004F49BF" w:rsidP="00B33788">
                      <w:pPr>
                        <w:pStyle w:val="tekstzboku"/>
                      </w:pPr>
                      <w:r w:rsidRPr="00B43897">
                        <w:t xml:space="preserve">W przetwórstwie przemysłowym zysk netto </w:t>
                      </w:r>
                      <w:r w:rsidRPr="00B33788">
                        <w:t>odnotowało</w:t>
                      </w:r>
                      <w:r w:rsidRPr="00B43897">
                        <w:t xml:space="preserve"> </w:t>
                      </w:r>
                      <w:r w:rsidR="007639B7">
                        <w:t>72,8</w:t>
                      </w:r>
                      <w:r w:rsidRPr="00B43897">
                        <w:t xml:space="preserve">% jednostek (przed rokiem </w:t>
                      </w:r>
                      <w:r w:rsidR="00B33788">
                        <w:br/>
                      </w:r>
                      <w:r w:rsidRPr="00B43897">
                        <w:t xml:space="preserve">– </w:t>
                      </w:r>
                      <w:r w:rsidR="007639B7">
                        <w:t>68,3</w:t>
                      </w:r>
                      <w:r w:rsidRPr="00B43897"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64834">
        <w:t xml:space="preserve">Wynik finansowy </w:t>
      </w:r>
      <w:r w:rsidR="00A51EFC">
        <w:t xml:space="preserve">na </w:t>
      </w:r>
      <w:r w:rsidR="00B64834">
        <w:t xml:space="preserve">sprzedaży produktów, towarów i materiałów wyniósł </w:t>
      </w:r>
      <w:r w:rsidR="0050238F">
        <w:rPr>
          <w:rFonts w:cs="Arial"/>
          <w:color w:val="000000" w:themeColor="text1"/>
          <w:szCs w:val="19"/>
        </w:rPr>
        <w:t>3 793,0</w:t>
      </w:r>
      <w:r w:rsidR="00B64834">
        <w:t xml:space="preserve"> mln zł i był </w:t>
      </w:r>
      <w:r w:rsidR="00AF59A5">
        <w:br/>
      </w:r>
      <w:r w:rsidR="00B64834">
        <w:t>o</w:t>
      </w:r>
      <w:r w:rsidR="00AF59A5">
        <w:t xml:space="preserve"> </w:t>
      </w:r>
      <w:r w:rsidR="0050238F">
        <w:t xml:space="preserve">400,5 </w:t>
      </w:r>
      <w:r w:rsidR="001352BD">
        <w:t>mln</w:t>
      </w:r>
      <w:r w:rsidR="00B64834">
        <w:t xml:space="preserve"> zł </w:t>
      </w:r>
      <w:r w:rsidR="00CA3DE9">
        <w:t xml:space="preserve">niższy </w:t>
      </w:r>
      <w:r w:rsidR="00B64834">
        <w:t xml:space="preserve">niż w </w:t>
      </w:r>
      <w:r w:rsidR="0050238F">
        <w:t xml:space="preserve">2024 </w:t>
      </w:r>
      <w:r w:rsidR="00B64834">
        <w:t xml:space="preserve">r. Wynik finansowy z pozostałej działalności operacyjnej </w:t>
      </w:r>
      <w:r w:rsidR="00AF59A5">
        <w:br/>
      </w:r>
      <w:r w:rsidR="00B64834">
        <w:t>w</w:t>
      </w:r>
      <w:r w:rsidR="00AF59A5">
        <w:t xml:space="preserve"> </w:t>
      </w:r>
      <w:r w:rsidR="00B64834">
        <w:t>s</w:t>
      </w:r>
      <w:r w:rsidR="00B64834" w:rsidRPr="00F2417F">
        <w:rPr>
          <w:spacing w:val="-2"/>
        </w:rPr>
        <w:t xml:space="preserve">kali roku </w:t>
      </w:r>
      <w:r w:rsidR="00F76BCA" w:rsidRPr="00F2417F">
        <w:rPr>
          <w:spacing w:val="-2"/>
        </w:rPr>
        <w:t xml:space="preserve">zwiększył </w:t>
      </w:r>
      <w:r w:rsidR="003F3A5A" w:rsidRPr="00F2417F">
        <w:rPr>
          <w:spacing w:val="-2"/>
        </w:rPr>
        <w:t>się</w:t>
      </w:r>
      <w:r w:rsidR="00B64834" w:rsidRPr="00F2417F">
        <w:rPr>
          <w:spacing w:val="-2"/>
        </w:rPr>
        <w:t xml:space="preserve"> </w:t>
      </w:r>
      <w:r w:rsidR="0050238F" w:rsidRPr="00F2417F">
        <w:rPr>
          <w:spacing w:val="-2"/>
        </w:rPr>
        <w:t>niemal o połowę</w:t>
      </w:r>
      <w:r w:rsidR="00B64834" w:rsidRPr="00F2417F">
        <w:rPr>
          <w:spacing w:val="-2"/>
        </w:rPr>
        <w:t xml:space="preserve"> do </w:t>
      </w:r>
      <w:r w:rsidR="0050238F" w:rsidRPr="00F2417F">
        <w:rPr>
          <w:spacing w:val="-2"/>
        </w:rPr>
        <w:t>1 165,9</w:t>
      </w:r>
      <w:r w:rsidR="00B64834" w:rsidRPr="00F2417F">
        <w:rPr>
          <w:spacing w:val="-2"/>
        </w:rPr>
        <w:t xml:space="preserve"> mln zł. Wynik na operacjach finansowych</w:t>
      </w:r>
      <w:r w:rsidR="00B64834" w:rsidRPr="0074543D">
        <w:t xml:space="preserve"> </w:t>
      </w:r>
      <w:r w:rsidR="00F76BCA">
        <w:t xml:space="preserve">obniżył się </w:t>
      </w:r>
      <w:r w:rsidR="00B64834" w:rsidRPr="0074543D">
        <w:t xml:space="preserve">do </w:t>
      </w:r>
      <w:r w:rsidR="00F76BCA">
        <w:t>min</w:t>
      </w:r>
      <w:r w:rsidR="00BF577B">
        <w:t>u</w:t>
      </w:r>
      <w:r w:rsidR="00F76BCA">
        <w:t xml:space="preserve">s </w:t>
      </w:r>
      <w:r w:rsidR="0050238F">
        <w:t>727,8</w:t>
      </w:r>
      <w:r w:rsidR="001352BD" w:rsidRPr="0074543D">
        <w:t xml:space="preserve"> </w:t>
      </w:r>
      <w:r w:rsidR="00B64834" w:rsidRPr="0074543D">
        <w:t xml:space="preserve">mln zł (wobec </w:t>
      </w:r>
      <w:r w:rsidR="0050238F">
        <w:t xml:space="preserve">minus 261,5 </w:t>
      </w:r>
      <w:r w:rsidR="00B64834" w:rsidRPr="0074543D">
        <w:t>mln zł w roku poprzednim</w:t>
      </w:r>
      <w:r w:rsidR="00B64834">
        <w:t>)</w:t>
      </w:r>
      <w:r w:rsidR="00712103">
        <w:t>.</w:t>
      </w:r>
    </w:p>
    <w:p w14:paraId="0C63205F" w14:textId="215F70BA" w:rsidR="00B64834" w:rsidRDefault="00B64834" w:rsidP="00F2417F">
      <w:r w:rsidRPr="00B33788">
        <w:t xml:space="preserve">Wynik finansowy brutto wyniósł </w:t>
      </w:r>
      <w:r w:rsidR="00DC4293">
        <w:t>4</w:t>
      </w:r>
      <w:r w:rsidR="007807F2">
        <w:t xml:space="preserve"> </w:t>
      </w:r>
      <w:r w:rsidR="00DC4293">
        <w:t>231,0</w:t>
      </w:r>
      <w:r w:rsidR="00DC4293" w:rsidRPr="00B33788">
        <w:t xml:space="preserve"> </w:t>
      </w:r>
      <w:r w:rsidRPr="00B33788">
        <w:t xml:space="preserve">mln zł (wobec </w:t>
      </w:r>
      <w:r w:rsidR="00DC4293" w:rsidRPr="00B33788">
        <w:t xml:space="preserve">4 721,4 </w:t>
      </w:r>
      <w:r w:rsidRPr="00B33788">
        <w:t xml:space="preserve">mln zł przed rokiem), a jego </w:t>
      </w:r>
      <w:r w:rsidR="007C1F4D" w:rsidRPr="00B33788">
        <w:br/>
      </w:r>
      <w:r w:rsidRPr="00B33788">
        <w:t xml:space="preserve">obciążenia ukształtowały się na poziomie </w:t>
      </w:r>
      <w:r w:rsidR="00DC4293">
        <w:t>927,1</w:t>
      </w:r>
      <w:r w:rsidRPr="00B33788">
        <w:t xml:space="preserve"> mln zł (wobec </w:t>
      </w:r>
      <w:r w:rsidR="00DC4293" w:rsidRPr="00B33788">
        <w:t>8</w:t>
      </w:r>
      <w:r w:rsidR="00DC4293">
        <w:t>21,1</w:t>
      </w:r>
      <w:r w:rsidR="00E72110" w:rsidRPr="00B33788">
        <w:t xml:space="preserve"> </w:t>
      </w:r>
      <w:r w:rsidRPr="00B33788">
        <w:t xml:space="preserve">mln zł). Wynik finansowy netto wyniósł </w:t>
      </w:r>
      <w:r w:rsidR="00DC4293">
        <w:t>3 303,9</w:t>
      </w:r>
      <w:r w:rsidRPr="00B33788">
        <w:t xml:space="preserve"> mln zł i był o </w:t>
      </w:r>
      <w:r w:rsidR="00DC4293">
        <w:t>15,7</w:t>
      </w:r>
      <w:r w:rsidRPr="00B33788">
        <w:t xml:space="preserve">% </w:t>
      </w:r>
      <w:r w:rsidR="00E72110" w:rsidRPr="00B33788">
        <w:t xml:space="preserve">niższy </w:t>
      </w:r>
      <w:r w:rsidRPr="00B33788">
        <w:t xml:space="preserve">niż w </w:t>
      </w:r>
      <w:r w:rsidR="00DC4293" w:rsidRPr="00B33788">
        <w:t>202</w:t>
      </w:r>
      <w:r w:rsidR="00DC4293">
        <w:t>4</w:t>
      </w:r>
      <w:r w:rsidR="00DC4293" w:rsidRPr="00B33788">
        <w:t xml:space="preserve"> </w:t>
      </w:r>
      <w:r w:rsidRPr="00B33788">
        <w:t xml:space="preserve">r. Zysk netto wyniósł </w:t>
      </w:r>
      <w:r w:rsidR="00DC4293">
        <w:t xml:space="preserve">5 378,5 </w:t>
      </w:r>
      <w:r w:rsidRPr="00B33788">
        <w:t xml:space="preserve">mln zł, tj. o </w:t>
      </w:r>
      <w:r w:rsidR="00DC4293" w:rsidRPr="00F2417F">
        <w:rPr>
          <w:spacing w:val="-2"/>
        </w:rPr>
        <w:t>0,6</w:t>
      </w:r>
      <w:r w:rsidRPr="00F2417F">
        <w:rPr>
          <w:spacing w:val="-2"/>
        </w:rPr>
        <w:t xml:space="preserve">% </w:t>
      </w:r>
      <w:r w:rsidR="00DE68E5" w:rsidRPr="00F2417F">
        <w:rPr>
          <w:spacing w:val="-2"/>
        </w:rPr>
        <w:t xml:space="preserve">mniej </w:t>
      </w:r>
      <w:r w:rsidRPr="00F2417F">
        <w:rPr>
          <w:spacing w:val="-2"/>
        </w:rPr>
        <w:t xml:space="preserve">od uzyskanego w roku poprzednim. Strata netto ukształtowała się na poziomie </w:t>
      </w:r>
      <w:r w:rsidR="00DC4293">
        <w:t>2 074,6</w:t>
      </w:r>
      <w:r w:rsidRPr="00B33788">
        <w:t xml:space="preserve"> mln zł i zwiększyła się o </w:t>
      </w:r>
      <w:r w:rsidR="00DC4293">
        <w:t>ponad</w:t>
      </w:r>
      <w:r w:rsidR="00DC4293" w:rsidRPr="00B33788">
        <w:t xml:space="preserve"> </w:t>
      </w:r>
      <w:r w:rsidR="0044434E" w:rsidRPr="00B33788">
        <w:t>jedną trzecią.</w:t>
      </w:r>
      <w:r w:rsidRPr="00B33788">
        <w:t xml:space="preserve"> </w:t>
      </w:r>
      <w:r w:rsidRPr="004A7ACD">
        <w:t xml:space="preserve">Zysk netto wykazało </w:t>
      </w:r>
      <w:r w:rsidR="004A7ACD" w:rsidRPr="007807F2">
        <w:t>75,0</w:t>
      </w:r>
      <w:r w:rsidRPr="004A7ACD">
        <w:t xml:space="preserve">% ogółu przedsiębiorstw (wobec </w:t>
      </w:r>
      <w:r w:rsidR="004A7ACD" w:rsidRPr="007807F2">
        <w:t>74,6</w:t>
      </w:r>
      <w:r w:rsidRPr="004A7ACD">
        <w:t>% przed rokiem).</w:t>
      </w:r>
      <w:r>
        <w:t xml:space="preserve"> </w:t>
      </w:r>
    </w:p>
    <w:p w14:paraId="51DD95FB" w14:textId="77777777" w:rsidR="007039A4" w:rsidRDefault="007039A4" w:rsidP="00B64834"/>
    <w:p w14:paraId="3CCFA43D" w14:textId="77777777" w:rsidR="00C16F88" w:rsidRPr="00454A82" w:rsidRDefault="008C04BC" w:rsidP="00624F14">
      <w:pPr>
        <w:pStyle w:val="tytuwykresu"/>
      </w:pPr>
      <w:r w:rsidRPr="00454A82">
        <w:lastRenderedPageBreak/>
        <w:t>Tablica 1. Podstawowe dane o badanych podmiotach</w:t>
      </w:r>
      <w:r w:rsidR="009879D6" w:rsidRPr="00454A82">
        <w:t xml:space="preserve"> 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Podstawowe dane o badanych podmiotach "/>
      </w:tblPr>
      <w:tblGrid>
        <w:gridCol w:w="3860"/>
        <w:gridCol w:w="1320"/>
        <w:gridCol w:w="1320"/>
        <w:gridCol w:w="1480"/>
      </w:tblGrid>
      <w:tr w:rsidR="0014094E" w:rsidRPr="00957F9B" w14:paraId="1060B450" w14:textId="77777777" w:rsidTr="00E108AC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04DC7AC6" w14:textId="77777777" w:rsidR="0014094E" w:rsidRPr="006E1881" w:rsidRDefault="00454A82" w:rsidP="00D540F7">
            <w:pPr>
              <w:pStyle w:val="glowkatablicy"/>
              <w:spacing w:before="80" w:after="80"/>
            </w:pPr>
            <w:r w:rsidRPr="006E1881">
              <w:t>Wyszczególnienie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95EC3C4" w14:textId="1279E6F0" w:rsidR="0014094E" w:rsidRPr="006E1881" w:rsidRDefault="004F7BB9" w:rsidP="00D540F7">
            <w:pPr>
              <w:pStyle w:val="glowkatablicy"/>
              <w:spacing w:before="80" w:after="80"/>
            </w:pPr>
            <w:r>
              <w:t xml:space="preserve">01-12 </w:t>
            </w:r>
            <w:r w:rsidR="0014094E" w:rsidRPr="006E1881">
              <w:t>20</w:t>
            </w:r>
            <w:r w:rsidR="00923B5C" w:rsidRPr="006E1881">
              <w:t>2</w:t>
            </w:r>
            <w:r w:rsidR="00D477D2">
              <w:t>4</w:t>
            </w:r>
          </w:p>
        </w:tc>
        <w:tc>
          <w:tcPr>
            <w:tcW w:w="132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14:paraId="6388F4C4" w14:textId="502EDC72" w:rsidR="0014094E" w:rsidRPr="006E1881" w:rsidRDefault="004F7BB9" w:rsidP="00D540F7">
            <w:pPr>
              <w:pStyle w:val="glowkatablicy"/>
              <w:spacing w:before="80" w:after="80"/>
            </w:pPr>
            <w:r>
              <w:t xml:space="preserve">01-12 </w:t>
            </w:r>
            <w:r w:rsidR="0014094E" w:rsidRPr="006E1881">
              <w:t>20</w:t>
            </w:r>
            <w:r w:rsidR="001D6288" w:rsidRPr="006E1881">
              <w:t>2</w:t>
            </w:r>
            <w:r w:rsidR="00D477D2">
              <w:t>5</w:t>
            </w:r>
          </w:p>
        </w:tc>
        <w:tc>
          <w:tcPr>
            <w:tcW w:w="1480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822F6BF" w14:textId="18BB11DF" w:rsidR="0014094E" w:rsidRPr="006E1881" w:rsidRDefault="004F7BB9" w:rsidP="00D540F7">
            <w:pPr>
              <w:pStyle w:val="glowkatablicy"/>
              <w:spacing w:before="80" w:after="80"/>
            </w:pPr>
            <w:r>
              <w:t xml:space="preserve">01-12 </w:t>
            </w:r>
            <w:r w:rsidR="0014094E" w:rsidRPr="006E1881">
              <w:t>20</w:t>
            </w:r>
            <w:r w:rsidR="00923B5C" w:rsidRPr="006E1881">
              <w:t>2</w:t>
            </w:r>
            <w:r w:rsidR="00D477D2">
              <w:t>4</w:t>
            </w:r>
            <w:r w:rsidR="0014094E" w:rsidRPr="006E1881">
              <w:t>=100</w:t>
            </w:r>
          </w:p>
        </w:tc>
      </w:tr>
      <w:tr w:rsidR="0014094E" w:rsidRPr="00957F9B" w14:paraId="59745119" w14:textId="77777777" w:rsidTr="00E108AC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8F21A01" w14:textId="77777777" w:rsidR="0014094E" w:rsidRPr="00957F9B" w:rsidRDefault="0014094E" w:rsidP="006E4829">
            <w:pPr>
              <w:spacing w:line="240" w:lineRule="exac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ADC9A5E" w14:textId="77777777" w:rsidR="0014094E" w:rsidRPr="00E108AC" w:rsidRDefault="0014094E" w:rsidP="006E4829">
            <w:pPr>
              <w:pStyle w:val="glowkatablicy"/>
            </w:pPr>
            <w:r w:rsidRPr="00E108AC">
              <w:t>w milionach złotych</w:t>
            </w:r>
          </w:p>
        </w:tc>
        <w:tc>
          <w:tcPr>
            <w:tcW w:w="1480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C1AC13E" w14:textId="77777777" w:rsidR="0014094E" w:rsidRDefault="0014094E" w:rsidP="00E47508">
            <w:pPr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</w:tr>
      <w:tr w:rsidR="00D477D2" w:rsidRPr="00957F9B" w14:paraId="02B95DB3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E58035F" w14:textId="77777777" w:rsidR="00D477D2" w:rsidRPr="00E108AC" w:rsidRDefault="00D477D2" w:rsidP="00D477D2">
            <w:pPr>
              <w:pStyle w:val="boczek"/>
            </w:pPr>
            <w:r w:rsidRPr="00E108AC">
              <w:t>Przychody z całokształtu działalności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8644CD" w14:textId="39EE61A1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Calibri"/>
                <w:color w:val="000000"/>
                <w:szCs w:val="19"/>
              </w:rPr>
              <w:t>114 680,9</w:t>
            </w:r>
          </w:p>
        </w:tc>
        <w:tc>
          <w:tcPr>
            <w:tcW w:w="132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70A5EE3" w14:textId="3F26ED7E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129</w:t>
            </w:r>
            <w:r w:rsidR="0050238F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660,6</w:t>
            </w:r>
          </w:p>
        </w:tc>
        <w:tc>
          <w:tcPr>
            <w:tcW w:w="1480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73E71263" w14:textId="0D0E8888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113,1</w:t>
            </w:r>
          </w:p>
        </w:tc>
      </w:tr>
      <w:tr w:rsidR="00D477D2" w:rsidRPr="00957F9B" w14:paraId="44579C26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C4C47B7" w14:textId="77777777" w:rsidR="00D477D2" w:rsidRPr="00E108AC" w:rsidRDefault="00D477D2" w:rsidP="00D477D2">
            <w:pPr>
              <w:pStyle w:val="boczek1wciecie"/>
              <w:spacing w:before="120" w:after="120" w:line="240" w:lineRule="exact"/>
            </w:pPr>
            <w:r w:rsidRPr="00E108AC">
              <w:t xml:space="preserve">w tym przychody netto ze sprzedaży </w:t>
            </w:r>
            <w:r>
              <w:br/>
            </w:r>
            <w:r w:rsidRPr="00E108AC">
              <w:t>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67E6FD" w14:textId="4D7F8248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111 861,3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154888" w14:textId="64EB29AC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125</w:t>
            </w:r>
            <w:r w:rsidR="0050238F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391,3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418C7454" w14:textId="60371F72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112,1</w:t>
            </w:r>
          </w:p>
        </w:tc>
      </w:tr>
      <w:tr w:rsidR="00D477D2" w:rsidRPr="00957F9B" w14:paraId="3C0EB969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00E2B47" w14:textId="77777777" w:rsidR="00D477D2" w:rsidRPr="00E108AC" w:rsidRDefault="00D477D2" w:rsidP="00D477D2">
            <w:pPr>
              <w:pStyle w:val="boczek"/>
            </w:pPr>
            <w:r w:rsidRPr="00E108AC">
              <w:t xml:space="preserve">Koszty uzyskania przychodów </w:t>
            </w:r>
            <w:r>
              <w:br/>
            </w:r>
            <w:r w:rsidRPr="00E108AC">
              <w:t>z całokształtu działalności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A9F3BF3" w14:textId="706E21A8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109 959,5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CBCE89" w14:textId="51C3CCE0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125</w:t>
            </w:r>
            <w:r w:rsidR="0050238F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429,5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1ABF683D" w14:textId="4BE2A30C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114,1</w:t>
            </w:r>
          </w:p>
        </w:tc>
      </w:tr>
      <w:tr w:rsidR="00D477D2" w:rsidRPr="00957F9B" w14:paraId="61555AB9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EBD567" w14:textId="77777777" w:rsidR="00D477D2" w:rsidRPr="00E108AC" w:rsidRDefault="00D477D2" w:rsidP="00D477D2">
            <w:pPr>
              <w:pStyle w:val="boczek1wciecie"/>
              <w:spacing w:before="120" w:after="120" w:line="240" w:lineRule="exact"/>
            </w:pPr>
            <w:r w:rsidRPr="00E108AC">
              <w:t>w tym koszty sprzedanych 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66853E" w14:textId="5668B244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107 667,8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512778A" w14:textId="17911FE6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121</w:t>
            </w:r>
            <w:r w:rsidR="0050238F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598,3</w:t>
            </w:r>
          </w:p>
        </w:tc>
        <w:tc>
          <w:tcPr>
            <w:tcW w:w="1480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0809EB6" w14:textId="43AB3990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112,9</w:t>
            </w:r>
          </w:p>
        </w:tc>
      </w:tr>
      <w:tr w:rsidR="00D477D2" w:rsidRPr="00957F9B" w14:paraId="538E06D4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286444D" w14:textId="77777777" w:rsidR="00D477D2" w:rsidRPr="00E108AC" w:rsidRDefault="00D477D2" w:rsidP="00D477D2">
            <w:pPr>
              <w:pStyle w:val="boczek"/>
            </w:pPr>
            <w:r w:rsidRPr="00E108AC">
              <w:t>Wynik finansowy ze sprzedaży produktów, towarów i materiałów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F6FBCB" w14:textId="4EF6318A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4 193,5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526489B" w14:textId="75EA3F1D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3</w:t>
            </w:r>
            <w:r w:rsidR="0050238F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793,0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28BC1C14" w14:textId="79D0A04B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90,4</w:t>
            </w:r>
          </w:p>
        </w:tc>
      </w:tr>
      <w:tr w:rsidR="00D477D2" w:rsidRPr="00957F9B" w14:paraId="582085D9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A8CB82" w14:textId="77777777" w:rsidR="00D477D2" w:rsidRPr="00E108AC" w:rsidRDefault="00D477D2" w:rsidP="00D477D2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E108AC">
              <w:rPr>
                <w:rFonts w:eastAsia="Times New Roman" w:cs="Calibri"/>
                <w:color w:val="000000"/>
                <w:szCs w:val="19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940190" w14:textId="41877EC2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4 721,4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10CA1CB" w14:textId="01D26434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4</w:t>
            </w:r>
            <w:r w:rsidR="0050238F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231,0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4CA7B03A" w14:textId="2AE6814C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89,6</w:t>
            </w:r>
          </w:p>
        </w:tc>
      </w:tr>
      <w:tr w:rsidR="00D477D2" w:rsidRPr="00957F9B" w14:paraId="39A76CF2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BBBB6F" w14:textId="77777777" w:rsidR="00D477D2" w:rsidRPr="00E108AC" w:rsidRDefault="00D477D2" w:rsidP="00D477D2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 xml:space="preserve">Wynik finansowy na pozostałej 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br/>
              <w:t>działalności operacyjnej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71276DB" w14:textId="2EFD4806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789,4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6667D5" w14:textId="08347C5C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</w:t>
            </w:r>
            <w:r w:rsidR="0050238F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1165,9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5AA19AB" w14:textId="369CBAEC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147,7</w:t>
            </w:r>
          </w:p>
        </w:tc>
      </w:tr>
      <w:tr w:rsidR="00D477D2" w:rsidRPr="00BD3247" w14:paraId="06514F3A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B3FC0" w14:textId="77777777" w:rsidR="00D477D2" w:rsidRPr="00E108AC" w:rsidRDefault="00D477D2" w:rsidP="00D477D2">
            <w:pPr>
              <w:spacing w:line="240" w:lineRule="exac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Wynik na operacjach finansowych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999FAA" w14:textId="111F6132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-261,5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8EFA59" w14:textId="0FA92059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-727</w:t>
            </w:r>
            <w:r w:rsidR="0050238F">
              <w:rPr>
                <w:rFonts w:cs="Arial"/>
                <w:color w:val="000000" w:themeColor="text1"/>
                <w:szCs w:val="19"/>
              </w:rPr>
              <w:t>,</w:t>
            </w:r>
            <w:r>
              <w:rPr>
                <w:rFonts w:cs="Arial"/>
                <w:color w:val="000000" w:themeColor="text1"/>
                <w:szCs w:val="19"/>
              </w:rPr>
              <w:t>8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45270E02" w14:textId="561BDF4E" w:rsidR="00D477D2" w:rsidRPr="00BD3247" w:rsidRDefault="00F65937" w:rsidP="00D477D2">
            <w:pPr>
              <w:spacing w:line="240" w:lineRule="exact"/>
              <w:jc w:val="right"/>
              <w:rPr>
                <w:rFonts w:cs="Arial"/>
                <w:bCs/>
                <w:color w:val="000000" w:themeColor="text1"/>
                <w:szCs w:val="19"/>
              </w:rPr>
            </w:pPr>
            <w:r>
              <w:rPr>
                <w:rFonts w:cs="Arial"/>
                <w:bCs/>
                <w:color w:val="000000" w:themeColor="text1"/>
                <w:szCs w:val="19"/>
              </w:rPr>
              <w:t>.</w:t>
            </w:r>
          </w:p>
        </w:tc>
      </w:tr>
      <w:tr w:rsidR="00D477D2" w:rsidRPr="00957F9B" w14:paraId="229D6ABB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8591824" w14:textId="77777777" w:rsidR="00D477D2" w:rsidRPr="00E108AC" w:rsidRDefault="00D477D2" w:rsidP="00D477D2">
            <w:pPr>
              <w:pStyle w:val="boczek"/>
            </w:pPr>
            <w:r w:rsidRPr="00E108AC">
              <w:t>Wynik finansowy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002680" w14:textId="6BD07D72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3 900,3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D1B512" w14:textId="381EC35D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3</w:t>
            </w:r>
            <w:r w:rsidR="0050238F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303,9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D1C52B2" w14:textId="1159B9FD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84,7</w:t>
            </w:r>
          </w:p>
        </w:tc>
      </w:tr>
      <w:tr w:rsidR="00D477D2" w:rsidRPr="00957F9B" w14:paraId="649BBD26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C144946" w14:textId="77777777" w:rsidR="00D477D2" w:rsidRPr="00E108AC" w:rsidRDefault="00D477D2" w:rsidP="00D477D2">
            <w:pPr>
              <w:pStyle w:val="boczek"/>
            </w:pPr>
            <w:r w:rsidRPr="00E108AC">
              <w:t>Zysk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4BC4E5" w14:textId="411D114D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5 410,4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CD3D16" w14:textId="6A1C5921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5</w:t>
            </w:r>
            <w:r w:rsidR="0050238F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378,5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26AD622A" w14:textId="37DD7D90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99,4</w:t>
            </w:r>
          </w:p>
        </w:tc>
      </w:tr>
      <w:tr w:rsidR="00D477D2" w:rsidRPr="00957F9B" w14:paraId="437D6F95" w14:textId="77777777" w:rsidTr="00B33788">
        <w:trPr>
          <w:trHeight w:val="504"/>
        </w:trPr>
        <w:tc>
          <w:tcPr>
            <w:tcW w:w="3860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5B4371E" w14:textId="77777777" w:rsidR="00D477D2" w:rsidRPr="00E108AC" w:rsidRDefault="00D477D2" w:rsidP="00D477D2">
            <w:pPr>
              <w:pStyle w:val="boczek"/>
            </w:pPr>
            <w:r w:rsidRPr="00E108AC">
              <w:t>Strata netto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B34B59" w14:textId="57A31B84" w:rsidR="00D477D2" w:rsidRPr="00B33788" w:rsidRDefault="00D477D2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 w:rsidRPr="00B33788">
              <w:rPr>
                <w:rFonts w:cs="Arial"/>
                <w:color w:val="000000"/>
                <w:szCs w:val="19"/>
              </w:rPr>
              <w:t>1 510,0</w:t>
            </w:r>
          </w:p>
        </w:tc>
        <w:tc>
          <w:tcPr>
            <w:tcW w:w="132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5E59D1" w14:textId="05164431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2</w:t>
            </w:r>
            <w:r w:rsidR="0050238F">
              <w:rPr>
                <w:rFonts w:cs="Arial"/>
                <w:color w:val="000000" w:themeColor="text1"/>
                <w:szCs w:val="19"/>
              </w:rPr>
              <w:t xml:space="preserve"> </w:t>
            </w:r>
            <w:r>
              <w:rPr>
                <w:rFonts w:cs="Arial"/>
                <w:color w:val="000000" w:themeColor="text1"/>
                <w:szCs w:val="19"/>
              </w:rPr>
              <w:t>074,6</w:t>
            </w:r>
          </w:p>
        </w:tc>
        <w:tc>
          <w:tcPr>
            <w:tcW w:w="1480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8A88185" w14:textId="6A314B6A" w:rsidR="00D477D2" w:rsidRPr="00B33788" w:rsidRDefault="00F65937" w:rsidP="00D477D2">
            <w:pPr>
              <w:spacing w:line="240" w:lineRule="exact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137,4</w:t>
            </w:r>
          </w:p>
        </w:tc>
      </w:tr>
    </w:tbl>
    <w:p w14:paraId="3E2E7DAC" w14:textId="255DD037" w:rsidR="0035166E" w:rsidRPr="00C81D21" w:rsidRDefault="0035166E" w:rsidP="00BD3247">
      <w:pPr>
        <w:rPr>
          <w:spacing w:val="-2"/>
        </w:rPr>
      </w:pPr>
      <w:r w:rsidRPr="00C81D21">
        <w:rPr>
          <w:spacing w:val="-4"/>
        </w:rPr>
        <w:t xml:space="preserve">Wskaźnik poziomu kosztów dla ogółu przedsiębiorstw wyniósł </w:t>
      </w:r>
      <w:r w:rsidR="004A7ACD">
        <w:rPr>
          <w:spacing w:val="-4"/>
        </w:rPr>
        <w:t>98,7</w:t>
      </w:r>
      <w:r w:rsidRPr="00C81D21">
        <w:rPr>
          <w:spacing w:val="-4"/>
        </w:rPr>
        <w:t xml:space="preserve">% (wobec </w:t>
      </w:r>
      <w:r w:rsidR="004A7ACD">
        <w:rPr>
          <w:spacing w:val="-4"/>
        </w:rPr>
        <w:t>95,9</w:t>
      </w:r>
      <w:r w:rsidRPr="00C81D21">
        <w:rPr>
          <w:spacing w:val="-4"/>
        </w:rPr>
        <w:t>% przed rokiem).</w:t>
      </w:r>
      <w:r w:rsidRPr="00C81D21">
        <w:rPr>
          <w:spacing w:val="-2"/>
        </w:rPr>
        <w:t xml:space="preserve"> </w:t>
      </w:r>
      <w:r w:rsidR="00FE59F7" w:rsidRPr="00C81D21">
        <w:rPr>
          <w:spacing w:val="-2"/>
        </w:rPr>
        <w:t xml:space="preserve">Zmniejszył </w:t>
      </w:r>
      <w:r w:rsidRPr="00C81D21">
        <w:rPr>
          <w:spacing w:val="-2"/>
        </w:rPr>
        <w:t xml:space="preserve">się wskaźnik rentowności sprzedaży brutto (z </w:t>
      </w:r>
      <w:r w:rsidR="004A7ACD">
        <w:rPr>
          <w:spacing w:val="-2"/>
        </w:rPr>
        <w:t>3,7</w:t>
      </w:r>
      <w:r w:rsidRPr="00C81D21">
        <w:rPr>
          <w:spacing w:val="-2"/>
        </w:rPr>
        <w:t xml:space="preserve">% do </w:t>
      </w:r>
      <w:r w:rsidR="004A7ACD">
        <w:rPr>
          <w:spacing w:val="-2"/>
        </w:rPr>
        <w:t>3,0</w:t>
      </w:r>
      <w:r w:rsidRPr="00C81D21">
        <w:rPr>
          <w:spacing w:val="-2"/>
        </w:rPr>
        <w:t xml:space="preserve">%), </w:t>
      </w:r>
      <w:r w:rsidR="00CD6BBD" w:rsidRPr="00C81D21">
        <w:rPr>
          <w:spacing w:val="-2"/>
        </w:rPr>
        <w:t xml:space="preserve">natomiast </w:t>
      </w:r>
      <w:r w:rsidRPr="00C81D21">
        <w:rPr>
          <w:spacing w:val="-2"/>
        </w:rPr>
        <w:t>wskaźnik</w:t>
      </w:r>
      <w:r w:rsidR="00CD6BBD" w:rsidRPr="00C81D21">
        <w:rPr>
          <w:spacing w:val="-2"/>
        </w:rPr>
        <w:t>i</w:t>
      </w:r>
      <w:r w:rsidRPr="00C81D21">
        <w:rPr>
          <w:spacing w:val="-2"/>
        </w:rPr>
        <w:t xml:space="preserve"> rentowności obrotu brutto </w:t>
      </w:r>
      <w:r w:rsidR="00CD6BBD" w:rsidRPr="00C81D21">
        <w:rPr>
          <w:spacing w:val="-2"/>
        </w:rPr>
        <w:t xml:space="preserve">i </w:t>
      </w:r>
      <w:r w:rsidRPr="00C81D21">
        <w:rPr>
          <w:spacing w:val="-2"/>
        </w:rPr>
        <w:t xml:space="preserve">netto </w:t>
      </w:r>
      <w:r w:rsidR="00CD6BBD" w:rsidRPr="00C81D21">
        <w:rPr>
          <w:spacing w:val="-2"/>
        </w:rPr>
        <w:t xml:space="preserve">obniżyły się w skali roku odpowiednio </w:t>
      </w:r>
      <w:r w:rsidR="004A7ACD">
        <w:rPr>
          <w:spacing w:val="-2"/>
        </w:rPr>
        <w:t xml:space="preserve">z 4,1% </w:t>
      </w:r>
      <w:r w:rsidR="00CD6BBD" w:rsidRPr="00C81D21">
        <w:rPr>
          <w:spacing w:val="-2"/>
        </w:rPr>
        <w:t xml:space="preserve">do </w:t>
      </w:r>
      <w:r w:rsidR="004A7ACD">
        <w:rPr>
          <w:spacing w:val="-2"/>
        </w:rPr>
        <w:t>3,3</w:t>
      </w:r>
      <w:r w:rsidR="00CD6BBD" w:rsidRPr="00C81D21">
        <w:rPr>
          <w:spacing w:val="-2"/>
        </w:rPr>
        <w:t xml:space="preserve">% i </w:t>
      </w:r>
      <w:r w:rsidR="004A7ACD">
        <w:rPr>
          <w:spacing w:val="-2"/>
        </w:rPr>
        <w:t>z 3,4% do 2,5</w:t>
      </w:r>
      <w:r w:rsidR="00CD6BBD" w:rsidRPr="00C81D21">
        <w:rPr>
          <w:spacing w:val="-2"/>
        </w:rPr>
        <w:t>%</w:t>
      </w:r>
      <w:r w:rsidR="00712103" w:rsidRPr="00C81D21">
        <w:rPr>
          <w:spacing w:val="-2"/>
        </w:rPr>
        <w:t>.</w:t>
      </w:r>
    </w:p>
    <w:p w14:paraId="18980175" w14:textId="77777777" w:rsidR="00895219" w:rsidRDefault="00895219" w:rsidP="00895219">
      <w:pPr>
        <w:pStyle w:val="tytuwykresu"/>
      </w:pPr>
      <w:r w:rsidRPr="00454A82">
        <w:t xml:space="preserve">Tablica </w:t>
      </w:r>
      <w:r>
        <w:t>2</w:t>
      </w:r>
      <w:r w:rsidRPr="00454A82">
        <w:t xml:space="preserve">. </w:t>
      </w:r>
      <w:r w:rsidRPr="00895219">
        <w:t>Podstawowe relacje ekonomiczne</w:t>
      </w:r>
      <w:r w:rsidRPr="00454A82">
        <w:t xml:space="preserve"> </w:t>
      </w:r>
    </w:p>
    <w:tbl>
      <w:tblPr>
        <w:tblW w:w="793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Podstawowe relacje ekonomiczne "/>
      </w:tblPr>
      <w:tblGrid>
        <w:gridCol w:w="3860"/>
        <w:gridCol w:w="2039"/>
        <w:gridCol w:w="2039"/>
      </w:tblGrid>
      <w:tr w:rsidR="00E44E5C" w:rsidRPr="005A6F95" w14:paraId="006E19AC" w14:textId="77777777" w:rsidTr="00E44E5C">
        <w:trPr>
          <w:trHeight w:val="420"/>
        </w:trPr>
        <w:tc>
          <w:tcPr>
            <w:tcW w:w="3860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A7CB468" w14:textId="77777777" w:rsidR="00E44E5C" w:rsidRPr="005A6F95" w:rsidRDefault="00E44E5C" w:rsidP="00D540F7">
            <w:pPr>
              <w:pStyle w:val="glowkatablicy"/>
              <w:spacing w:before="80" w:after="80"/>
            </w:pPr>
            <w:r w:rsidRPr="005A6F95">
              <w:t>Wyszczególnienie</w:t>
            </w:r>
          </w:p>
        </w:tc>
        <w:tc>
          <w:tcPr>
            <w:tcW w:w="203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3D21B786" w14:textId="2A82ACD8" w:rsidR="00E44E5C" w:rsidRPr="005A6F95" w:rsidRDefault="00E44E5C" w:rsidP="00D540F7">
            <w:pPr>
              <w:pStyle w:val="glowkatablicy"/>
              <w:spacing w:before="80" w:after="80"/>
            </w:pPr>
            <w:r>
              <w:t xml:space="preserve">01-12 </w:t>
            </w:r>
            <w:r w:rsidRPr="005A6F95">
              <w:t>202</w:t>
            </w:r>
            <w:r w:rsidR="0014616D">
              <w:t>4</w:t>
            </w:r>
          </w:p>
        </w:tc>
        <w:tc>
          <w:tcPr>
            <w:tcW w:w="2039" w:type="dxa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</w:tcPr>
          <w:p w14:paraId="518A5CEE" w14:textId="59F5DFB6" w:rsidR="00E44E5C" w:rsidRPr="005A6F95" w:rsidRDefault="00E44E5C" w:rsidP="00D540F7">
            <w:pPr>
              <w:pStyle w:val="glowkatablicy"/>
              <w:spacing w:before="80" w:after="80"/>
            </w:pPr>
            <w:r>
              <w:t xml:space="preserve">01-12 </w:t>
            </w:r>
            <w:r w:rsidRPr="005A6F95">
              <w:t>202</w:t>
            </w:r>
            <w:r w:rsidR="0014616D">
              <w:t>5</w:t>
            </w:r>
          </w:p>
        </w:tc>
      </w:tr>
      <w:tr w:rsidR="00E44E5C" w:rsidRPr="005A6F95" w14:paraId="22478879" w14:textId="77777777" w:rsidTr="00E44E5C">
        <w:trPr>
          <w:trHeight w:val="420"/>
        </w:trPr>
        <w:tc>
          <w:tcPr>
            <w:tcW w:w="3860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ADB9123" w14:textId="77777777" w:rsidR="00E44E5C" w:rsidRPr="00B43897" w:rsidRDefault="00E44E5C" w:rsidP="00D540F7">
            <w:pPr>
              <w:spacing w:before="80" w:after="80" w:line="240" w:lineRule="exact"/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4078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745BA149" w14:textId="77777777" w:rsidR="00E44E5C" w:rsidRPr="005A6F95" w:rsidRDefault="00E44E5C" w:rsidP="00D540F7">
            <w:pPr>
              <w:pStyle w:val="glowkatablicy"/>
              <w:spacing w:before="80" w:after="80"/>
            </w:pPr>
            <w:r w:rsidRPr="005A6F95">
              <w:t>w %</w:t>
            </w:r>
          </w:p>
        </w:tc>
      </w:tr>
      <w:tr w:rsidR="0014616D" w:rsidRPr="005A6F95" w14:paraId="4A9075CE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D4B5377" w14:textId="77777777" w:rsidR="0014616D" w:rsidRPr="00B43897" w:rsidRDefault="0014616D" w:rsidP="0014616D">
            <w:pPr>
              <w:spacing w:before="100" w:after="100" w:line="220" w:lineRule="exact"/>
              <w:rPr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poziomu kosztów</w:t>
            </w:r>
          </w:p>
        </w:tc>
        <w:tc>
          <w:tcPr>
            <w:tcW w:w="2039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DCDB6FA" w14:textId="4499FA80" w:rsidR="0014616D" w:rsidRPr="00C81D21" w:rsidRDefault="0014616D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95,9</w:t>
            </w:r>
          </w:p>
        </w:tc>
        <w:tc>
          <w:tcPr>
            <w:tcW w:w="2039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7F157E2" w14:textId="1089BA1C" w:rsidR="0014616D" w:rsidRPr="00C81D21" w:rsidRDefault="00F65937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98,7</w:t>
            </w:r>
          </w:p>
        </w:tc>
      </w:tr>
      <w:tr w:rsidR="0014616D" w:rsidRPr="005A6F95" w14:paraId="14CCCF77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042F43" w14:textId="77777777" w:rsidR="0014616D" w:rsidRPr="00B43897" w:rsidRDefault="0014616D" w:rsidP="0014616D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rentowności sprzedaży brutto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295E57E" w14:textId="46DCF35B" w:rsidR="0014616D" w:rsidRPr="00C81D21" w:rsidRDefault="0014616D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3,7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B920FE6" w14:textId="72C5C5F1" w:rsidR="0014616D" w:rsidRPr="00C81D21" w:rsidRDefault="00F65937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3,0</w:t>
            </w:r>
          </w:p>
        </w:tc>
      </w:tr>
      <w:tr w:rsidR="0014616D" w:rsidRPr="005A6F95" w14:paraId="50D3F348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3FC5D3" w14:textId="77777777" w:rsidR="0014616D" w:rsidRPr="00B43897" w:rsidRDefault="0014616D" w:rsidP="0014616D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rentowności obrotu brutto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94EEF7" w14:textId="724EBDC4" w:rsidR="0014616D" w:rsidRPr="00C81D21" w:rsidRDefault="0014616D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4,1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1A0663A" w14:textId="6A553A83" w:rsidR="0014616D" w:rsidRPr="00C81D21" w:rsidRDefault="00F65937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3,3</w:t>
            </w:r>
          </w:p>
        </w:tc>
      </w:tr>
      <w:tr w:rsidR="0014616D" w:rsidRPr="005A6F95" w14:paraId="0320483D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E28EFF0" w14:textId="77777777" w:rsidR="0014616D" w:rsidRPr="00B43897" w:rsidRDefault="0014616D" w:rsidP="0014616D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rentowności obrotu netto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389C1C6" w14:textId="27A8B2F2" w:rsidR="0014616D" w:rsidRPr="00C81D21" w:rsidRDefault="0014616D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3,4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6DB9EDF" w14:textId="6CADD30D" w:rsidR="0014616D" w:rsidRPr="00C81D21" w:rsidRDefault="00F65937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2,5</w:t>
            </w:r>
          </w:p>
        </w:tc>
      </w:tr>
      <w:tr w:rsidR="0014616D" w:rsidRPr="005A6F95" w14:paraId="58C9951D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88006FC" w14:textId="77777777" w:rsidR="0014616D" w:rsidRPr="00B43897" w:rsidRDefault="0014616D" w:rsidP="0014616D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płynności finansowej I stopnia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989537" w14:textId="42893028" w:rsidR="0014616D" w:rsidRPr="00C81D21" w:rsidRDefault="0014616D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39,0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2A13B23" w14:textId="750E1795" w:rsidR="0014616D" w:rsidRPr="00C81D21" w:rsidRDefault="00F65937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42,2</w:t>
            </w:r>
          </w:p>
        </w:tc>
      </w:tr>
      <w:tr w:rsidR="0014616D" w:rsidRPr="005A6F95" w14:paraId="27F30F8E" w14:textId="77777777" w:rsidTr="00C81D21">
        <w:trPr>
          <w:trHeight w:val="504"/>
        </w:trPr>
        <w:tc>
          <w:tcPr>
            <w:tcW w:w="386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86A6133" w14:textId="77777777" w:rsidR="0014616D" w:rsidRPr="00B43897" w:rsidRDefault="0014616D" w:rsidP="0014616D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płynności finansowej II stopnia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41FB3A6" w14:textId="13CE0ED1" w:rsidR="0014616D" w:rsidRPr="00C81D21" w:rsidRDefault="0014616D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 w:rsidRPr="00C81D21">
              <w:rPr>
                <w:rFonts w:cs="Arial"/>
                <w:color w:val="000000"/>
                <w:szCs w:val="19"/>
              </w:rPr>
              <w:t>85,8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F3BC424" w14:textId="0DF023A8" w:rsidR="0014616D" w:rsidRPr="00C81D21" w:rsidRDefault="00F65937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87,4</w:t>
            </w:r>
          </w:p>
        </w:tc>
      </w:tr>
      <w:tr w:rsidR="0014616D" w:rsidRPr="005A6F95" w14:paraId="3B0563BD" w14:textId="77777777" w:rsidTr="00CA289F">
        <w:trPr>
          <w:trHeight w:val="504"/>
        </w:trPr>
        <w:tc>
          <w:tcPr>
            <w:tcW w:w="3860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A87182" w14:textId="77777777" w:rsidR="0014616D" w:rsidRPr="00B43897" w:rsidRDefault="0014616D" w:rsidP="0014616D">
            <w:pPr>
              <w:spacing w:before="100" w:after="100" w:line="22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Wskaźnik płynności finansowej III stopnia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317678A" w14:textId="2130B904" w:rsidR="0014616D" w:rsidRPr="005A6F95" w:rsidRDefault="0014616D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138,4</w:t>
            </w:r>
          </w:p>
        </w:tc>
        <w:tc>
          <w:tcPr>
            <w:tcW w:w="203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bottom"/>
          </w:tcPr>
          <w:p w14:paraId="33EBCE68" w14:textId="262C568F" w:rsidR="0014616D" w:rsidRPr="005A6F95" w:rsidRDefault="00F65937" w:rsidP="0014616D">
            <w:pPr>
              <w:spacing w:before="100" w:after="100" w:line="220" w:lineRule="exact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131,5</w:t>
            </w:r>
          </w:p>
        </w:tc>
      </w:tr>
    </w:tbl>
    <w:p w14:paraId="58D017CF" w14:textId="77777777" w:rsidR="00EE4057" w:rsidRDefault="00EE4057" w:rsidP="003D2F53">
      <w:pPr>
        <w:pStyle w:val="tytuwykresu"/>
        <w:rPr>
          <w:szCs w:val="18"/>
        </w:rPr>
      </w:pPr>
      <w:r>
        <w:br w:type="page"/>
      </w:r>
      <w:r w:rsidRPr="00F52524">
        <w:lastRenderedPageBreak/>
        <w:t xml:space="preserve">Wykres </w:t>
      </w:r>
      <w:r>
        <w:t>1</w:t>
      </w:r>
      <w:r w:rsidRPr="00F52524">
        <w:t xml:space="preserve">. </w:t>
      </w:r>
      <w:r>
        <w:rPr>
          <w:szCs w:val="18"/>
        </w:rPr>
        <w:t>Wskaźniki rentowności</w:t>
      </w:r>
      <w:r w:rsidR="00DD5224">
        <w:rPr>
          <w:szCs w:val="18"/>
        </w:rPr>
        <w:t xml:space="preserve"> </w:t>
      </w:r>
    </w:p>
    <w:p w14:paraId="7C5153AB" w14:textId="68864ADE" w:rsidR="00057E90" w:rsidRDefault="00057E90" w:rsidP="00057E90">
      <w:pPr>
        <w:pStyle w:val="Brakstyluakapitowego"/>
      </w:pPr>
      <w:r>
        <w:rPr>
          <w:noProof/>
        </w:rPr>
        <w:drawing>
          <wp:inline distT="0" distB="0" distL="0" distR="0" wp14:anchorId="02F315C5" wp14:editId="30F7F247">
            <wp:extent cx="3779528" cy="1982728"/>
            <wp:effectExtent l="0" t="0" r="0" b="0"/>
            <wp:docPr id="16" name="Obraz 16" descr="Wykres 1  Wskaźniki rentowności&#10;&#10;Wykres słupkowy prezentujący wskaźniki rentowności w latach 2025 i 2024. Wskaźnik rentowności sprzedaży brutto w 2025 r. wyniósł 3,0% (wobec 3,7% w 2024 r.), wskaźnik rentowności obrotu brutto – 3,3% (wobec 4,1%), a wskaźnik rentowności obrotu netto – 2,5% (wobec 3,4%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1  Wskaźniki rentowności&#10;&#10;Wykres słupkowy prezentujący wskaźniki rentowności w latach 2025 i 2024. Wskaźnik rentowności sprzedaży brutto w 2025 r. wyniósł 3,0% (wobec 3,7% w 2024 r.), wskaźnik rentowności obrotu brutto – 3,3% (wobec 4,1%), a wskaźnik rentowności obrotu netto – 2,5% (wobec 3,4%)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9528" cy="198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656F" w14:textId="37280767" w:rsidR="0035166E" w:rsidRDefault="00E805F6" w:rsidP="001328A5">
      <w:r w:rsidRPr="00090A0A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3B2C971" wp14:editId="46F2D10D">
                <wp:simplePos x="0" y="0"/>
                <wp:positionH relativeFrom="page">
                  <wp:align>right</wp:align>
                </wp:positionH>
                <wp:positionV relativeFrom="paragraph">
                  <wp:posOffset>1603934</wp:posOffset>
                </wp:positionV>
                <wp:extent cx="1835785" cy="979805"/>
                <wp:effectExtent l="0" t="0" r="0" b="0"/>
                <wp:wrapSquare wrapText="bothSides"/>
                <wp:docPr id="6" name="Pole tekstowe 5" descr="W skali roku najwyższy wzrost wskaźnika rentowności obrotu netto odnotowano w sekcji Obsługa rynku nieruchomości (o 7,2 p. proc.)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5785" cy="979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E7367" w14:textId="681A6117" w:rsidR="00A05623" w:rsidRPr="00960051" w:rsidRDefault="002E7F54" w:rsidP="00BF4404">
                            <w:pPr>
                              <w:pStyle w:val="tekstzboku"/>
                            </w:pPr>
                            <w:r>
                              <w:t xml:space="preserve">W skali roku </w:t>
                            </w:r>
                            <w:r w:rsidR="00E805F6">
                              <w:t>n</w:t>
                            </w:r>
                            <w:r w:rsidR="00E805F6" w:rsidRPr="00BF4404">
                              <w:t>ajw</w:t>
                            </w:r>
                            <w:r w:rsidR="00E805F6">
                              <w:t>yższy</w:t>
                            </w:r>
                            <w:r w:rsidR="00E805F6" w:rsidRPr="004C2063">
                              <w:t xml:space="preserve"> </w:t>
                            </w:r>
                            <w:r w:rsidR="00E805F6">
                              <w:t xml:space="preserve">wzrost </w:t>
                            </w:r>
                            <w:r w:rsidR="00A05623" w:rsidRPr="0035166E">
                              <w:t xml:space="preserve">wskaźnika rentowności obrotu netto odnotowano w </w:t>
                            </w:r>
                            <w:r>
                              <w:t xml:space="preserve">sekcji </w:t>
                            </w:r>
                            <w:r w:rsidR="00090A0A">
                              <w:br/>
                            </w:r>
                            <w:r w:rsidR="00AD4A57" w:rsidRPr="00AD4A57">
                              <w:t>Obsługa rynku nieruchomości</w:t>
                            </w:r>
                            <w:r w:rsidR="00AD4A57">
                              <w:t xml:space="preserve"> (o 7,2 p. proc.</w:t>
                            </w:r>
                            <w:r w:rsidR="00E805F6">
                              <w:t>)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2C971" id="Pole tekstowe 5" o:spid="_x0000_s1029" type="#_x0000_t202" alt="W skali roku najwyższy wzrost wskaźnika rentowności obrotu netto odnotowano w sekcji Obsługa rynku nieruchomości (o 7,2 p. proc.) " style="position:absolute;margin-left:93.35pt;margin-top:126.3pt;width:144.55pt;height:77.15pt;z-index:2517483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" filled="f" stroked="f">
                <v:textbox>
                  <w:txbxContent>
                    <w:p w14:paraId="2F6E7367" w14:textId="681A6117" w:rsidR="00A05623" w:rsidRPr="00960051" w:rsidRDefault="002E7F54" w:rsidP="00BF4404">
                      <w:pPr>
                        <w:pStyle w:val="tekstzboku"/>
                      </w:pPr>
                      <w:r>
                        <w:t xml:space="preserve">W skali roku </w:t>
                      </w:r>
                      <w:r w:rsidR="00E805F6">
                        <w:t>n</w:t>
                      </w:r>
                      <w:r w:rsidR="00E805F6" w:rsidRPr="00BF4404">
                        <w:t>ajw</w:t>
                      </w:r>
                      <w:r w:rsidR="00E805F6">
                        <w:t>yższy</w:t>
                      </w:r>
                      <w:r w:rsidR="00E805F6" w:rsidRPr="004C2063">
                        <w:t xml:space="preserve"> </w:t>
                      </w:r>
                      <w:r w:rsidR="00E805F6">
                        <w:t xml:space="preserve">wzrost </w:t>
                      </w:r>
                      <w:r w:rsidR="00A05623" w:rsidRPr="0035166E">
                        <w:t xml:space="preserve">wskaźnika rentowności obrotu netto odnotowano w </w:t>
                      </w:r>
                      <w:r>
                        <w:t xml:space="preserve">sekcji </w:t>
                      </w:r>
                      <w:r w:rsidR="00090A0A">
                        <w:br/>
                      </w:r>
                      <w:r w:rsidR="00AD4A57" w:rsidRPr="00AD4A57">
                        <w:t>Obsługa rynku nieruchomości</w:t>
                      </w:r>
                      <w:r w:rsidR="00AD4A57">
                        <w:t xml:space="preserve"> (o 7,2 p. proc.</w:t>
                      </w:r>
                      <w:r w:rsidR="00E805F6">
                        <w:t>)</w:t>
                      </w:r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C1555" w:rsidRPr="00090A0A">
        <w:t xml:space="preserve">Pogorszenie </w:t>
      </w:r>
      <w:r w:rsidR="0035166E" w:rsidRPr="00090A0A">
        <w:t xml:space="preserve">wskaźnika rentowności obrotu netto odnotowano </w:t>
      </w:r>
      <w:r w:rsidR="0083786A" w:rsidRPr="00090A0A">
        <w:t xml:space="preserve">w jednostkach </w:t>
      </w:r>
      <w:r w:rsidR="009E72F5" w:rsidRPr="00090A0A">
        <w:t xml:space="preserve">zajmujących </w:t>
      </w:r>
      <w:r w:rsidR="009E72F5" w:rsidRPr="00CF726A">
        <w:rPr>
          <w:spacing w:val="-2"/>
        </w:rPr>
        <w:t>się działalnością profesjonalną, naukową</w:t>
      </w:r>
      <w:r w:rsidR="009E72F5" w:rsidRPr="00CF726A">
        <w:rPr>
          <w:spacing w:val="-4"/>
        </w:rPr>
        <w:t xml:space="preserve"> i techniczną</w:t>
      </w:r>
      <w:r w:rsidR="005C572B">
        <w:rPr>
          <w:spacing w:val="-4"/>
        </w:rPr>
        <w:t xml:space="preserve"> </w:t>
      </w:r>
      <w:r w:rsidR="0035166E" w:rsidRPr="00CF726A">
        <w:rPr>
          <w:spacing w:val="-4"/>
        </w:rPr>
        <w:t>(</w:t>
      </w:r>
      <w:r w:rsidR="00ED7BCF" w:rsidRPr="00CF726A">
        <w:rPr>
          <w:spacing w:val="-4"/>
        </w:rPr>
        <w:t xml:space="preserve">z </w:t>
      </w:r>
      <w:r w:rsidR="009E72F5" w:rsidRPr="00CF726A">
        <w:rPr>
          <w:spacing w:val="-4"/>
        </w:rPr>
        <w:t>6,1</w:t>
      </w:r>
      <w:r w:rsidR="00ED7BCF" w:rsidRPr="00CF726A">
        <w:rPr>
          <w:spacing w:val="-4"/>
        </w:rPr>
        <w:t>%</w:t>
      </w:r>
      <w:r w:rsidR="00B05C7B" w:rsidRPr="00CF726A">
        <w:rPr>
          <w:spacing w:val="-4"/>
        </w:rPr>
        <w:t xml:space="preserve"> </w:t>
      </w:r>
      <w:r w:rsidR="0035166E" w:rsidRPr="00CF726A">
        <w:rPr>
          <w:spacing w:val="-4"/>
        </w:rPr>
        <w:t xml:space="preserve">do </w:t>
      </w:r>
      <w:r w:rsidR="009E72F5" w:rsidRPr="00CF726A">
        <w:rPr>
          <w:spacing w:val="-4"/>
        </w:rPr>
        <w:t>2,7</w:t>
      </w:r>
      <w:r w:rsidR="0035166E" w:rsidRPr="00CF726A">
        <w:rPr>
          <w:spacing w:val="-4"/>
        </w:rPr>
        <w:t>%)</w:t>
      </w:r>
      <w:r w:rsidR="00B05C7B" w:rsidRPr="00CF726A">
        <w:rPr>
          <w:spacing w:val="-4"/>
        </w:rPr>
        <w:t>,</w:t>
      </w:r>
      <w:r w:rsidR="0035166E" w:rsidRPr="00CF726A">
        <w:rPr>
          <w:spacing w:val="-4"/>
        </w:rPr>
        <w:t xml:space="preserve"> </w:t>
      </w:r>
      <w:r w:rsidR="009E72F5" w:rsidRPr="00CF726A">
        <w:rPr>
          <w:spacing w:val="-4"/>
        </w:rPr>
        <w:t>działalnością związaną z kulturą</w:t>
      </w:r>
      <w:r w:rsidR="009E72F5" w:rsidRPr="00CF726A">
        <w:rPr>
          <w:spacing w:val="-2"/>
        </w:rPr>
        <w:t>, rozrywką i rekreacją (z minus 50,1% do minus 52,9%), administrowaniem i działalnością</w:t>
      </w:r>
      <w:r w:rsidR="009E72F5" w:rsidRPr="00090A0A">
        <w:t xml:space="preserve"> wspierającą (z 6,9% do 4,5%)</w:t>
      </w:r>
      <w:r w:rsidR="0097147D" w:rsidRPr="00090A0A">
        <w:t>.</w:t>
      </w:r>
      <w:r w:rsidR="00B05C7B" w:rsidRPr="00090A0A">
        <w:t xml:space="preserve"> </w:t>
      </w:r>
      <w:r w:rsidR="0097147D" w:rsidRPr="00090A0A">
        <w:t xml:space="preserve">Spadek omawianego wskaźnika odnotowano </w:t>
      </w:r>
      <w:r w:rsidR="00135800" w:rsidRPr="00090A0A">
        <w:t>również</w:t>
      </w:r>
      <w:r w:rsidR="00632503" w:rsidRPr="00090A0A">
        <w:t xml:space="preserve"> </w:t>
      </w:r>
      <w:r w:rsidR="0097147D" w:rsidRPr="00090A0A">
        <w:t xml:space="preserve">w </w:t>
      </w:r>
      <w:r w:rsidR="00CF4418" w:rsidRPr="00090A0A">
        <w:t>budownictw</w:t>
      </w:r>
      <w:r w:rsidR="0097147D" w:rsidRPr="00090A0A">
        <w:t>ie</w:t>
      </w:r>
      <w:r w:rsidR="00CF4418" w:rsidRPr="00090A0A">
        <w:t xml:space="preserve"> (</w:t>
      </w:r>
      <w:r w:rsidR="00135800" w:rsidRPr="00090A0A">
        <w:t xml:space="preserve">z </w:t>
      </w:r>
      <w:r w:rsidR="009E72F5" w:rsidRPr="00090A0A">
        <w:t>7,5</w:t>
      </w:r>
      <w:r w:rsidR="00135800" w:rsidRPr="00090A0A">
        <w:t>%</w:t>
      </w:r>
      <w:r w:rsidR="00CF4418" w:rsidRPr="00090A0A">
        <w:t xml:space="preserve"> do </w:t>
      </w:r>
      <w:r w:rsidR="009E72F5" w:rsidRPr="00090A0A">
        <w:t>5,2</w:t>
      </w:r>
      <w:r w:rsidR="00CF4418" w:rsidRPr="00090A0A">
        <w:t xml:space="preserve">%), </w:t>
      </w:r>
      <w:r w:rsidR="00A657CE">
        <w:t xml:space="preserve">w </w:t>
      </w:r>
      <w:r w:rsidR="009E72F5" w:rsidRPr="00090A0A">
        <w:t xml:space="preserve">przetwórstwie przemysłowym (z 3,6% do 1,8%), </w:t>
      </w:r>
      <w:r w:rsidR="00A657CE">
        <w:t xml:space="preserve">w </w:t>
      </w:r>
      <w:r w:rsidR="009E72F5" w:rsidRPr="00090A0A">
        <w:t xml:space="preserve">zakwaterowaniu </w:t>
      </w:r>
      <w:r w:rsidR="00A657CE">
        <w:br/>
      </w:r>
      <w:r w:rsidR="009E72F5" w:rsidRPr="00090A0A">
        <w:t xml:space="preserve">i gastronomii (z 8,3% do 6,7%). W jednostkach prosperujących w ramach sekcji: Wytwarzanie </w:t>
      </w:r>
      <w:r w:rsidR="00CF726A">
        <w:br/>
      </w:r>
      <w:r w:rsidR="009E72F5" w:rsidRPr="00090A0A">
        <w:t xml:space="preserve">i </w:t>
      </w:r>
      <w:r w:rsidR="009E72F5" w:rsidRPr="00CF726A">
        <w:rPr>
          <w:spacing w:val="-2"/>
        </w:rPr>
        <w:t>zaopatrywanie w energię elektryczną, gaz, parę wodną i gorącą wodę, Transport i gospodarka</w:t>
      </w:r>
      <w:r w:rsidR="009E72F5" w:rsidRPr="00090A0A">
        <w:t xml:space="preserve"> magazynowa oraz Dostawa wody; gospodarowanie ściekami i odpadami; rekultywacja wskaź</w:t>
      </w:r>
      <w:r w:rsidR="009E72F5" w:rsidRPr="00CF726A">
        <w:rPr>
          <w:spacing w:val="-2"/>
        </w:rPr>
        <w:t>niki rentowności obrotu netto również zmniejszyły się w skali roku, ale ich spadki były mniejsze</w:t>
      </w:r>
      <w:r w:rsidR="009E72F5" w:rsidRPr="00090A0A">
        <w:t xml:space="preserve"> niż średnio w województwie, tj. o 0,9 p. proc</w:t>
      </w:r>
      <w:r w:rsidR="00632503" w:rsidRPr="00090A0A">
        <w:t>.</w:t>
      </w:r>
      <w:r w:rsidR="0035166E" w:rsidRPr="00090A0A">
        <w:t xml:space="preserve"> </w:t>
      </w:r>
      <w:r w:rsidR="009E72F5" w:rsidRPr="00090A0A">
        <w:t xml:space="preserve">Najwyższy wzrost </w:t>
      </w:r>
      <w:r w:rsidR="00B05C7B" w:rsidRPr="00090A0A">
        <w:t>wskaźnik</w:t>
      </w:r>
      <w:r w:rsidR="009E72F5" w:rsidRPr="00090A0A">
        <w:t>a</w:t>
      </w:r>
      <w:r w:rsidR="00B05C7B" w:rsidRPr="00090A0A">
        <w:t xml:space="preserve"> rentowności</w:t>
      </w:r>
      <w:r w:rsidR="00F677E2" w:rsidRPr="00090A0A">
        <w:t xml:space="preserve"> obrotu</w:t>
      </w:r>
      <w:r w:rsidR="00B05C7B" w:rsidRPr="00090A0A">
        <w:t xml:space="preserve"> netto</w:t>
      </w:r>
      <w:r w:rsidR="00F677E2" w:rsidRPr="00090A0A">
        <w:t xml:space="preserve"> w skali roku</w:t>
      </w:r>
      <w:r w:rsidRPr="00090A0A">
        <w:t xml:space="preserve"> </w:t>
      </w:r>
      <w:r w:rsidR="009E72F5" w:rsidRPr="00090A0A">
        <w:t xml:space="preserve">odnotowano </w:t>
      </w:r>
      <w:r w:rsidR="00331A98">
        <w:t>w obsłudze</w:t>
      </w:r>
      <w:r w:rsidR="009E72F5" w:rsidRPr="00090A0A">
        <w:t xml:space="preserve"> rynku nieruchomości (o 7,2 p. proc.).</w:t>
      </w:r>
      <w:r w:rsidR="0035166E" w:rsidRPr="00090A0A">
        <w:t xml:space="preserve"> </w:t>
      </w:r>
      <w:r w:rsidR="00092AA0" w:rsidRPr="00090A0A">
        <w:t xml:space="preserve">W </w:t>
      </w:r>
      <w:r w:rsidR="00331A98">
        <w:t>h</w:t>
      </w:r>
      <w:r w:rsidR="00092AA0" w:rsidRPr="00090A0A">
        <w:t>andl</w:t>
      </w:r>
      <w:r w:rsidR="00331A98">
        <w:t xml:space="preserve">u; </w:t>
      </w:r>
      <w:r w:rsidR="00331A98">
        <w:br/>
      </w:r>
      <w:r w:rsidR="00092AA0" w:rsidRPr="00090A0A">
        <w:t>napraw</w:t>
      </w:r>
      <w:r w:rsidR="00331A98">
        <w:t>ie</w:t>
      </w:r>
      <w:r w:rsidR="00092AA0" w:rsidRPr="00090A0A">
        <w:t xml:space="preserve"> pojazdów samochodowych omawiany wskaźnik pozostał na ubiegłorocznym poziomie, tj. 1,7</w:t>
      </w:r>
      <w:r w:rsidR="00092AA0">
        <w:t>%.</w:t>
      </w:r>
    </w:p>
    <w:p w14:paraId="6DF90D77" w14:textId="4E444CAB" w:rsidR="00DD5224" w:rsidRDefault="008C04BC" w:rsidP="008C04BC">
      <w:pPr>
        <w:pStyle w:val="tytuwykresu"/>
      </w:pPr>
      <w:r>
        <w:t>Wykres 2. Wskaźnik rentowności obrotu netto według sekcji PKD</w:t>
      </w:r>
      <w:r w:rsidR="00DD5224">
        <w:t xml:space="preserve"> </w:t>
      </w:r>
    </w:p>
    <w:p w14:paraId="26453690" w14:textId="5B772AD5" w:rsidR="00057E90" w:rsidRDefault="00057E90" w:rsidP="00057E90">
      <w:pPr>
        <w:pStyle w:val="Brakstyluakapitowego"/>
      </w:pPr>
      <w:r>
        <w:rPr>
          <w:noProof/>
        </w:rPr>
        <w:drawing>
          <wp:inline distT="0" distB="0" distL="0" distR="0" wp14:anchorId="05B31276" wp14:editId="5561A8B5">
            <wp:extent cx="4065993" cy="4176000"/>
            <wp:effectExtent l="0" t="0" r="0" b="0"/>
            <wp:docPr id="17" name="Obraz 17" descr="Wykres 2 Wskaźniki rentowności obrotu netto według sekcji PKD&#10;&#10;Wykres słupkowy prezentujący wskaźniki rentowności obrotu netto według sekcji PKD w latach 2025 i 2024. Dane opisane w tekś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Wykres 2 Wskaźniki rentowności obrotu netto według sekcji PKD&#10;&#10;Wykres słupkowy prezentujący wskaźniki rentowności obrotu netto według sekcji PKD w latach 2025 i 2024. Dane opisane w tekście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5993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0D2C" w14:textId="60D450D4" w:rsidR="0097667C" w:rsidRPr="00B43897" w:rsidRDefault="0035166E" w:rsidP="0047234E">
      <w:r w:rsidRPr="00EB2822">
        <w:rPr>
          <w:spacing w:val="-2"/>
        </w:rPr>
        <w:lastRenderedPageBreak/>
        <w:t xml:space="preserve">Wskaźnik płynności finansowej I stopnia wyniósł </w:t>
      </w:r>
      <w:r w:rsidR="002E3AE0" w:rsidRPr="00EB2822">
        <w:rPr>
          <w:spacing w:val="-2"/>
        </w:rPr>
        <w:t>42,2</w:t>
      </w:r>
      <w:r w:rsidRPr="00EB2822">
        <w:rPr>
          <w:spacing w:val="-2"/>
        </w:rPr>
        <w:t xml:space="preserve">% (wobec </w:t>
      </w:r>
      <w:r w:rsidR="002E3AE0" w:rsidRPr="00EB2822">
        <w:rPr>
          <w:spacing w:val="-2"/>
        </w:rPr>
        <w:t>39,0</w:t>
      </w:r>
      <w:r w:rsidRPr="00EB2822">
        <w:rPr>
          <w:spacing w:val="-2"/>
        </w:rPr>
        <w:t>% przed rokiem), płynności</w:t>
      </w:r>
      <w:r w:rsidRPr="00B43897">
        <w:t xml:space="preserve"> finansowej II stopnia – </w:t>
      </w:r>
      <w:r w:rsidR="002E3AE0">
        <w:t>87,4</w:t>
      </w:r>
      <w:r w:rsidRPr="00B43897">
        <w:t xml:space="preserve">% (wobec </w:t>
      </w:r>
      <w:r w:rsidR="002E3AE0">
        <w:t>85,8</w:t>
      </w:r>
      <w:r w:rsidRPr="00B43897">
        <w:t>%)</w:t>
      </w:r>
      <w:r w:rsidR="00834A23" w:rsidRPr="00B43897">
        <w:t xml:space="preserve">, a płynności finansowej III </w:t>
      </w:r>
      <w:r w:rsidR="004D37A3">
        <w:t>stopnia</w:t>
      </w:r>
      <w:r w:rsidR="00FC394F">
        <w:t xml:space="preserve"> </w:t>
      </w:r>
      <w:r w:rsidR="00834A23" w:rsidRPr="00B43897">
        <w:t xml:space="preserve">– </w:t>
      </w:r>
      <w:r w:rsidR="002E3AE0">
        <w:t>131,5</w:t>
      </w:r>
      <w:r w:rsidR="00834A23" w:rsidRPr="00B43897">
        <w:t xml:space="preserve">% </w:t>
      </w:r>
      <w:r w:rsidR="00EB2822">
        <w:br/>
      </w:r>
      <w:r w:rsidR="00834A23" w:rsidRPr="00B43897">
        <w:t xml:space="preserve">(wobec </w:t>
      </w:r>
      <w:r w:rsidR="002E3AE0">
        <w:t>138,4</w:t>
      </w:r>
      <w:r w:rsidR="00834A23" w:rsidRPr="00B43897">
        <w:t>%)</w:t>
      </w:r>
      <w:r w:rsidRPr="00B43897">
        <w:t xml:space="preserve">. </w:t>
      </w:r>
    </w:p>
    <w:p w14:paraId="65DC4785" w14:textId="1BFD6528" w:rsidR="0043227A" w:rsidRDefault="0043227A" w:rsidP="0047234E">
      <w:r w:rsidRPr="005A6F95">
        <w:rPr>
          <w:spacing w:val="-2"/>
        </w:rPr>
        <w:t xml:space="preserve">Wartość aktywów obrotowych według stanu na dzień 31 grudnia </w:t>
      </w:r>
      <w:r w:rsidR="002E3AE0" w:rsidRPr="005A6F95">
        <w:rPr>
          <w:spacing w:val="-2"/>
        </w:rPr>
        <w:t>202</w:t>
      </w:r>
      <w:r w:rsidR="002E3AE0">
        <w:rPr>
          <w:spacing w:val="-2"/>
        </w:rPr>
        <w:t>5</w:t>
      </w:r>
      <w:r w:rsidR="002E3AE0" w:rsidRPr="005A6F95">
        <w:rPr>
          <w:spacing w:val="-2"/>
        </w:rPr>
        <w:t xml:space="preserve"> </w:t>
      </w:r>
      <w:r w:rsidRPr="005A6F95">
        <w:rPr>
          <w:spacing w:val="-2"/>
        </w:rPr>
        <w:t xml:space="preserve">r. wyniosła </w:t>
      </w:r>
      <w:r w:rsidR="002E3AE0">
        <w:rPr>
          <w:rFonts w:cs="Arial"/>
          <w:color w:val="000000"/>
          <w:spacing w:val="-2"/>
        </w:rPr>
        <w:t>48 297,5</w:t>
      </w:r>
      <w:r w:rsidRPr="005A6F95">
        <w:rPr>
          <w:spacing w:val="-2"/>
        </w:rPr>
        <w:t xml:space="preserve"> mln zł</w:t>
      </w:r>
      <w:r w:rsidR="00BD3642">
        <w:t xml:space="preserve"> </w:t>
      </w:r>
      <w:r>
        <w:t xml:space="preserve">i w porównaniu z rokiem poprzednim zwiększyła się o </w:t>
      </w:r>
      <w:r w:rsidR="002E3AE0">
        <w:t>7,5</w:t>
      </w:r>
      <w:r>
        <w:t xml:space="preserve">%. W rzeczowej strukturze aktywów </w:t>
      </w:r>
      <w:r w:rsidR="00C90BE8">
        <w:t xml:space="preserve">obrotowych </w:t>
      </w:r>
      <w:r>
        <w:t xml:space="preserve">udział </w:t>
      </w:r>
      <w:r w:rsidR="004D37A3">
        <w:t xml:space="preserve">należności </w:t>
      </w:r>
      <w:r w:rsidR="00C90BE8">
        <w:t xml:space="preserve">krótkoterminowych </w:t>
      </w:r>
      <w:r w:rsidR="002E3AE0">
        <w:t>wyniósł 34,4%, inwestycji krótkoterminowych – 32,1%, zapasów – 30,8%, krótkoterminowych rozliczeń międzyokresowych – 2,7%</w:t>
      </w:r>
      <w:r>
        <w:t>.</w:t>
      </w:r>
      <w:r w:rsidR="009D7DF4">
        <w:t xml:space="preserve"> </w:t>
      </w:r>
    </w:p>
    <w:p w14:paraId="4EB0A0F1" w14:textId="3752DE8C" w:rsidR="00B93B53" w:rsidRDefault="007639B7" w:rsidP="00380175">
      <w:r w:rsidRPr="0047234E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3522525" wp14:editId="2C3A305C">
                <wp:simplePos x="0" y="0"/>
                <wp:positionH relativeFrom="column">
                  <wp:posOffset>5285105</wp:posOffset>
                </wp:positionH>
                <wp:positionV relativeFrom="paragraph">
                  <wp:posOffset>3810</wp:posOffset>
                </wp:positionV>
                <wp:extent cx="1798955" cy="943610"/>
                <wp:effectExtent l="0" t="0" r="0" b="0"/>
                <wp:wrapSquare wrapText="bothSides"/>
                <wp:docPr id="12" name="Pole tekstowe 5" descr="W porównaniu z 2024 r. zobowiązania krótkoterminowe  wzrosły o 13,0%, a zobowiązania długoterminowe zmniejszyły się o 2,1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955" cy="943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E0CF" w14:textId="501EF39B" w:rsidR="00A05623" w:rsidRPr="00960051" w:rsidRDefault="00A05623">
                            <w:pPr>
                              <w:pStyle w:val="tekstzboku"/>
                            </w:pPr>
                            <w:r w:rsidRPr="00C50B58">
                              <w:t xml:space="preserve">W </w:t>
                            </w:r>
                            <w:r w:rsidRPr="005A6F95">
                              <w:t>porównaniu</w:t>
                            </w:r>
                            <w:r w:rsidRPr="00C50B58">
                              <w:t xml:space="preserve"> </w:t>
                            </w:r>
                            <w:r w:rsidRPr="005A6F95">
                              <w:t xml:space="preserve">z </w:t>
                            </w:r>
                            <w:r w:rsidR="002E3AE0" w:rsidRPr="005A6F95">
                              <w:t>202</w:t>
                            </w:r>
                            <w:r w:rsidR="002E3AE0">
                              <w:t>4</w:t>
                            </w:r>
                            <w:r w:rsidR="002E3AE0" w:rsidRPr="005A6F95">
                              <w:t xml:space="preserve"> </w:t>
                            </w:r>
                            <w:r w:rsidRPr="005A6F95">
                              <w:t xml:space="preserve">r. </w:t>
                            </w:r>
                            <w:r w:rsidR="007639B7">
                              <w:t xml:space="preserve">zobowiązania krótkoterminowe </w:t>
                            </w:r>
                            <w:r w:rsidRPr="005A6F95">
                              <w:t xml:space="preserve"> wzrosły</w:t>
                            </w:r>
                            <w:r w:rsidRPr="00C50B58">
                              <w:t xml:space="preserve"> o </w:t>
                            </w:r>
                            <w:r w:rsidR="007639B7">
                              <w:t>13,0</w:t>
                            </w:r>
                            <w:r w:rsidRPr="00C50B58">
                              <w:t>%</w:t>
                            </w:r>
                            <w:r w:rsidR="007639B7">
                              <w:t>, a zobowiązania długoterminowe zmniejszyły się o 2,1%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2525" id="_x0000_s1030" type="#_x0000_t202" alt="W porównaniu z 2024 r. zobowiązania krótkoterminowe  wzrosły o 13,0%, a zobowiązania długoterminowe zmniejszyły się o 2,1%" style="position:absolute;margin-left:416.15pt;margin-top:.3pt;width:141.65pt;height:74.3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" filled="f" stroked="f">
                <v:textbox>
                  <w:txbxContent>
                    <w:p w14:paraId="3A76E0CF" w14:textId="501EF39B" w:rsidR="00A05623" w:rsidRPr="00960051" w:rsidRDefault="00A05623">
                      <w:pPr>
                        <w:pStyle w:val="tekstzboku"/>
                      </w:pPr>
                      <w:r w:rsidRPr="00C50B58">
                        <w:t xml:space="preserve">W </w:t>
                      </w:r>
                      <w:r w:rsidRPr="005A6F95">
                        <w:t>porównaniu</w:t>
                      </w:r>
                      <w:r w:rsidRPr="00C50B58">
                        <w:t xml:space="preserve"> </w:t>
                      </w:r>
                      <w:r w:rsidRPr="005A6F95">
                        <w:t xml:space="preserve">z </w:t>
                      </w:r>
                      <w:r w:rsidR="002E3AE0" w:rsidRPr="005A6F95">
                        <w:t>202</w:t>
                      </w:r>
                      <w:r w:rsidR="002E3AE0">
                        <w:t>4</w:t>
                      </w:r>
                      <w:r w:rsidR="002E3AE0" w:rsidRPr="005A6F95">
                        <w:t xml:space="preserve"> </w:t>
                      </w:r>
                      <w:r w:rsidRPr="005A6F95">
                        <w:t xml:space="preserve">r. </w:t>
                      </w:r>
                      <w:r w:rsidR="007639B7">
                        <w:t xml:space="preserve">zobowiązania krótkoterminowe </w:t>
                      </w:r>
                      <w:r w:rsidRPr="005A6F95">
                        <w:t xml:space="preserve"> wzrosły</w:t>
                      </w:r>
                      <w:r w:rsidRPr="00C50B58">
                        <w:t xml:space="preserve"> o </w:t>
                      </w:r>
                      <w:r w:rsidR="007639B7">
                        <w:t>13,0</w:t>
                      </w:r>
                      <w:r w:rsidRPr="00C50B58">
                        <w:t>%</w:t>
                      </w:r>
                      <w:r w:rsidR="007639B7">
                        <w:t>, a zobowiązania długoterminowe zmniejszyły się o 2,1%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3B53" w:rsidRPr="0047234E">
        <w:t xml:space="preserve">Podstawowym źródłem finansowania aktywów obrotowych były zobowiązania krótkoterminowe, które osiągnęły wartość </w:t>
      </w:r>
      <w:r w:rsidR="002E3AE0" w:rsidRPr="0047234E">
        <w:t>36 715,7</w:t>
      </w:r>
      <w:r w:rsidR="00B93B53" w:rsidRPr="0047234E">
        <w:t xml:space="preserve"> mln zł. Wśród nich dom</w:t>
      </w:r>
      <w:r w:rsidR="00B93B53">
        <w:t xml:space="preserve">inowały zobowiązania z tytułu </w:t>
      </w:r>
      <w:r w:rsidR="00380175">
        <w:br/>
      </w:r>
      <w:r w:rsidR="00B93B53">
        <w:t>dostaw i usług (</w:t>
      </w:r>
      <w:r w:rsidR="002E3AE0">
        <w:t>42,6</w:t>
      </w:r>
      <w:r w:rsidR="00B93B53">
        <w:t>%) oraz kredytów i pożyczek (</w:t>
      </w:r>
      <w:r w:rsidR="002E3AE0">
        <w:t>24,8</w:t>
      </w:r>
      <w:r w:rsidR="00B93B53">
        <w:t xml:space="preserve">%). </w:t>
      </w:r>
    </w:p>
    <w:p w14:paraId="691B1F68" w14:textId="6AC6DDA0" w:rsidR="00B93B53" w:rsidRDefault="00B93B53" w:rsidP="00380175">
      <w:r w:rsidRPr="0047234E">
        <w:t xml:space="preserve">Zobowiązania długoterminowe w końcu grudnia </w:t>
      </w:r>
      <w:r w:rsidR="002E3AE0" w:rsidRPr="0047234E">
        <w:t xml:space="preserve">2025 </w:t>
      </w:r>
      <w:r w:rsidRPr="0047234E">
        <w:t xml:space="preserve">r. osiągnęły poziom </w:t>
      </w:r>
      <w:r w:rsidR="002E3AE0" w:rsidRPr="0047234E">
        <w:t>12 235,7</w:t>
      </w:r>
      <w:r w:rsidR="00FE031C" w:rsidRPr="0047234E">
        <w:t xml:space="preserve"> </w:t>
      </w:r>
      <w:r w:rsidRPr="0047234E">
        <w:t>mln zł</w:t>
      </w:r>
      <w:r w:rsidR="00FC5A12" w:rsidRPr="0047234E">
        <w:t xml:space="preserve">, </w:t>
      </w:r>
      <w:r w:rsidR="00380175" w:rsidRPr="0047234E">
        <w:br/>
      </w:r>
      <w:r w:rsidR="00FC5A12" w:rsidRPr="0047234E">
        <w:t>w tym n</w:t>
      </w:r>
      <w:r w:rsidRPr="0047234E">
        <w:t xml:space="preserve">a kredyty i pożyczki przypadało </w:t>
      </w:r>
      <w:r w:rsidR="002E3AE0" w:rsidRPr="0047234E">
        <w:t>74,1</w:t>
      </w:r>
      <w:r w:rsidR="00FC5A12" w:rsidRPr="0047234E">
        <w:t>%</w:t>
      </w:r>
      <w:r w:rsidRPr="0047234E">
        <w:t xml:space="preserve"> zobowiązań długoterminowych</w:t>
      </w:r>
      <w:r>
        <w:t xml:space="preserve">. </w:t>
      </w:r>
    </w:p>
    <w:p w14:paraId="5090BB29" w14:textId="77777777" w:rsidR="00822F36" w:rsidRPr="00672FE2" w:rsidRDefault="0097667C" w:rsidP="00672FE2">
      <w:pPr>
        <w:pStyle w:val="tytuwykresu"/>
        <w:ind w:left="851" w:hanging="851"/>
        <w:rPr>
          <w:b w:val="0"/>
        </w:rPr>
      </w:pPr>
      <w:r w:rsidRPr="00454A82">
        <w:t xml:space="preserve">Tablica </w:t>
      </w:r>
      <w:r>
        <w:t>3</w:t>
      </w:r>
      <w:r w:rsidRPr="00454A82">
        <w:t xml:space="preserve">. </w:t>
      </w:r>
      <w:r>
        <w:t>Aktywa obrotowe oraz zobowiązania</w:t>
      </w:r>
      <w:r w:rsidRPr="00454A82">
        <w:t xml:space="preserve"> </w:t>
      </w:r>
      <w:r w:rsidR="00672FE2">
        <w:br/>
      </w:r>
      <w:r w:rsidR="00822F36" w:rsidRPr="00672FE2">
        <w:rPr>
          <w:b w:val="0"/>
        </w:rPr>
        <w:t>Stan w dniu 31 grudnia</w:t>
      </w:r>
    </w:p>
    <w:tbl>
      <w:tblPr>
        <w:tblW w:w="804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ktywa obrotowe oraz zobowiązania "/>
      </w:tblPr>
      <w:tblGrid>
        <w:gridCol w:w="3857"/>
        <w:gridCol w:w="1388"/>
        <w:gridCol w:w="1419"/>
        <w:gridCol w:w="1381"/>
      </w:tblGrid>
      <w:tr w:rsidR="0097667C" w:rsidRPr="00957F9B" w14:paraId="3B19E18A" w14:textId="77777777" w:rsidTr="0014616D">
        <w:trPr>
          <w:trHeight w:val="420"/>
        </w:trPr>
        <w:tc>
          <w:tcPr>
            <w:tcW w:w="385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5B6900B0" w14:textId="77777777" w:rsidR="0097667C" w:rsidRPr="005A6F95" w:rsidRDefault="0097667C" w:rsidP="00932FB8">
            <w:pPr>
              <w:pStyle w:val="glowkatablicy"/>
            </w:pPr>
            <w:r w:rsidRPr="005A6F95">
              <w:t>Wyszczególnienie</w:t>
            </w:r>
          </w:p>
        </w:tc>
        <w:tc>
          <w:tcPr>
            <w:tcW w:w="138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664C563F" w14:textId="6A1FC7DF" w:rsidR="0097667C" w:rsidRPr="005A6F95" w:rsidRDefault="0097667C" w:rsidP="00C264F6">
            <w:pPr>
              <w:pStyle w:val="glowkatablicy"/>
            </w:pPr>
            <w:r w:rsidRPr="005A6F95">
              <w:t>202</w:t>
            </w:r>
            <w:r w:rsidR="0014616D">
              <w:t>4</w:t>
            </w:r>
          </w:p>
        </w:tc>
        <w:tc>
          <w:tcPr>
            <w:tcW w:w="1419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vAlign w:val="center"/>
          </w:tcPr>
          <w:p w14:paraId="1995A7D3" w14:textId="1BEC849E" w:rsidR="0097667C" w:rsidRPr="005A6F95" w:rsidRDefault="0097667C" w:rsidP="00D71C6A">
            <w:pPr>
              <w:pStyle w:val="glowkatablicy"/>
            </w:pPr>
            <w:r w:rsidRPr="005A6F95">
              <w:t>202</w:t>
            </w:r>
            <w:r w:rsidR="0014616D">
              <w:t>5</w:t>
            </w:r>
          </w:p>
        </w:tc>
        <w:tc>
          <w:tcPr>
            <w:tcW w:w="1381" w:type="dxa"/>
            <w:vMerge w:val="restart"/>
            <w:tcBorders>
              <w:top w:val="single" w:sz="4" w:space="0" w:color="001D77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D540393" w14:textId="677E9C7F" w:rsidR="0097667C" w:rsidRPr="005A6F95" w:rsidRDefault="0097667C" w:rsidP="00C264F6">
            <w:pPr>
              <w:pStyle w:val="glowkatablicy"/>
            </w:pPr>
            <w:r w:rsidRPr="005A6F95">
              <w:t>202</w:t>
            </w:r>
            <w:r w:rsidR="0014616D">
              <w:t>4</w:t>
            </w:r>
            <w:r w:rsidRPr="005A6F95">
              <w:t>=100</w:t>
            </w:r>
          </w:p>
        </w:tc>
      </w:tr>
      <w:tr w:rsidR="0097667C" w:rsidRPr="00957F9B" w14:paraId="71CFC23F" w14:textId="77777777" w:rsidTr="0014616D">
        <w:trPr>
          <w:trHeight w:val="420"/>
        </w:trPr>
        <w:tc>
          <w:tcPr>
            <w:tcW w:w="385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AEE3B61" w14:textId="77777777" w:rsidR="0097667C" w:rsidRPr="00B43897" w:rsidRDefault="0097667C" w:rsidP="00932FB8">
            <w:pPr>
              <w:jc w:val="center"/>
              <w:rPr>
                <w:rFonts w:eastAsia="Times New Roman" w:cs="Calibri"/>
                <w:color w:val="000000"/>
                <w:szCs w:val="19"/>
                <w:lang w:eastAsia="pl-PL"/>
              </w:rPr>
            </w:pPr>
          </w:p>
        </w:tc>
        <w:tc>
          <w:tcPr>
            <w:tcW w:w="2807" w:type="dxa"/>
            <w:gridSpan w:val="2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068E6AF" w14:textId="77777777" w:rsidR="0097667C" w:rsidRPr="005A6F95" w:rsidRDefault="0097667C" w:rsidP="0097667C">
            <w:pPr>
              <w:pStyle w:val="glowkatablicy"/>
            </w:pPr>
            <w:r w:rsidRPr="005A6F95">
              <w:t>w milionach złotych</w:t>
            </w:r>
          </w:p>
        </w:tc>
        <w:tc>
          <w:tcPr>
            <w:tcW w:w="1381" w:type="dxa"/>
            <w:vMerge/>
            <w:tcBorders>
              <w:top w:val="single" w:sz="4" w:space="0" w:color="001D77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3669785" w14:textId="77777777" w:rsidR="0097667C" w:rsidRPr="00B43897" w:rsidRDefault="0097667C" w:rsidP="00932FB8">
            <w:pPr>
              <w:jc w:val="center"/>
              <w:rPr>
                <w:rFonts w:eastAsia="Times New Roman" w:cs="Calibri"/>
                <w:szCs w:val="19"/>
                <w:lang w:eastAsia="pl-PL"/>
              </w:rPr>
            </w:pPr>
          </w:p>
        </w:tc>
      </w:tr>
      <w:tr w:rsidR="00643F95" w:rsidRPr="00957F9B" w14:paraId="24AA277D" w14:textId="77777777" w:rsidTr="007807F2">
        <w:trPr>
          <w:trHeight w:val="504"/>
        </w:trPr>
        <w:tc>
          <w:tcPr>
            <w:tcW w:w="385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5BF188" w14:textId="77777777" w:rsidR="00643F95" w:rsidRPr="00B43897" w:rsidRDefault="00643F95" w:rsidP="00643F95">
            <w:pPr>
              <w:spacing w:line="240" w:lineRule="exact"/>
              <w:rPr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Aktywa obrotowe</w:t>
            </w:r>
          </w:p>
        </w:tc>
        <w:tc>
          <w:tcPr>
            <w:tcW w:w="1388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4DD7FB" w14:textId="61C392BF" w:rsidR="00643F95" w:rsidRPr="0038017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44 942,2</w:t>
            </w:r>
          </w:p>
        </w:tc>
        <w:tc>
          <w:tcPr>
            <w:tcW w:w="1419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9638F66" w14:textId="1C07C583" w:rsidR="00643F95" w:rsidRPr="00643F9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7807F2">
              <w:rPr>
                <w:rFonts w:cs="Arial"/>
                <w:color w:val="000000"/>
                <w:szCs w:val="19"/>
              </w:rPr>
              <w:t>48 297,5</w:t>
            </w:r>
          </w:p>
        </w:tc>
        <w:tc>
          <w:tcPr>
            <w:tcW w:w="1381" w:type="dxa"/>
            <w:tcBorders>
              <w:top w:val="single" w:sz="4" w:space="0" w:color="212492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</w:tcPr>
          <w:p w14:paraId="7B812660" w14:textId="7130E9F6" w:rsidR="00643F95" w:rsidRPr="00643F9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7807F2">
              <w:rPr>
                <w:rFonts w:cs="Arial"/>
                <w:color w:val="000000"/>
                <w:szCs w:val="19"/>
              </w:rPr>
              <w:t>107,5</w:t>
            </w:r>
          </w:p>
        </w:tc>
      </w:tr>
      <w:tr w:rsidR="00643F95" w:rsidRPr="00957F9B" w14:paraId="0E0D77DE" w14:textId="77777777" w:rsidTr="007807F2">
        <w:trPr>
          <w:trHeight w:val="504"/>
        </w:trPr>
        <w:tc>
          <w:tcPr>
            <w:tcW w:w="385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B9AE91" w14:textId="77777777" w:rsidR="00643F95" w:rsidRPr="00B43897" w:rsidRDefault="00643F95" w:rsidP="00643F95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zapasy</w:t>
            </w:r>
          </w:p>
        </w:tc>
        <w:tc>
          <w:tcPr>
            <w:tcW w:w="13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46AC772" w14:textId="34969831" w:rsidR="00643F95" w:rsidRPr="0038017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14 587,6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F7220EE" w14:textId="25DB096D" w:rsidR="00643F95" w:rsidRPr="00643F9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7807F2">
              <w:rPr>
                <w:rFonts w:cs="Arial"/>
                <w:color w:val="000000"/>
                <w:szCs w:val="19"/>
              </w:rPr>
              <w:t>14 896,8</w:t>
            </w:r>
          </w:p>
        </w:tc>
        <w:tc>
          <w:tcPr>
            <w:tcW w:w="1381" w:type="dxa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bottom"/>
          </w:tcPr>
          <w:p w14:paraId="48660CFF" w14:textId="5F0572A3" w:rsidR="00643F95" w:rsidRPr="00643F9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7807F2">
              <w:rPr>
                <w:rFonts w:cs="Arial"/>
                <w:color w:val="000000"/>
                <w:szCs w:val="19"/>
              </w:rPr>
              <w:t>102,1</w:t>
            </w:r>
          </w:p>
        </w:tc>
      </w:tr>
      <w:tr w:rsidR="00643F95" w:rsidRPr="00957F9B" w14:paraId="6D16B3BA" w14:textId="77777777" w:rsidTr="007807F2">
        <w:trPr>
          <w:trHeight w:val="504"/>
        </w:trPr>
        <w:tc>
          <w:tcPr>
            <w:tcW w:w="385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5BC4256" w14:textId="77777777" w:rsidR="00643F95" w:rsidRPr="00B43897" w:rsidRDefault="00643F95" w:rsidP="00643F95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należności krótkoterminowe</w:t>
            </w:r>
          </w:p>
        </w:tc>
        <w:tc>
          <w:tcPr>
            <w:tcW w:w="13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249AA0C" w14:textId="4F7BDE2A" w:rsidR="00643F95" w:rsidRPr="0038017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15 197,8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F0D48CE" w14:textId="4AC7FE0E" w:rsidR="00643F95" w:rsidRPr="00643F9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7807F2">
              <w:rPr>
                <w:rFonts w:cs="Arial"/>
                <w:color w:val="000000"/>
                <w:szCs w:val="19"/>
              </w:rPr>
              <w:t>16 590,3</w:t>
            </w:r>
          </w:p>
        </w:tc>
        <w:tc>
          <w:tcPr>
            <w:tcW w:w="1381" w:type="dxa"/>
            <w:tcBorders>
              <w:top w:val="nil"/>
              <w:left w:val="single" w:sz="4" w:space="0" w:color="001D77"/>
              <w:bottom w:val="single" w:sz="4" w:space="0" w:color="212492"/>
              <w:right w:val="nil"/>
            </w:tcBorders>
            <w:shd w:val="clear" w:color="auto" w:fill="auto"/>
            <w:noWrap/>
            <w:vAlign w:val="bottom"/>
          </w:tcPr>
          <w:p w14:paraId="2BAED463" w14:textId="756A48A8" w:rsidR="00643F95" w:rsidRPr="00643F9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7807F2">
              <w:rPr>
                <w:rFonts w:cs="Arial"/>
                <w:color w:val="000000"/>
                <w:szCs w:val="19"/>
              </w:rPr>
              <w:t>109,2</w:t>
            </w:r>
          </w:p>
        </w:tc>
      </w:tr>
      <w:tr w:rsidR="00643F95" w:rsidRPr="00957F9B" w14:paraId="4655C003" w14:textId="77777777" w:rsidTr="007807F2">
        <w:trPr>
          <w:trHeight w:val="504"/>
        </w:trPr>
        <w:tc>
          <w:tcPr>
            <w:tcW w:w="385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F9D7A4" w14:textId="77777777" w:rsidR="00643F95" w:rsidRPr="00B43897" w:rsidRDefault="00643F95" w:rsidP="00643F95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inwestycje krótkoterminowe</w:t>
            </w:r>
          </w:p>
        </w:tc>
        <w:tc>
          <w:tcPr>
            <w:tcW w:w="13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DD265CC" w14:textId="48B82C94" w:rsidR="00643F95" w:rsidRPr="0038017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12 671,2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B983E4C" w14:textId="5D1D2619" w:rsidR="00643F95" w:rsidRPr="00643F9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7807F2">
              <w:rPr>
                <w:rFonts w:cs="Arial"/>
                <w:color w:val="000000"/>
                <w:szCs w:val="19"/>
              </w:rPr>
              <w:t>15 496,5</w:t>
            </w:r>
          </w:p>
        </w:tc>
        <w:tc>
          <w:tcPr>
            <w:tcW w:w="1381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</w:tcPr>
          <w:p w14:paraId="6A9A8E66" w14:textId="424B62E0" w:rsidR="00643F95" w:rsidRPr="00643F9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7807F2">
              <w:rPr>
                <w:rFonts w:cs="Arial"/>
                <w:color w:val="000000"/>
                <w:szCs w:val="19"/>
              </w:rPr>
              <w:t>122,3</w:t>
            </w:r>
          </w:p>
        </w:tc>
      </w:tr>
      <w:tr w:rsidR="00643F95" w:rsidRPr="00957F9B" w14:paraId="1D19211F" w14:textId="77777777" w:rsidTr="007807F2">
        <w:trPr>
          <w:trHeight w:val="504"/>
        </w:trPr>
        <w:tc>
          <w:tcPr>
            <w:tcW w:w="385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2B40E93" w14:textId="77777777" w:rsidR="00643F95" w:rsidRPr="00B43897" w:rsidRDefault="00643F95" w:rsidP="00643F95">
            <w:pPr>
              <w:spacing w:line="240" w:lineRule="exact"/>
              <w:ind w:left="176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 xml:space="preserve">krótkoterminowe rozliczenia </w:t>
            </w:r>
            <w:r w:rsidRPr="00B43897">
              <w:rPr>
                <w:rFonts w:cs="Arial"/>
                <w:color w:val="000000"/>
                <w:szCs w:val="19"/>
              </w:rPr>
              <w:br/>
              <w:t>międzyokresowe</w:t>
            </w:r>
          </w:p>
        </w:tc>
        <w:tc>
          <w:tcPr>
            <w:tcW w:w="13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0A0154A" w14:textId="0DAAF23F" w:rsidR="00643F95" w:rsidRPr="0038017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2 485,6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85D8357" w14:textId="6EC08965" w:rsidR="00643F95" w:rsidRPr="00643F9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7807F2">
              <w:rPr>
                <w:rFonts w:cs="Arial"/>
                <w:color w:val="000000"/>
                <w:szCs w:val="19"/>
              </w:rPr>
              <w:t>1 313,9</w:t>
            </w:r>
          </w:p>
        </w:tc>
        <w:tc>
          <w:tcPr>
            <w:tcW w:w="13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</w:tcPr>
          <w:p w14:paraId="068450B7" w14:textId="6B63CE7E" w:rsidR="00643F95" w:rsidRPr="00643F95" w:rsidRDefault="00643F95" w:rsidP="00643F95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7807F2">
              <w:rPr>
                <w:rFonts w:cs="Arial"/>
                <w:color w:val="000000"/>
                <w:szCs w:val="19"/>
              </w:rPr>
              <w:t>52,9</w:t>
            </w:r>
          </w:p>
        </w:tc>
      </w:tr>
      <w:tr w:rsidR="0014616D" w:rsidRPr="00957F9B" w14:paraId="1B538759" w14:textId="77777777" w:rsidTr="0014616D">
        <w:trPr>
          <w:trHeight w:val="504"/>
        </w:trPr>
        <w:tc>
          <w:tcPr>
            <w:tcW w:w="385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187548" w14:textId="77777777" w:rsidR="0014616D" w:rsidRPr="00B43897" w:rsidRDefault="0014616D" w:rsidP="0014616D">
            <w:pPr>
              <w:spacing w:line="24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Zobowiązania krótkoterminowe</w:t>
            </w:r>
          </w:p>
        </w:tc>
        <w:tc>
          <w:tcPr>
            <w:tcW w:w="138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582EE4" w14:textId="37716DB4" w:rsidR="0014616D" w:rsidRPr="00380175" w:rsidRDefault="0014616D" w:rsidP="0014616D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32 478,3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0B8B3E" w14:textId="2E8E11CA" w:rsidR="0014616D" w:rsidRPr="00643F95" w:rsidRDefault="00643F95" w:rsidP="0014616D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643F95">
              <w:rPr>
                <w:rFonts w:cs="Arial"/>
                <w:color w:val="000000"/>
                <w:szCs w:val="19"/>
              </w:rPr>
              <w:t>36</w:t>
            </w:r>
            <w:r w:rsidR="005D6288">
              <w:rPr>
                <w:rFonts w:cs="Arial"/>
                <w:color w:val="000000"/>
                <w:szCs w:val="19"/>
              </w:rPr>
              <w:t xml:space="preserve"> </w:t>
            </w:r>
            <w:r w:rsidRPr="00643F95">
              <w:rPr>
                <w:rFonts w:cs="Arial"/>
                <w:color w:val="000000"/>
                <w:szCs w:val="19"/>
              </w:rPr>
              <w:t>715,7</w:t>
            </w:r>
          </w:p>
        </w:tc>
        <w:tc>
          <w:tcPr>
            <w:tcW w:w="13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54E975A8" w14:textId="2C0C5C66" w:rsidR="0014616D" w:rsidRPr="00643F95" w:rsidRDefault="00643F95" w:rsidP="0014616D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643F95">
              <w:rPr>
                <w:rFonts w:cs="Arial"/>
                <w:color w:val="000000"/>
                <w:szCs w:val="19"/>
              </w:rPr>
              <w:t>113,0</w:t>
            </w:r>
          </w:p>
        </w:tc>
      </w:tr>
      <w:tr w:rsidR="0014616D" w:rsidRPr="00957F9B" w14:paraId="5BCB820A" w14:textId="77777777" w:rsidTr="0014616D">
        <w:trPr>
          <w:trHeight w:val="504"/>
        </w:trPr>
        <w:tc>
          <w:tcPr>
            <w:tcW w:w="3857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7C2896" w14:textId="77777777" w:rsidR="0014616D" w:rsidRPr="00B43897" w:rsidRDefault="0014616D" w:rsidP="0014616D">
            <w:pPr>
              <w:spacing w:line="240" w:lineRule="exact"/>
              <w:rPr>
                <w:rFonts w:cs="Arial"/>
                <w:color w:val="000000"/>
                <w:szCs w:val="19"/>
              </w:rPr>
            </w:pPr>
            <w:r w:rsidRPr="00B43897">
              <w:rPr>
                <w:rFonts w:cs="Arial"/>
                <w:color w:val="000000"/>
                <w:szCs w:val="19"/>
              </w:rPr>
              <w:t>Zobowiązania długoterminowe</w:t>
            </w:r>
          </w:p>
        </w:tc>
        <w:tc>
          <w:tcPr>
            <w:tcW w:w="138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2DF8BB" w14:textId="77590847" w:rsidR="0014616D" w:rsidRPr="00380175" w:rsidRDefault="0014616D" w:rsidP="0014616D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380175">
              <w:rPr>
                <w:rFonts w:cs="Arial"/>
                <w:color w:val="000000"/>
                <w:szCs w:val="19"/>
              </w:rPr>
              <w:t>12 495,4</w:t>
            </w:r>
          </w:p>
        </w:tc>
        <w:tc>
          <w:tcPr>
            <w:tcW w:w="141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ABE9AF" w14:textId="7E5B24EC" w:rsidR="0014616D" w:rsidRPr="00643F95" w:rsidRDefault="00643F95" w:rsidP="0014616D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643F95">
              <w:rPr>
                <w:rFonts w:cs="Arial"/>
                <w:color w:val="000000"/>
                <w:szCs w:val="19"/>
              </w:rPr>
              <w:t>12</w:t>
            </w:r>
            <w:r w:rsidR="005D6288">
              <w:rPr>
                <w:rFonts w:cs="Arial"/>
                <w:color w:val="000000"/>
                <w:szCs w:val="19"/>
              </w:rPr>
              <w:t xml:space="preserve"> </w:t>
            </w:r>
            <w:r w:rsidRPr="00643F95">
              <w:rPr>
                <w:rFonts w:cs="Arial"/>
                <w:color w:val="000000"/>
                <w:szCs w:val="19"/>
              </w:rPr>
              <w:t>235,7</w:t>
            </w:r>
          </w:p>
        </w:tc>
        <w:tc>
          <w:tcPr>
            <w:tcW w:w="1381" w:type="dxa"/>
            <w:tcBorders>
              <w:top w:val="single" w:sz="4" w:space="0" w:color="001D77"/>
              <w:left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030D0EB" w14:textId="5C8712DB" w:rsidR="0014616D" w:rsidRPr="00643F95" w:rsidRDefault="00643F95" w:rsidP="0014616D">
            <w:pPr>
              <w:spacing w:line="240" w:lineRule="exact"/>
              <w:jc w:val="right"/>
              <w:rPr>
                <w:rFonts w:cs="Arial"/>
                <w:color w:val="000000"/>
                <w:szCs w:val="19"/>
              </w:rPr>
            </w:pPr>
            <w:r w:rsidRPr="00643F95">
              <w:rPr>
                <w:rFonts w:cs="Arial"/>
                <w:color w:val="000000"/>
                <w:szCs w:val="19"/>
              </w:rPr>
              <w:t>97,9</w:t>
            </w:r>
          </w:p>
        </w:tc>
      </w:tr>
    </w:tbl>
    <w:p w14:paraId="29489C17" w14:textId="61CC4497" w:rsidR="0035166E" w:rsidRDefault="0035166E" w:rsidP="00380175">
      <w:r w:rsidRPr="005D6288">
        <w:t xml:space="preserve">W strukturze rodzajowej kosztów ogółem </w:t>
      </w:r>
      <w:r w:rsidR="001819B1" w:rsidRPr="005D6288">
        <w:t xml:space="preserve">zmniejszył </w:t>
      </w:r>
      <w:r w:rsidRPr="005D6288">
        <w:t xml:space="preserve">się udział </w:t>
      </w:r>
      <w:r w:rsidR="00351C04" w:rsidRPr="005D6288">
        <w:t>wynagrodzeń (o 0,9 p. proc.), usług obcych (o 0,9 p. proc.) oraz ubezpieczeń społecznych i innych świadczeń (o 0,2 p. proc.)</w:t>
      </w:r>
      <w:r w:rsidRPr="005D6288">
        <w:t xml:space="preserve">. </w:t>
      </w:r>
      <w:r w:rsidR="001819B1" w:rsidRPr="005D6288">
        <w:t>W skali roku wzrósł</w:t>
      </w:r>
      <w:r w:rsidRPr="005D6288">
        <w:t xml:space="preserve"> udział </w:t>
      </w:r>
      <w:r w:rsidR="00351C04" w:rsidRPr="005D6288">
        <w:t>zużycia materiałów i energii (o 2,1 p. proc.). Na poziomie sprzed roku pozostały udziały: amortyzacji, podatków i opłat oraz pozostałych kosztów</w:t>
      </w:r>
      <w:r w:rsidR="00351C04">
        <w:t xml:space="preserve">. </w:t>
      </w:r>
    </w:p>
    <w:p w14:paraId="6198EBC1" w14:textId="77777777" w:rsidR="00CF1957" w:rsidRDefault="008C04BC" w:rsidP="000648CD">
      <w:pPr>
        <w:pStyle w:val="tytuwykresu"/>
      </w:pPr>
      <w:r w:rsidRPr="000648CD">
        <w:t>Wykres 3. Struktura rodzajowa kosztów</w:t>
      </w:r>
      <w:r w:rsidR="00DD5224">
        <w:t xml:space="preserve"> </w:t>
      </w:r>
    </w:p>
    <w:p w14:paraId="76AB7A0C" w14:textId="1C0AEFEF" w:rsidR="00057E90" w:rsidRDefault="00057E90" w:rsidP="00057E90">
      <w:pPr>
        <w:pStyle w:val="Brakstyluakapitowego"/>
      </w:pPr>
      <w:r>
        <w:rPr>
          <w:noProof/>
        </w:rPr>
        <w:drawing>
          <wp:inline distT="0" distB="0" distL="0" distR="0" wp14:anchorId="6AA364B6" wp14:editId="50750874">
            <wp:extent cx="4026316" cy="1980000"/>
            <wp:effectExtent l="0" t="0" r="0" b="1270"/>
            <wp:docPr id="18" name="Obraz 18" descr="Wykres 3 Struktura rodzajowa kosztów&#10;&#10;Wykres słupkowy prezentujący strukturę rodzajową kosztów w latach 2025 i 2024. W 2025 r. zużycie materiałów i energii stanowiło 47,5% kosztów ogółem (wobec 45,4% w 2024 r.), usługi obce – 22,6% (wobec 23,5%), wynagrodzenia – 17,8% (wobec 18,7%), amortyzacja – tak jak w 2024 r. 4,5%, ubezpieczenia społeczne i inne świadczenia – 4,1% (wobec 4,3%), podatki i opłaty – tak jak w 2024 r. 1,9%, pozostałe koszty – tak jak w 2024 r. 1,6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Wykres 3 Struktura rodzajowa kosztów&#10;&#10;Wykres słupkowy prezentujący strukturę rodzajową kosztów w latach 2025 i 2024. W 2025 r. zużycie materiałów i energii stanowiło 47,5% kosztów ogółem (wobec 45,4% w 2024 r.), usługi obce – 22,6% (wobec 23,5%), wynagrodzenia – 17,8% (wobec 18,7%), amortyzacja – tak jak w 2024 r. 4,5%, ubezpieczenia społeczne i inne świadczenia – 4,1% (wobec 4,3%), podatki i opłaty – tak jak w 2024 r. 1,9%, pozostałe koszty – tak jak w 2024 r. 1,6%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631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22EC" w14:textId="35C048D8" w:rsidR="002F4B59" w:rsidRPr="00380175" w:rsidRDefault="00267749" w:rsidP="00380175">
      <w:r w:rsidRPr="005D6288">
        <w:rPr>
          <w:noProof/>
          <w:spacing w:val="-4"/>
          <w:highlight w:val="yellow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7522E105" wp14:editId="20BAF57A">
                <wp:simplePos x="0" y="0"/>
                <wp:positionH relativeFrom="page">
                  <wp:align>right</wp:align>
                </wp:positionH>
                <wp:positionV relativeFrom="page">
                  <wp:posOffset>683619</wp:posOffset>
                </wp:positionV>
                <wp:extent cx="1854393" cy="1004400"/>
                <wp:effectExtent l="0" t="0" r="0" b="5715"/>
                <wp:wrapNone/>
                <wp:docPr id="14" name="Pole tekstowe 2" descr="W 2025 r. nakłady poniesione przez przedsiębiorstwa województwa zachodniopomorskiego stanowiły 1,6% nakładów krajowych (wobec 1,9% przed rokiem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393" cy="100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3524F" w14:textId="3A64DC2A" w:rsidR="00A05623" w:rsidRPr="005D7E31" w:rsidRDefault="00A05623" w:rsidP="00380175">
                            <w:pPr>
                              <w:pStyle w:val="tekstzboku"/>
                            </w:pPr>
                            <w:r w:rsidRPr="00A24E32">
                              <w:t xml:space="preserve">W </w:t>
                            </w:r>
                            <w:r w:rsidR="00F117B2" w:rsidRPr="00A24E32">
                              <w:t>202</w:t>
                            </w:r>
                            <w:r w:rsidR="005D6288">
                              <w:t>5</w:t>
                            </w:r>
                            <w:r w:rsidR="00F117B2" w:rsidRPr="00A24E32">
                              <w:t xml:space="preserve"> </w:t>
                            </w:r>
                            <w:r w:rsidRPr="00A24E32">
                              <w:t xml:space="preserve">r. nakłady poniesione przez </w:t>
                            </w:r>
                            <w:r w:rsidRPr="00380175">
                              <w:t>przedsiębiorstwa</w:t>
                            </w:r>
                            <w:r w:rsidRPr="00A24E32">
                              <w:t xml:space="preserve"> województwa zachodniopomorskiego stanowiły </w:t>
                            </w:r>
                            <w:r w:rsidR="00F117B2">
                              <w:t>1,</w:t>
                            </w:r>
                            <w:r w:rsidR="008422AC">
                              <w:t>6</w:t>
                            </w:r>
                            <w:r w:rsidRPr="00A24E32">
                              <w:t>% nakładów krajowych</w:t>
                            </w:r>
                            <w:r w:rsidR="00A06E7B">
                              <w:t xml:space="preserve"> (wobec </w:t>
                            </w:r>
                            <w:r w:rsidR="008422AC">
                              <w:t>1,9</w:t>
                            </w:r>
                            <w:r w:rsidR="00A06E7B">
                              <w:t>% przed rokiem)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2E105" id="_x0000_s1031" type="#_x0000_t202" alt="W 2025 r. nakłady poniesione przez przedsiębiorstwa województwa zachodniopomorskiego stanowiły 1,6% nakładów krajowych (wobec 1,9% przed rokiem)" style="position:absolute;margin-left:94.8pt;margin-top:53.85pt;width:146pt;height:79.1pt;z-index:25175040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" filled="f" stroked="f">
                <v:textbox>
                  <w:txbxContent>
                    <w:p w14:paraId="4533524F" w14:textId="3A64DC2A" w:rsidR="00A05623" w:rsidRPr="005D7E31" w:rsidRDefault="00A05623" w:rsidP="00380175">
                      <w:pPr>
                        <w:pStyle w:val="tekstzboku"/>
                      </w:pPr>
                      <w:r w:rsidRPr="00A24E32">
                        <w:t xml:space="preserve">W </w:t>
                      </w:r>
                      <w:r w:rsidR="00F117B2" w:rsidRPr="00A24E32">
                        <w:t>202</w:t>
                      </w:r>
                      <w:r w:rsidR="005D6288">
                        <w:t>5</w:t>
                      </w:r>
                      <w:r w:rsidR="00F117B2" w:rsidRPr="00A24E32">
                        <w:t xml:space="preserve"> </w:t>
                      </w:r>
                      <w:r w:rsidRPr="00A24E32">
                        <w:t xml:space="preserve">r. nakłady poniesione przez </w:t>
                      </w:r>
                      <w:r w:rsidRPr="00380175">
                        <w:t>przedsiębiorstwa</w:t>
                      </w:r>
                      <w:r w:rsidRPr="00A24E32">
                        <w:t xml:space="preserve"> województwa zachodniopomorskiego stanowiły </w:t>
                      </w:r>
                      <w:r w:rsidR="00F117B2">
                        <w:t>1,</w:t>
                      </w:r>
                      <w:r w:rsidR="008422AC">
                        <w:t>6</w:t>
                      </w:r>
                      <w:r w:rsidRPr="00A24E32">
                        <w:t>% nakładów krajowych</w:t>
                      </w:r>
                      <w:r w:rsidR="00A06E7B">
                        <w:t xml:space="preserve"> (wobec </w:t>
                      </w:r>
                      <w:r w:rsidR="008422AC">
                        <w:t>1,9</w:t>
                      </w:r>
                      <w:r w:rsidR="00A06E7B">
                        <w:t>% przed rokiem)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4B59" w:rsidRPr="005D6288">
        <w:rPr>
          <w:spacing w:val="-4"/>
        </w:rPr>
        <w:t xml:space="preserve">Nakłady inwestycyjne badanych przedsiębiorstw w </w:t>
      </w:r>
      <w:r w:rsidR="003775B9" w:rsidRPr="005D6288">
        <w:rPr>
          <w:spacing w:val="-4"/>
        </w:rPr>
        <w:t xml:space="preserve">2025 </w:t>
      </w:r>
      <w:r w:rsidR="002F4B59" w:rsidRPr="005D6288">
        <w:rPr>
          <w:spacing w:val="-4"/>
        </w:rPr>
        <w:t xml:space="preserve">r. wyniosły </w:t>
      </w:r>
      <w:r w:rsidR="003775B9" w:rsidRPr="005D6288">
        <w:rPr>
          <w:spacing w:val="-4"/>
        </w:rPr>
        <w:t>3 801,3</w:t>
      </w:r>
      <w:r w:rsidR="002F4B59" w:rsidRPr="005D6288">
        <w:rPr>
          <w:spacing w:val="-4"/>
        </w:rPr>
        <w:t xml:space="preserve"> mln zł i były (w cenach</w:t>
      </w:r>
      <w:r w:rsidR="002F4B59" w:rsidRPr="005D6288">
        <w:t xml:space="preserve"> </w:t>
      </w:r>
      <w:r w:rsidR="00460EC6" w:rsidRPr="005D6288">
        <w:t>bieżących</w:t>
      </w:r>
      <w:r w:rsidR="002F4B59" w:rsidRPr="005D6288">
        <w:t xml:space="preserve">) o </w:t>
      </w:r>
      <w:r w:rsidR="003775B9" w:rsidRPr="005D6288">
        <w:t>9,1</w:t>
      </w:r>
      <w:r w:rsidR="002F4B59" w:rsidRPr="005D6288">
        <w:t xml:space="preserve">% niższe niż rok wcześniej (kiedy notowano </w:t>
      </w:r>
      <w:r w:rsidR="003775B9" w:rsidRPr="005D6288">
        <w:t xml:space="preserve">spadek </w:t>
      </w:r>
      <w:r w:rsidR="002F4B59" w:rsidRPr="005D6288">
        <w:t xml:space="preserve">o </w:t>
      </w:r>
      <w:r w:rsidR="003775B9" w:rsidRPr="005D6288">
        <w:t>31,6</w:t>
      </w:r>
      <w:r w:rsidR="002F4B59" w:rsidRPr="005D6288">
        <w:t xml:space="preserve">%). </w:t>
      </w:r>
      <w:r w:rsidR="00C90BE8" w:rsidRPr="005D6288">
        <w:t>Zmniejszyły się n</w:t>
      </w:r>
      <w:r w:rsidR="002F4B59" w:rsidRPr="005D6288">
        <w:t xml:space="preserve">akłady </w:t>
      </w:r>
      <w:r w:rsidR="003775B9" w:rsidRPr="005D6288">
        <w:t>na budynki i budowle (</w:t>
      </w:r>
      <w:r w:rsidR="00C90BE8" w:rsidRPr="005D6288">
        <w:t xml:space="preserve">o 12,1%, </w:t>
      </w:r>
      <w:r w:rsidR="003775B9" w:rsidRPr="005D6288">
        <w:t>wobec spadku przed rokiem o 16,3</w:t>
      </w:r>
      <w:r w:rsidR="00C90BE8" w:rsidRPr="005D6288">
        <w:t xml:space="preserve">%) oraz </w:t>
      </w:r>
      <w:r w:rsidR="002F4B59" w:rsidRPr="005D6288">
        <w:t>na zakupy maszyn, urządze</w:t>
      </w:r>
      <w:r w:rsidR="00501457" w:rsidRPr="005D6288">
        <w:t>ń</w:t>
      </w:r>
      <w:r w:rsidR="002F4B59" w:rsidRPr="005D6288">
        <w:t xml:space="preserve"> techniczn</w:t>
      </w:r>
      <w:r w:rsidR="00501457" w:rsidRPr="005D6288">
        <w:t>ych</w:t>
      </w:r>
      <w:r w:rsidR="002F4B59" w:rsidRPr="005D6288">
        <w:t xml:space="preserve"> i narzędzi </w:t>
      </w:r>
      <w:r w:rsidR="00C90BE8" w:rsidRPr="005D6288">
        <w:t>(</w:t>
      </w:r>
      <w:r w:rsidR="002F4B59" w:rsidRPr="005D6288">
        <w:t xml:space="preserve">o </w:t>
      </w:r>
      <w:r w:rsidR="003775B9" w:rsidRPr="005D6288">
        <w:t>7,7</w:t>
      </w:r>
      <w:r w:rsidR="002F4B59" w:rsidRPr="005D6288">
        <w:t>%</w:t>
      </w:r>
      <w:r w:rsidR="00C90BE8" w:rsidRPr="005D6288">
        <w:t>,</w:t>
      </w:r>
      <w:r w:rsidR="002F4B59" w:rsidRPr="005D6288">
        <w:t xml:space="preserve"> wobec </w:t>
      </w:r>
      <w:r w:rsidR="003775B9" w:rsidRPr="005D6288">
        <w:t xml:space="preserve">spadku </w:t>
      </w:r>
      <w:r w:rsidR="002F4B59" w:rsidRPr="005D6288">
        <w:t xml:space="preserve">o </w:t>
      </w:r>
      <w:r w:rsidR="003775B9" w:rsidRPr="005D6288">
        <w:t>46,6</w:t>
      </w:r>
      <w:r w:rsidR="002F4B59" w:rsidRPr="005D6288">
        <w:t>%)</w:t>
      </w:r>
      <w:r w:rsidR="003775B9" w:rsidRPr="005D6288">
        <w:t>. Nakłady na środki transportu wzrosły</w:t>
      </w:r>
      <w:r w:rsidR="002F4B59" w:rsidRPr="005D6288">
        <w:t xml:space="preserve"> o </w:t>
      </w:r>
      <w:r w:rsidR="003775B9" w:rsidRPr="005D6288">
        <w:t>7,0</w:t>
      </w:r>
      <w:r w:rsidR="002F4B59" w:rsidRPr="005D6288">
        <w:t xml:space="preserve">% (wobec </w:t>
      </w:r>
      <w:r w:rsidR="00501457" w:rsidRPr="005D6288">
        <w:t xml:space="preserve">spadku </w:t>
      </w:r>
      <w:r w:rsidR="002F4B59" w:rsidRPr="005D6288">
        <w:t xml:space="preserve">o </w:t>
      </w:r>
      <w:r w:rsidR="003775B9" w:rsidRPr="005D6288">
        <w:t>7,6</w:t>
      </w:r>
      <w:r w:rsidR="002F4B59" w:rsidRPr="005D6288">
        <w:t>%</w:t>
      </w:r>
      <w:r w:rsidR="00C90BE8" w:rsidRPr="005D6288">
        <w:t xml:space="preserve"> w 2024 r.</w:t>
      </w:r>
      <w:r w:rsidR="002F4B59" w:rsidRPr="005D6288">
        <w:t>)</w:t>
      </w:r>
      <w:r w:rsidR="002F4B59">
        <w:t>.</w:t>
      </w:r>
    </w:p>
    <w:p w14:paraId="7FEB10D2" w14:textId="32FCAE9C" w:rsidR="00C50B58" w:rsidRDefault="00F90EBB" w:rsidP="00575331">
      <w:pPr>
        <w:pStyle w:val="tytuwykresu"/>
        <w:ind w:left="851" w:hanging="851"/>
      </w:pPr>
      <w:r w:rsidRPr="000648CD">
        <w:t xml:space="preserve">Wykres 4. </w:t>
      </w:r>
      <w:r w:rsidR="00EA08F7" w:rsidRPr="004F4B83">
        <w:t xml:space="preserve">Nakłady inwestycyjne </w:t>
      </w:r>
      <w:r w:rsidR="00E04AFB">
        <w:t xml:space="preserve">według rodzajów </w:t>
      </w:r>
      <w:r w:rsidR="00EA08F7" w:rsidRPr="004F4B83">
        <w:t>– zmiana w stosunku do analogicznego okresu roku poprzedniego</w:t>
      </w:r>
      <w:r w:rsidR="00575331">
        <w:t xml:space="preserve"> </w:t>
      </w:r>
    </w:p>
    <w:p w14:paraId="59C180F8" w14:textId="6D308771" w:rsidR="00D50DAE" w:rsidRDefault="00D50DAE" w:rsidP="00D50DAE">
      <w:pPr>
        <w:pStyle w:val="Brakstyluakapitowego"/>
      </w:pPr>
      <w:r>
        <w:rPr>
          <w:noProof/>
        </w:rPr>
        <w:drawing>
          <wp:inline distT="0" distB="0" distL="0" distR="0" wp14:anchorId="79C8F1B5" wp14:editId="74666398">
            <wp:extent cx="3746939" cy="2160000"/>
            <wp:effectExtent l="0" t="0" r="6350" b="0"/>
            <wp:docPr id="1" name="Obraz 1" descr="Wykres 4 Nakłady inwestycyjne według rodzajów – zmiana w stosunku do analogicznego okresu roku poprzedniego &#10;&#10;Wykres słupkowy prezentujący zmiany nakładów inwestycyjnych według rodzajów w 2025 r. w stosunku do analogicznego okresu poprzedniego roku. Dane opisane w tekś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4 Nakłady inwestycyjne według rodzajów – zmiana w stosunku do analogicznego okresu roku poprzedniego &#10;&#10;Wykres słupkowy prezentujący zmiany nakładów inwestycyjnych według rodzajów w 2025 r. w stosunku do analogicznego okresu poprzedniego roku. Dane opisane w tekści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69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73A0" w14:textId="411CDC01" w:rsidR="00057E90" w:rsidRDefault="00057E90" w:rsidP="00D50DAE"/>
    <w:p w14:paraId="7EE9D658" w14:textId="57190EF5" w:rsidR="006E5C48" w:rsidRDefault="002C2B85" w:rsidP="005D6288">
      <w:r>
        <w:t xml:space="preserve">Wśród badanych podmiotów niemal jedna trzecia należała do sekcji Przetwórstwo przemysłowe, w której </w:t>
      </w:r>
      <w:r w:rsidR="00B04B2C">
        <w:t xml:space="preserve">w porównaniu z 2024 r. </w:t>
      </w:r>
      <w:r>
        <w:t>odnotowano spadek nakładów inwestycyjnych o 3,2%. W Budownictwie (9</w:t>
      </w:r>
      <w:r w:rsidR="007D1FA0">
        <w:t>,</w:t>
      </w:r>
      <w:r>
        <w:t xml:space="preserve">2% </w:t>
      </w:r>
      <w:r w:rsidR="007D1FA0">
        <w:t xml:space="preserve">badanych </w:t>
      </w:r>
      <w:r>
        <w:t xml:space="preserve">jednostek) nakłady inwestycyjne zmniejszyły się o 6,9%, </w:t>
      </w:r>
      <w:r w:rsidR="0023284D">
        <w:t xml:space="preserve">zaś </w:t>
      </w:r>
      <w:r>
        <w:t>w transporcie i gospodarce magazynowej</w:t>
      </w:r>
      <w:r w:rsidR="0023284D">
        <w:t xml:space="preserve"> (9,0%) – o 23,6%. Warto jednak zauważyć, </w:t>
      </w:r>
      <w:r w:rsidR="005D6288">
        <w:t>ż</w:t>
      </w:r>
      <w:r w:rsidR="0023284D">
        <w:t>e najw</w:t>
      </w:r>
      <w:r w:rsidR="00463C85">
        <w:t>iększy</w:t>
      </w:r>
      <w:r w:rsidR="0023284D">
        <w:t xml:space="preserve"> spadek nakładów inwestycyjnych odnotowano w podmiotach zajmujących się </w:t>
      </w:r>
      <w:r w:rsidR="0023284D" w:rsidRPr="005D6288">
        <w:rPr>
          <w:spacing w:val="-2"/>
        </w:rPr>
        <w:t>działalnością związaną z kulturą, rozrywką i rekreacją (o 75,9%) oraz z obsługą rynku nieruchomości</w:t>
      </w:r>
      <w:r w:rsidR="007D1FA0">
        <w:t xml:space="preserve"> </w:t>
      </w:r>
      <w:r w:rsidR="005D6288">
        <w:br/>
      </w:r>
      <w:r w:rsidR="007D1FA0">
        <w:t>(o 60,5%)</w:t>
      </w:r>
      <w:r w:rsidR="0023284D">
        <w:t xml:space="preserve">, których udział w ogólnej liczbie badanych jednostek każdej z tych wymienionych </w:t>
      </w:r>
      <w:r w:rsidR="007D1FA0">
        <w:t>s</w:t>
      </w:r>
      <w:r w:rsidR="0023284D">
        <w:t>ekcji nie przekroczył 5%</w:t>
      </w:r>
      <w:r w:rsidR="007D1FA0">
        <w:t>. Największy w</w:t>
      </w:r>
      <w:r w:rsidR="006E5C48" w:rsidRPr="005D7E31">
        <w:t xml:space="preserve">zrost nakładów </w:t>
      </w:r>
      <w:r w:rsidR="006E5C48">
        <w:t xml:space="preserve">inwestycyjnych </w:t>
      </w:r>
      <w:r w:rsidR="007D1FA0">
        <w:t xml:space="preserve">wystąpił </w:t>
      </w:r>
      <w:r w:rsidR="00463C85">
        <w:t>w w</w:t>
      </w:r>
      <w:r w:rsidR="007D1FA0">
        <w:t>ytwarzani</w:t>
      </w:r>
      <w:r w:rsidR="00463C85">
        <w:t>u</w:t>
      </w:r>
      <w:r w:rsidR="007D1FA0">
        <w:t xml:space="preserve"> i zaopatrywani</w:t>
      </w:r>
      <w:r w:rsidR="00463C85">
        <w:t>u</w:t>
      </w:r>
      <w:r w:rsidR="007D1FA0">
        <w:t xml:space="preserve"> w energię elektryczną, gaz, parę wodną i gorącą</w:t>
      </w:r>
      <w:r w:rsidR="00AD5F6F">
        <w:t xml:space="preserve"> wodę (o 62,5%) </w:t>
      </w:r>
      <w:r w:rsidR="00B04B2C">
        <w:t xml:space="preserve">oraz </w:t>
      </w:r>
      <w:r w:rsidR="005F4A44">
        <w:br/>
      </w:r>
      <w:r w:rsidR="00463C85">
        <w:t>w z</w:t>
      </w:r>
      <w:r w:rsidR="00AD5F6F">
        <w:t>akwaterowani</w:t>
      </w:r>
      <w:r w:rsidR="00463C85">
        <w:t>u</w:t>
      </w:r>
      <w:r w:rsidR="00AD5F6F">
        <w:t xml:space="preserve"> i gastronomi</w:t>
      </w:r>
      <w:r w:rsidR="00463C85">
        <w:t>i</w:t>
      </w:r>
      <w:r w:rsidR="00AC073B">
        <w:t xml:space="preserve"> </w:t>
      </w:r>
      <w:r w:rsidR="00AD5F6F">
        <w:t>(o 52,6%)</w:t>
      </w:r>
      <w:r w:rsidR="0015127D">
        <w:t>.</w:t>
      </w:r>
      <w:r w:rsidR="003B1F2E">
        <w:t xml:space="preserve"> </w:t>
      </w:r>
    </w:p>
    <w:p w14:paraId="4B711AEF" w14:textId="77777777" w:rsidR="009B03CE" w:rsidRDefault="009B03CE" w:rsidP="00C8594A">
      <w:pPr>
        <w:rPr>
          <w:szCs w:val="19"/>
        </w:rPr>
      </w:pPr>
    </w:p>
    <w:p w14:paraId="75EA3474" w14:textId="77777777" w:rsidR="009B03CE" w:rsidRDefault="009B03CE" w:rsidP="00C8594A">
      <w:pPr>
        <w:rPr>
          <w:szCs w:val="19"/>
        </w:rPr>
      </w:pPr>
    </w:p>
    <w:p w14:paraId="34EB30C4" w14:textId="77777777" w:rsidR="009B03CE" w:rsidRDefault="009B03CE" w:rsidP="00C8594A">
      <w:pPr>
        <w:rPr>
          <w:szCs w:val="19"/>
        </w:rPr>
      </w:pPr>
    </w:p>
    <w:p w14:paraId="3DBA94F6" w14:textId="77777777" w:rsidR="009B03CE" w:rsidRDefault="009B03CE" w:rsidP="00C8594A">
      <w:pPr>
        <w:rPr>
          <w:szCs w:val="19"/>
        </w:rPr>
      </w:pPr>
    </w:p>
    <w:p w14:paraId="3C7BF8AE" w14:textId="77777777" w:rsidR="00C9122E" w:rsidRDefault="00C9122E" w:rsidP="00C8594A">
      <w:pPr>
        <w:rPr>
          <w:szCs w:val="19"/>
        </w:rPr>
      </w:pPr>
    </w:p>
    <w:p w14:paraId="4A9DB798" w14:textId="77777777" w:rsidR="00C9122E" w:rsidRDefault="00C9122E" w:rsidP="00C8594A">
      <w:pPr>
        <w:rPr>
          <w:szCs w:val="19"/>
        </w:rPr>
      </w:pPr>
    </w:p>
    <w:p w14:paraId="1F991504" w14:textId="77777777" w:rsidR="00C9122E" w:rsidRDefault="00C9122E" w:rsidP="00C8594A">
      <w:pPr>
        <w:rPr>
          <w:szCs w:val="19"/>
        </w:rPr>
      </w:pPr>
    </w:p>
    <w:p w14:paraId="39F17F54" w14:textId="77777777" w:rsidR="009B03CE" w:rsidRDefault="009B03CE" w:rsidP="00C8594A">
      <w:pPr>
        <w:rPr>
          <w:szCs w:val="19"/>
        </w:rPr>
      </w:pPr>
    </w:p>
    <w:p w14:paraId="00AE8AD1" w14:textId="77777777" w:rsidR="00C50B58" w:rsidRDefault="00C50B58" w:rsidP="00C8594A">
      <w:pPr>
        <w:rPr>
          <w:szCs w:val="19"/>
        </w:rPr>
      </w:pPr>
    </w:p>
    <w:p w14:paraId="43102A79" w14:textId="77777777" w:rsidR="00C50B58" w:rsidRPr="00961357" w:rsidRDefault="00C50B58" w:rsidP="00C8594A"/>
    <w:p w14:paraId="5E3A46C9" w14:textId="77777777" w:rsidR="00FD4F32" w:rsidRDefault="00FD4F32" w:rsidP="00F90EBB">
      <w:r w:rsidRPr="00454A82">
        <w:t xml:space="preserve">W przypadku cytowania danych Głównego Urzędu Statystycznego prosimy o zamieszczenie informacji: „Źródło danych GUS”, a w przypadku publikowania obliczeń dokonanych </w:t>
      </w:r>
      <w:r w:rsidR="00C50B58">
        <w:br/>
      </w:r>
      <w:r w:rsidRPr="00454A82">
        <w:t>na danych opublikowanych przez GUS prosimy o zamieszczenie informacji: „Opracowanie własne</w:t>
      </w:r>
      <w:r w:rsidRPr="00FD4F32">
        <w:t xml:space="preserve"> na podstawie danych GUS”.  </w:t>
      </w:r>
    </w:p>
    <w:p w14:paraId="7CBA88B9" w14:textId="77777777" w:rsidR="00146AF5" w:rsidRPr="00001C5B" w:rsidRDefault="00146AF5" w:rsidP="00F90EBB">
      <w:pPr>
        <w:sectPr w:rsidR="00146AF5" w:rsidRPr="00001C5B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1B1C1D24" w14:textId="77777777" w:rsidR="00AA6AE4" w:rsidRDefault="00AA6AE4" w:rsidP="00DD35C6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6E4829" w:rsidRPr="00670943" w14:paraId="34E34E92" w14:textId="77777777" w:rsidTr="00932FB8">
        <w:trPr>
          <w:trHeight w:val="1912"/>
        </w:trPr>
        <w:tc>
          <w:tcPr>
            <w:tcW w:w="4927" w:type="dxa"/>
          </w:tcPr>
          <w:p w14:paraId="527B150E" w14:textId="77777777" w:rsidR="006E4829" w:rsidRPr="00F97320" w:rsidRDefault="006E4829" w:rsidP="006E4829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56E3913A" w14:textId="77777777" w:rsidR="006E4829" w:rsidRPr="00F97320" w:rsidRDefault="006E4829" w:rsidP="006E4829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7347416C" w14:textId="77777777" w:rsidR="006E4829" w:rsidRPr="00F97320" w:rsidRDefault="006E4829" w:rsidP="006E4829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5A2580CB" w14:textId="0FA5C6E5" w:rsidR="006E4829" w:rsidRPr="00670943" w:rsidRDefault="006E4829" w:rsidP="006E4829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5E2904C5" w14:textId="77777777" w:rsidR="006E4829" w:rsidRDefault="006E4829" w:rsidP="006E4829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585D20D6" w14:textId="77777777" w:rsidR="0051741F" w:rsidRPr="0051741F" w:rsidRDefault="0051741F" w:rsidP="0051741F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1741F">
              <w:rPr>
                <w:rFonts w:cs="Arial"/>
                <w:b/>
                <w:sz w:val="20"/>
              </w:rPr>
              <w:t>Zachodniopomorski Ośrodek Badań Regionalnych</w:t>
            </w:r>
          </w:p>
          <w:p w14:paraId="66A8F4AC" w14:textId="5A6AD3FF" w:rsidR="006E4829" w:rsidRPr="00670943" w:rsidRDefault="0051741F" w:rsidP="0051741F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51741F">
              <w:rPr>
                <w:rFonts w:cs="Arial"/>
                <w:b/>
                <w:sz w:val="20"/>
              </w:rPr>
              <w:t>Informatorium Statystyczne</w:t>
            </w:r>
          </w:p>
          <w:p w14:paraId="192DF8FD" w14:textId="77777777" w:rsidR="006E4829" w:rsidRPr="00935D17" w:rsidRDefault="006E4829" w:rsidP="00576BB2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91 459 75 00</w:t>
            </w:r>
          </w:p>
          <w:p w14:paraId="06BA51DD" w14:textId="65CC0001" w:rsidR="006E4829" w:rsidRPr="003B4052" w:rsidRDefault="006E4829" w:rsidP="006E4829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  <w:tr w:rsidR="006E4829" w:rsidRPr="00670943" w14:paraId="7E44E830" w14:textId="77777777" w:rsidTr="00932FB8">
        <w:trPr>
          <w:trHeight w:val="510"/>
        </w:trPr>
        <w:tc>
          <w:tcPr>
            <w:tcW w:w="4927" w:type="dxa"/>
          </w:tcPr>
          <w:p w14:paraId="0F4A153A" w14:textId="13B5B6BD" w:rsidR="006E4829" w:rsidRPr="00F278A6" w:rsidRDefault="006E4829" w:rsidP="006E4829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 xml:space="preserve">Osoba do kontaktu z mediami </w:t>
            </w:r>
            <w:r>
              <w:rPr>
                <w:b/>
                <w:sz w:val="20"/>
              </w:rPr>
              <w:br/>
              <w:t>w Urzędzie Statystycznym w Szczecinie</w:t>
            </w:r>
          </w:p>
        </w:tc>
        <w:tc>
          <w:tcPr>
            <w:tcW w:w="4927" w:type="dxa"/>
            <w:vAlign w:val="center"/>
          </w:tcPr>
          <w:p w14:paraId="281D11E9" w14:textId="7B3A80A2" w:rsidR="006E4829" w:rsidRDefault="006E4829" w:rsidP="006E4829">
            <w:pPr>
              <w:ind w:firstLine="680"/>
              <w:rPr>
                <w:sz w:val="18"/>
              </w:rPr>
            </w:pPr>
            <w:r w:rsidRPr="00105F8E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0E65C230" wp14:editId="304693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5" name="Obraz 15" descr="Ikonka strony www.szczecin.stat.gov.pl" title="Ikonka strony www.szczeci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www.szczecin.stat.gov.pl</w:t>
            </w:r>
          </w:p>
        </w:tc>
      </w:tr>
      <w:tr w:rsidR="006E4829" w:rsidRPr="00670943" w14:paraId="6A71B99E" w14:textId="77777777" w:rsidTr="00932FB8">
        <w:trPr>
          <w:trHeight w:val="510"/>
        </w:trPr>
        <w:tc>
          <w:tcPr>
            <w:tcW w:w="4927" w:type="dxa"/>
            <w:vMerge w:val="restart"/>
          </w:tcPr>
          <w:p w14:paraId="114A09B8" w14:textId="77777777" w:rsidR="006E4829" w:rsidRPr="00974789" w:rsidRDefault="006E4829" w:rsidP="006E4829">
            <w:pPr>
              <w:spacing w:before="0" w:after="0" w:line="276" w:lineRule="auto"/>
              <w:rPr>
                <w:sz w:val="20"/>
                <w:lang w:val="en-US"/>
              </w:rPr>
            </w:pPr>
            <w:r w:rsidRPr="00974789">
              <w:rPr>
                <w:sz w:val="20"/>
                <w:lang w:val="en-US"/>
              </w:rPr>
              <w:t xml:space="preserve">Tel. </w:t>
            </w:r>
            <w:r>
              <w:rPr>
                <w:sz w:val="20"/>
                <w:lang w:val="en-US"/>
              </w:rPr>
              <w:t>91 459 75 18</w:t>
            </w:r>
          </w:p>
          <w:p w14:paraId="348C83C2" w14:textId="606385A0" w:rsidR="006E4829" w:rsidRPr="00F278A6" w:rsidRDefault="006E4829" w:rsidP="006E4829">
            <w:pPr>
              <w:spacing w:before="0" w:after="0" w:line="276" w:lineRule="auto"/>
              <w:rPr>
                <w:rFonts w:cs="Arial"/>
                <w:sz w:val="20"/>
              </w:rPr>
            </w:pPr>
            <w:r w:rsidRPr="00974789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a.brzezinska@stat.gov.pl</w:t>
            </w:r>
          </w:p>
        </w:tc>
        <w:tc>
          <w:tcPr>
            <w:tcW w:w="4927" w:type="dxa"/>
            <w:vAlign w:val="center"/>
          </w:tcPr>
          <w:p w14:paraId="0DA768F2" w14:textId="511F0A91" w:rsidR="006E4829" w:rsidRDefault="006E4829" w:rsidP="006E482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2EE534CB" wp14:editId="2A271A9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33020</wp:posOffset>
                  </wp:positionV>
                  <wp:extent cx="251460" cy="251460"/>
                  <wp:effectExtent l="0" t="0" r="0" b="0"/>
                  <wp:wrapNone/>
                  <wp:docPr id="19" name="Obraz 19" descr="Ikonka twittera @Szczecin_STAT" title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</w:t>
            </w:r>
            <w:r w:rsidRPr="00105F8E">
              <w:rPr>
                <w:sz w:val="20"/>
                <w:szCs w:val="20"/>
              </w:rPr>
              <w:t>Szczecin_STAT</w:t>
            </w:r>
          </w:p>
        </w:tc>
      </w:tr>
      <w:tr w:rsidR="006E4829" w:rsidRPr="00670943" w14:paraId="3963F8F1" w14:textId="77777777" w:rsidTr="00932FB8">
        <w:trPr>
          <w:trHeight w:val="510"/>
        </w:trPr>
        <w:tc>
          <w:tcPr>
            <w:tcW w:w="4927" w:type="dxa"/>
            <w:vMerge/>
          </w:tcPr>
          <w:p w14:paraId="27EADAF6" w14:textId="77777777" w:rsidR="006E4829" w:rsidRPr="00F278A6" w:rsidRDefault="006E4829" w:rsidP="006E4829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77DECCCE" w14:textId="262F3784" w:rsidR="006E4829" w:rsidRDefault="006E4829" w:rsidP="006E4829">
            <w:pPr>
              <w:spacing w:after="600"/>
              <w:ind w:firstLine="680"/>
              <w:rPr>
                <w:sz w:val="18"/>
              </w:rPr>
            </w:pPr>
            <w:r w:rsidRPr="00105F8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7C7192F9" wp14:editId="69DF22C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1" name="Obraz 21" descr="Ikonka facebooka @UrzadStatystycznywSzczecinie" title="Ikonka facebooka @UrzadStatystycznywSzczeci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5F8E">
              <w:rPr>
                <w:sz w:val="20"/>
              </w:rPr>
              <w:t>@UrzadStatystycznywSzczecinie</w:t>
            </w:r>
            <w:r w:rsidRPr="00105F8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27380" w:rsidRPr="00670943" w14:paraId="2313F05E" w14:textId="77777777" w:rsidTr="00997F22">
        <w:trPr>
          <w:trHeight w:val="510"/>
        </w:trPr>
        <w:tc>
          <w:tcPr>
            <w:tcW w:w="9854" w:type="dxa"/>
            <w:gridSpan w:val="2"/>
            <w:shd w:val="clear" w:color="auto" w:fill="D9D9D9" w:themeFill="background1" w:themeFillShade="D9"/>
          </w:tcPr>
          <w:p w14:paraId="4B520400" w14:textId="77777777" w:rsidR="00E27380" w:rsidRPr="0037111C" w:rsidRDefault="00E27380" w:rsidP="00E27380">
            <w:pPr>
              <w:spacing w:line="240" w:lineRule="exact"/>
              <w:rPr>
                <w:b/>
                <w:szCs w:val="19"/>
              </w:rPr>
            </w:pPr>
            <w:r w:rsidRPr="0037111C">
              <w:rPr>
                <w:b/>
                <w:szCs w:val="19"/>
              </w:rPr>
              <w:t>Powiązane opracowania</w:t>
            </w:r>
          </w:p>
          <w:p w14:paraId="247054A9" w14:textId="69448A53" w:rsidR="00610ADF" w:rsidRPr="00EE5F91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pPr>
            <w:hyperlink r:id="rId19" w:tooltip="Wyniki finansowe przedsiębiorstw niefinansowych w 2025 r." w:history="1">
              <w:r w:rsidR="00610ADF" w:rsidRPr="00E462D1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Wyniki finansowe przedsiębiorstw niefinansowych w 202</w:t>
              </w:r>
              <w:r w:rsidR="00536350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5</w:t>
              </w:r>
              <w:r w:rsidR="00610ADF" w:rsidRPr="00E462D1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 xml:space="preserve"> r.</w:t>
              </w:r>
              <w:r w:rsidR="00E462D1" w:rsidRPr="00E462D1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 xml:space="preserve"> </w:t>
              </w:r>
            </w:hyperlink>
          </w:p>
          <w:p w14:paraId="54EA09BB" w14:textId="20DD2187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pPr>
            <w:hyperlink r:id="rId20" w:tooltip="Link do opracowania: &quot;Zeszyt metodologiczny. Badania przedsiębiorstw niefinansowych&quot;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Zeszyt metodologiczny. Badania przedsiębiorstw niefinansowych</w:t>
              </w:r>
            </w:hyperlink>
            <w:r w:rsidR="008A3537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 </w:t>
            </w:r>
            <w:r w:rsidR="00FD4F32"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 xml:space="preserve"> </w:t>
            </w:r>
          </w:p>
          <w:p w14:paraId="31843B41" w14:textId="08DB5A76" w:rsidR="00610ADF" w:rsidRPr="00610ADF" w:rsidRDefault="00000000" w:rsidP="00610ADF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pPr>
            <w:hyperlink r:id="rId21" w:tooltip="Wyniki finansowe przedsiębiorstw niefinansowych w województwie zachodniopomorskim w 2024 r." w:history="1">
              <w:r w:rsidR="003E6630" w:rsidRPr="009516C0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Wyniki finansowe przedsiębiorstw niefinansowych w województwie zachodniopomorskim w 202</w:t>
              </w:r>
              <w:r w:rsidR="00E9422B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4</w:t>
              </w:r>
              <w:r w:rsidR="003E6630" w:rsidRPr="009516C0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 xml:space="preserve"> r</w:t>
              </w:r>
              <w:r w:rsidR="00610ADF" w:rsidRPr="009516C0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.</w:t>
              </w:r>
            </w:hyperlink>
          </w:p>
          <w:p w14:paraId="38E1EACE" w14:textId="77777777" w:rsidR="00E22912" w:rsidRPr="0037111C" w:rsidRDefault="00E22912" w:rsidP="00D71C6A">
            <w:pPr>
              <w:spacing w:before="360" w:line="240" w:lineRule="exact"/>
              <w:rPr>
                <w:b/>
                <w:color w:val="000000" w:themeColor="text1"/>
                <w:szCs w:val="19"/>
              </w:rPr>
            </w:pPr>
            <w:r w:rsidRPr="0037111C">
              <w:rPr>
                <w:b/>
                <w:color w:val="000000" w:themeColor="text1"/>
                <w:szCs w:val="19"/>
              </w:rPr>
              <w:t>Temat dostępny w bazach danych</w:t>
            </w:r>
          </w:p>
          <w:p w14:paraId="4DF9B188" w14:textId="6E7367C6" w:rsidR="00FD4F32" w:rsidRPr="009516C0" w:rsidRDefault="009516C0" w:rsidP="00D71C6A">
            <w:pPr>
              <w:spacing w:line="240" w:lineRule="exact"/>
              <w:rPr>
                <w:rStyle w:val="Hipercze"/>
                <w:rFonts w:eastAsia="Times New Roman" w:cs="Arial"/>
                <w:szCs w:val="19"/>
              </w:rPr>
            </w:pPr>
            <w:r>
              <w:rPr>
                <w:rStyle w:val="Hipercze"/>
                <w:rFonts w:eastAsia="Times New Roman" w:cs="Arial"/>
                <w:szCs w:val="19"/>
              </w:rPr>
              <w:fldChar w:fldCharType="begin"/>
            </w:r>
            <w:r>
              <w:rPr>
                <w:rStyle w:val="Hipercze"/>
                <w:rFonts w:eastAsia="Times New Roman" w:cs="Arial"/>
                <w:szCs w:val="19"/>
              </w:rPr>
              <w:instrText xml:space="preserve"> HYPERLINK "https://bdl.stat.gov.pl/BDL/dane/podgrup/temat" \o "Link do tematu: Bank Danych Lokalnych (BDL)" </w:instrText>
            </w:r>
            <w:r>
              <w:rPr>
                <w:rStyle w:val="Hipercze"/>
                <w:rFonts w:eastAsia="Times New Roman" w:cs="Arial"/>
                <w:szCs w:val="19"/>
              </w:rPr>
            </w:r>
            <w:r>
              <w:rPr>
                <w:rStyle w:val="Hipercze"/>
                <w:rFonts w:eastAsia="Times New Roman" w:cs="Arial"/>
                <w:szCs w:val="19"/>
              </w:rPr>
              <w:fldChar w:fldCharType="separate"/>
            </w:r>
            <w:r w:rsidR="00FD4F32" w:rsidRPr="009516C0">
              <w:rPr>
                <w:rStyle w:val="Hipercze"/>
                <w:rFonts w:eastAsia="Times New Roman" w:cs="Arial"/>
                <w:szCs w:val="19"/>
              </w:rPr>
              <w:t xml:space="preserve">Bank Danych Lokalnych (BDL) </w:t>
            </w:r>
          </w:p>
          <w:p w14:paraId="7F1CA04B" w14:textId="4BC789B0" w:rsidR="00FD4F32" w:rsidRPr="0037111C" w:rsidRDefault="009516C0" w:rsidP="00D71C6A">
            <w:pPr>
              <w:spacing w:line="240" w:lineRule="exact"/>
              <w:rPr>
                <w:rFonts w:eastAsia="Times New Roman" w:cs="Arial"/>
                <w:color w:val="0000FF"/>
                <w:szCs w:val="19"/>
              </w:rPr>
            </w:pPr>
            <w:r>
              <w:rPr>
                <w:rStyle w:val="Hipercze"/>
                <w:rFonts w:eastAsia="Times New Roman" w:cs="Arial"/>
                <w:szCs w:val="19"/>
              </w:rPr>
              <w:fldChar w:fldCharType="end"/>
            </w:r>
            <w:hyperlink r:id="rId22" w:tooltip="Link do tematu:Dziedzinowa Baza Wiedzy Przedsiębiorstwa Niefinansowe (DBW)" w:history="1">
              <w:r w:rsidR="00A013DB" w:rsidRPr="009516C0">
                <w:rPr>
                  <w:rStyle w:val="Hipercze"/>
                  <w:rFonts w:eastAsia="Times New Roman" w:cs="Arial"/>
                  <w:szCs w:val="19"/>
                </w:rPr>
                <w:t>Dziedzinow</w:t>
              </w:r>
              <w:r w:rsidR="00E17EAE" w:rsidRPr="009516C0">
                <w:rPr>
                  <w:rStyle w:val="Hipercze"/>
                  <w:rFonts w:eastAsia="Times New Roman" w:cs="Arial"/>
                  <w:szCs w:val="19"/>
                </w:rPr>
                <w:t>a</w:t>
              </w:r>
              <w:r w:rsidR="00FD4F32" w:rsidRPr="009516C0">
                <w:rPr>
                  <w:rStyle w:val="Hipercze"/>
                  <w:rFonts w:eastAsia="Times New Roman" w:cs="Arial"/>
                  <w:szCs w:val="19"/>
                </w:rPr>
                <w:t xml:space="preserve"> Baz</w:t>
              </w:r>
              <w:r w:rsidR="00E17EAE" w:rsidRPr="009516C0">
                <w:rPr>
                  <w:rStyle w:val="Hipercze"/>
                  <w:rFonts w:eastAsia="Times New Roman" w:cs="Arial"/>
                  <w:szCs w:val="19"/>
                </w:rPr>
                <w:t>a</w:t>
              </w:r>
              <w:r w:rsidR="00FD4F32" w:rsidRPr="009516C0">
                <w:rPr>
                  <w:rStyle w:val="Hipercze"/>
                  <w:rFonts w:eastAsia="Times New Roman" w:cs="Arial"/>
                  <w:szCs w:val="19"/>
                </w:rPr>
                <w:t xml:space="preserve"> Wiedzy Przedsiębiorstwa Niefinansowe (DBW)</w:t>
              </w:r>
            </w:hyperlink>
            <w:r w:rsidR="00FD4F32" w:rsidRPr="0037111C">
              <w:rPr>
                <w:rFonts w:eastAsia="Times New Roman" w:cs="Arial"/>
                <w:color w:val="0000FF"/>
                <w:szCs w:val="19"/>
              </w:rPr>
              <w:t xml:space="preserve"> </w:t>
            </w:r>
          </w:p>
          <w:p w14:paraId="083E610C" w14:textId="3F7A4D82" w:rsidR="00FD4F32" w:rsidRPr="009516C0" w:rsidRDefault="009516C0" w:rsidP="00D71C6A">
            <w:pPr>
              <w:spacing w:line="240" w:lineRule="exact"/>
              <w:rPr>
                <w:rStyle w:val="Hipercze"/>
                <w:rFonts w:ascii="Tahoma" w:eastAsia="Times New Roman" w:hAnsi="Tahoma" w:cs="Tahoma"/>
                <w:szCs w:val="19"/>
              </w:rPr>
            </w:pPr>
            <w:r>
              <w:rPr>
                <w:rStyle w:val="Hipercze"/>
                <w:rFonts w:eastAsia="Times New Roman" w:cs="Arial"/>
                <w:szCs w:val="19"/>
              </w:rPr>
              <w:fldChar w:fldCharType="begin"/>
            </w:r>
            <w:r>
              <w:rPr>
                <w:rStyle w:val="Hipercze"/>
                <w:rFonts w:eastAsia="Times New Roman" w:cs="Arial"/>
                <w:szCs w:val="19"/>
              </w:rPr>
              <w:instrText xml:space="preserve"> HYPERLINK "https://bdm.stat.gov.pl/" \o "Link do tematu: Bank Danych Makroekonomicznych" </w:instrText>
            </w:r>
            <w:r>
              <w:rPr>
                <w:rStyle w:val="Hipercze"/>
                <w:rFonts w:eastAsia="Times New Roman" w:cs="Arial"/>
                <w:szCs w:val="19"/>
              </w:rPr>
            </w:r>
            <w:r>
              <w:rPr>
                <w:rStyle w:val="Hipercze"/>
                <w:rFonts w:eastAsia="Times New Roman" w:cs="Arial"/>
                <w:szCs w:val="19"/>
              </w:rPr>
              <w:fldChar w:fldCharType="separate"/>
            </w:r>
            <w:r w:rsidR="00FD4F32" w:rsidRPr="009516C0">
              <w:rPr>
                <w:rStyle w:val="Hipercze"/>
                <w:rFonts w:eastAsia="Times New Roman" w:cs="Arial"/>
                <w:szCs w:val="19"/>
              </w:rPr>
              <w:t>Bank Danych Makroekonomicznych</w:t>
            </w:r>
          </w:p>
          <w:p w14:paraId="5C1DD051" w14:textId="42FA47A6" w:rsidR="00E22912" w:rsidRPr="0037111C" w:rsidRDefault="009516C0" w:rsidP="00E22912">
            <w:pPr>
              <w:spacing w:before="360" w:line="240" w:lineRule="exact"/>
              <w:rPr>
                <w:b/>
                <w:color w:val="000000" w:themeColor="text1"/>
                <w:szCs w:val="19"/>
              </w:rPr>
            </w:pPr>
            <w:r>
              <w:rPr>
                <w:rStyle w:val="Hipercze"/>
                <w:rFonts w:eastAsia="Times New Roman" w:cs="Arial"/>
                <w:szCs w:val="19"/>
              </w:rPr>
              <w:fldChar w:fldCharType="end"/>
            </w:r>
            <w:r w:rsidR="00E22912" w:rsidRPr="0037111C">
              <w:rPr>
                <w:b/>
                <w:color w:val="000000" w:themeColor="text1"/>
                <w:szCs w:val="19"/>
              </w:rPr>
              <w:t>Ważniejsze pojęcia dostępne w słowniku</w:t>
            </w:r>
          </w:p>
          <w:p w14:paraId="7ECD8DC9" w14:textId="6B3CA6E6" w:rsidR="00FD4F32" w:rsidRPr="00105776" w:rsidRDefault="00105776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 w:rsidR="006E4829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>HYPERLINK "https://stat.gov.pl/metainformacje/slownik-pojec/pojecia-stosowane-w-statystyce-publicznej/395,pojecie.html" \o "Link do pojęcia: Przychody ogółem (przychody z całokształtu działalności)"</w:instrText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D4F32" w:rsidRP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Przychody ogółem (przychody z całokształtu działalności)</w:t>
            </w:r>
          </w:p>
          <w:p w14:paraId="2EC55A79" w14:textId="438B9AFB" w:rsidR="00FD4F32" w:rsidRPr="009516C0" w:rsidRDefault="00105776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 xml:space="preserve"> HYPERLINK "https://stat.gov.pl/metainformacje/slownik-pojec/pojecia-stosowane-w-statystyce-publicznej/158,pojecie.html" \o "Link do pojęcia: Koszty ogółem (koszty uzyskania przychodów z całokształtu działalności)" </w:instrText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D4F32" w:rsidRP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Koszty ogółem (koszty uzyskania przychodów z całokształtu działalności)</w:t>
            </w:r>
          </w:p>
          <w:p w14:paraId="642C9092" w14:textId="7677A76D" w:rsidR="00FD4F32" w:rsidRPr="00105776" w:rsidRDefault="009516C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r w:rsid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>HYPERLINK "https://stat.gov.pl/metainformacje/slownik-pojec/pojecia-stosowane-w-statystyce-publicznej/583,pojecie.html" \o "Link do pojęcia: Wskaźnik poziomu kosztów"</w:instrText>
            </w:r>
            <w:r w:rsid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r>
            <w:r w:rsid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D4F32" w:rsidRP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Wskaźnik poziomu kosztów</w:t>
            </w:r>
          </w:p>
          <w:p w14:paraId="1CB32F39" w14:textId="15B87E2D" w:rsidR="00FD4F32" w:rsidRPr="00105776" w:rsidRDefault="00105776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begin"/>
            </w:r>
            <w:r w:rsidR="009516C0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instrText>HYPERLINK "https://stat.gov.pl/metainformacje/slownik-pojec/pojecia-stosowane-w-statystyce-publicznej/587,pojecie.html" \o "Link do pojęcia: Wskaźnik rentowności obrotu brutto"</w:instrText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</w: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separate"/>
            </w:r>
            <w:r w:rsidR="00FD4F32" w:rsidRPr="00105776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Wskaźnik rentowności obrotu brutto</w:t>
            </w:r>
          </w:p>
          <w:p w14:paraId="21274CB0" w14:textId="2827AC2E" w:rsidR="00FD4F32" w:rsidRPr="0037111C" w:rsidRDefault="00105776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fldChar w:fldCharType="end"/>
            </w:r>
            <w:hyperlink r:id="rId23" w:tooltip="Link do pojęcia: Wskaźnik rentowności obrotu netto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obrotu netto</w:t>
              </w:r>
            </w:hyperlink>
          </w:p>
          <w:p w14:paraId="7BB5D181" w14:textId="49C76670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4" w:tooltip="Link do pojęcia: Wskaźnik rentowności sprzedaży brutto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sprzedaży brutto</w:t>
              </w:r>
            </w:hyperlink>
          </w:p>
          <w:p w14:paraId="09332C57" w14:textId="0EB9C52A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5" w:tooltip="Link do pojęcia: Wskaźnik rentowności sprzedaży netto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Wskaźnik rentowności sprzedaży netto</w:t>
              </w:r>
            </w:hyperlink>
          </w:p>
          <w:p w14:paraId="0B38BD6E" w14:textId="156000CB" w:rsidR="00FD4F32" w:rsidRPr="0037111C" w:rsidRDefault="00FD4F32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begin"/>
            </w:r>
            <w:r w:rsidR="009516C0">
              <w:rPr>
                <w:rStyle w:val="Hipercze"/>
                <w:rFonts w:cs="Arial"/>
                <w:szCs w:val="19"/>
                <w:shd w:val="clear" w:color="auto" w:fill="F0F0F0"/>
              </w:rPr>
              <w:instrText>HYPERLINK "https://stat.gov.pl/metainformacje/slownik-pojec/pojecia-stosowane-w-statystyce-publicznej/613,pojecie.html" \o "Link do pojęcia: Wynik finansowy brutto"</w:instrText>
            </w: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</w: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separate"/>
            </w:r>
            <w:r w:rsidRPr="0037111C">
              <w:rPr>
                <w:rStyle w:val="Hipercze"/>
                <w:rFonts w:cs="Arial"/>
                <w:szCs w:val="19"/>
                <w:shd w:val="clear" w:color="auto" w:fill="D9D9D9" w:themeFill="background1" w:themeFillShade="D9"/>
              </w:rPr>
              <w:t>Wynik finansowy brutto</w:t>
            </w:r>
          </w:p>
          <w:p w14:paraId="1AC7E4CD" w14:textId="35CC94B3" w:rsidR="00FD4F32" w:rsidRPr="0037111C" w:rsidRDefault="00FD4F32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r w:rsidRPr="0037111C">
              <w:rPr>
                <w:rStyle w:val="Hipercze"/>
                <w:rFonts w:cs="Arial"/>
                <w:szCs w:val="19"/>
                <w:shd w:val="clear" w:color="auto" w:fill="F0F0F0"/>
              </w:rPr>
              <w:fldChar w:fldCharType="end"/>
            </w:r>
            <w:hyperlink r:id="rId26" w:tooltip="Link do pojęcia: Wynik finansowy netto" w:history="1">
              <w:r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Wynik finansowy netto</w:t>
              </w:r>
            </w:hyperlink>
          </w:p>
          <w:p w14:paraId="01A15D06" w14:textId="29914C75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7" w:tooltip="Link do pojęcia: Aktywa obrotowe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Aktywa obrotowe</w:t>
              </w:r>
            </w:hyperlink>
          </w:p>
          <w:p w14:paraId="267A6CC6" w14:textId="5CCD5FBE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8" w:tooltip="Link do pojęcia: Należności długoterminowe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Należności długoterminowe</w:t>
              </w:r>
            </w:hyperlink>
          </w:p>
          <w:p w14:paraId="41ABA73F" w14:textId="3B594F4E" w:rsidR="00FD4F32" w:rsidRPr="0037111C" w:rsidRDefault="00000000" w:rsidP="00D71C6A">
            <w:pPr>
              <w:shd w:val="clear" w:color="auto" w:fill="D9D9D9" w:themeFill="background1" w:themeFillShade="D9"/>
              <w:spacing w:line="240" w:lineRule="exact"/>
              <w:rPr>
                <w:rStyle w:val="Hipercze"/>
                <w:rFonts w:cs="Arial"/>
                <w:szCs w:val="19"/>
                <w:shd w:val="clear" w:color="auto" w:fill="F0F0F0"/>
              </w:rPr>
            </w:pPr>
            <w:hyperlink r:id="rId29" w:tooltip="Link do pojęcia: Należności krótkoterminowe" w:history="1"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Należności</w:t>
              </w:r>
              <w:r w:rsidR="00FD4F32" w:rsidRPr="0037111C">
                <w:rPr>
                  <w:rStyle w:val="Hipercze"/>
                  <w:rFonts w:cs="Arial"/>
                  <w:szCs w:val="19"/>
                  <w:shd w:val="clear" w:color="auto" w:fill="BFBFBF" w:themeFill="background1" w:themeFillShade="BF"/>
                </w:rPr>
                <w:t xml:space="preserve"> </w:t>
              </w:r>
              <w:r w:rsidR="00FD4F32" w:rsidRPr="0037111C">
                <w:rPr>
                  <w:rStyle w:val="Hipercze"/>
                  <w:rFonts w:cs="Arial"/>
                  <w:szCs w:val="19"/>
                  <w:shd w:val="clear" w:color="auto" w:fill="D9D9D9" w:themeFill="background1" w:themeFillShade="D9"/>
                </w:rPr>
                <w:t>krótkoterminowe</w:t>
              </w:r>
            </w:hyperlink>
          </w:p>
          <w:p w14:paraId="713BED85" w14:textId="4E53BF8E" w:rsidR="00E27380" w:rsidRDefault="00000000" w:rsidP="00D71C6A">
            <w:pPr>
              <w:spacing w:line="240" w:lineRule="exact"/>
              <w:rPr>
                <w:noProof/>
                <w:sz w:val="20"/>
                <w:lang w:eastAsia="pl-PL"/>
              </w:rPr>
            </w:pPr>
            <w:hyperlink r:id="rId30" w:tooltip="Link do pojęcia: Nakłady inwestycyjne" w:history="1">
              <w:r w:rsidR="00FD4F32" w:rsidRPr="0037111C">
                <w:rPr>
                  <w:rStyle w:val="Hipercze"/>
                  <w:rFonts w:cstheme="minorBidi"/>
                  <w:szCs w:val="19"/>
                  <w:shd w:val="clear" w:color="auto" w:fill="D9D9D9" w:themeFill="background1" w:themeFillShade="D9"/>
                </w:rPr>
                <w:t>Nakłady inwe</w:t>
              </w:r>
              <w:r w:rsidR="00FD4F32" w:rsidRPr="0037111C">
                <w:rPr>
                  <w:rStyle w:val="Hipercze"/>
                  <w:rFonts w:cstheme="minorBidi"/>
                  <w:szCs w:val="19"/>
                </w:rPr>
                <w:t>stycyjne</w:t>
              </w:r>
            </w:hyperlink>
          </w:p>
        </w:tc>
      </w:tr>
    </w:tbl>
    <w:p w14:paraId="4EF91319" w14:textId="77777777" w:rsidR="00D261A2" w:rsidRPr="00001C5B" w:rsidRDefault="00D261A2" w:rsidP="000F736A">
      <w:pPr>
        <w:rPr>
          <w:sz w:val="18"/>
        </w:rPr>
      </w:pPr>
    </w:p>
    <w:sectPr w:rsidR="00D261A2" w:rsidRPr="00001C5B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7A511" w14:textId="77777777" w:rsidR="0088367E" w:rsidRDefault="0088367E" w:rsidP="000662E2">
      <w:pPr>
        <w:spacing w:after="0" w:line="240" w:lineRule="auto"/>
      </w:pPr>
      <w:r>
        <w:separator/>
      </w:r>
    </w:p>
  </w:endnote>
  <w:endnote w:type="continuationSeparator" w:id="0">
    <w:p w14:paraId="117C34CC" w14:textId="77777777" w:rsidR="0088367E" w:rsidRDefault="0088367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2B646B5-1896-47AC-A315-AA2336AC5FC9}"/>
    <w:embedBold r:id="rId2" w:fontKey="{4AA33798-2670-4285-B1FD-0AA68214D836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3DD3AF2-1ACE-40C4-A062-38ECBCD77075}"/>
    <w:embedBold r:id="rId4" w:fontKey="{87CBAF3F-F345-467C-88DA-0CBEBE5207B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45D5C16-ABC0-40F7-8126-4EFF92596F6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7D71BC5-0055-47D1-B4AF-BF1D599AAC44}"/>
    <w:embedItalic r:id="rId7" w:fontKey="{8E101AC1-05CE-4E3C-8025-8816EA2BF1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7FF1C6C-0AC2-4D00-BFA7-D87D2029502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4F93D465-703E-41EE-95A4-48B626203A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DE4D2D52-2D4D-4A1C-B231-87C484E6722C}"/>
  </w:font>
  <w:font w:name="Minion Pro">
    <w:altName w:val="Cambria Math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2402420B-626C-4B76-AF67-6525A08223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Content>
      <w:p w14:paraId="2F2814FE" w14:textId="77777777" w:rsidR="00A05623" w:rsidRDefault="00A056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32A">
          <w:rPr>
            <w:noProof/>
          </w:rPr>
          <w:t>5</w:t>
        </w:r>
        <w:r>
          <w:fldChar w:fldCharType="end"/>
        </w:r>
      </w:p>
    </w:sdtContent>
  </w:sdt>
  <w:p w14:paraId="2FBA1550" w14:textId="77777777" w:rsidR="00A05623" w:rsidRDefault="00A0562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Content>
      <w:p w14:paraId="07B5A608" w14:textId="77777777" w:rsidR="00A05623" w:rsidRDefault="00A056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32A">
          <w:rPr>
            <w:noProof/>
          </w:rPr>
          <w:t>1</w:t>
        </w:r>
        <w:r>
          <w:fldChar w:fldCharType="end"/>
        </w:r>
      </w:p>
    </w:sdtContent>
  </w:sdt>
  <w:p w14:paraId="5EAF331B" w14:textId="77777777" w:rsidR="00A05623" w:rsidRDefault="00A0562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614B729E" w14:textId="77777777" w:rsidR="00A05623" w:rsidRDefault="00A056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332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BBC27" w14:textId="77777777" w:rsidR="0088367E" w:rsidRDefault="0088367E" w:rsidP="000662E2">
      <w:pPr>
        <w:spacing w:after="0" w:line="240" w:lineRule="auto"/>
      </w:pPr>
      <w:r>
        <w:separator/>
      </w:r>
    </w:p>
  </w:footnote>
  <w:footnote w:type="continuationSeparator" w:id="0">
    <w:p w14:paraId="54304DA3" w14:textId="77777777" w:rsidR="0088367E" w:rsidRDefault="0088367E" w:rsidP="000662E2">
      <w:pPr>
        <w:spacing w:after="0" w:line="240" w:lineRule="auto"/>
      </w:pPr>
      <w:r>
        <w:continuationSeparator/>
      </w:r>
    </w:p>
  </w:footnote>
  <w:footnote w:id="1">
    <w:p w14:paraId="4F12B629" w14:textId="54B44EE2" w:rsidR="00A05623" w:rsidRPr="0037111C" w:rsidRDefault="00A05623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265AB6">
        <w:rPr>
          <w:sz w:val="19"/>
          <w:szCs w:val="19"/>
        </w:rPr>
        <w:t xml:space="preserve">Dane dotyczą przedsiębiorstw niefinansowych prowadzących księgi rachunkowe o liczbie pracujących 50 </w:t>
      </w:r>
      <w:r w:rsidR="00445009" w:rsidRPr="00265AB6">
        <w:rPr>
          <w:sz w:val="19"/>
          <w:szCs w:val="19"/>
        </w:rPr>
        <w:t>i więcej</w:t>
      </w:r>
      <w:r w:rsidR="00445009">
        <w:rPr>
          <w:sz w:val="19"/>
          <w:szCs w:val="19"/>
        </w:rPr>
        <w:t xml:space="preserve"> </w:t>
      </w:r>
      <w:r w:rsidRPr="00265AB6">
        <w:rPr>
          <w:sz w:val="19"/>
          <w:szCs w:val="19"/>
        </w:rPr>
        <w:t xml:space="preserve">osób. Dane nie obejmują rolnictwa, leśnictwa, łowiectwa i rybactwa (sekcja A według PKD 2007), działalności finansowej i ubezpieczeniowej (sekcja K według PKD 2007), szkół wyższych, samodzielnych publicznych zakładów opieki zdrowotnej, instytucji </w:t>
      </w:r>
      <w:r w:rsidR="00B33788">
        <w:rPr>
          <w:sz w:val="19"/>
          <w:szCs w:val="19"/>
        </w:rPr>
        <w:br/>
      </w:r>
      <w:r w:rsidRPr="00265AB6">
        <w:rPr>
          <w:sz w:val="19"/>
          <w:szCs w:val="19"/>
        </w:rPr>
        <w:t>kultury posiadających osobowość prawną oraz związków zawodowych, organizacji religijnych i politycznych.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0469D" w14:textId="77777777" w:rsidR="00A05623" w:rsidRDefault="00C7589C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73669C7" wp14:editId="3D84C0B9">
              <wp:simplePos x="0" y="0"/>
              <wp:positionH relativeFrom="column">
                <wp:posOffset>5213445</wp:posOffset>
              </wp:positionH>
              <wp:positionV relativeFrom="paragraph">
                <wp:posOffset>-200812</wp:posOffset>
              </wp:positionV>
              <wp:extent cx="1874520" cy="23028313"/>
              <wp:effectExtent l="0" t="0" r="0" b="317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3028313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05B3FA" id="Prostokąt 24" o:spid="_x0000_s1026" style="position:absolute;margin-left:410.5pt;margin-top:-15.8pt;width:147.6pt;height:181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" fillcolor="#f2f2f2 [3052]" stroked="f" strokeweight="1pt"/>
          </w:pict>
        </mc:Fallback>
      </mc:AlternateContent>
    </w:r>
  </w:p>
  <w:p w14:paraId="1A91BCE5" w14:textId="77777777" w:rsidR="00A05623" w:rsidRDefault="00A0562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640D6" w14:textId="77777777" w:rsidR="00A05623" w:rsidRDefault="00A05623">
    <w:pPr>
      <w:pStyle w:val="Nagwek"/>
      <w:rPr>
        <w:noProof/>
        <w:lang w:eastAsia="pl-PL"/>
      </w:rPr>
    </w:pPr>
  </w:p>
  <w:p w14:paraId="5312170D" w14:textId="77777777" w:rsidR="00A05623" w:rsidRDefault="00A0562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8E25359" wp14:editId="0DA44484">
              <wp:simplePos x="0" y="0"/>
              <wp:positionH relativeFrom="column">
                <wp:posOffset>5219065</wp:posOffset>
              </wp:positionH>
              <wp:positionV relativeFrom="paragraph">
                <wp:posOffset>560070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B4FBF6" id="Prostokąt 10" o:spid="_x0000_s1026" style="position:absolute;margin-left:410.95pt;margin-top:44.1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BM43zp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E544DB" wp14:editId="0D1561D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&#10;&#10;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797209" w14:textId="77777777" w:rsidR="00A05623" w:rsidRPr="003C6C8D" w:rsidRDefault="00A05623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E544DB" id="Schemat blokowy: opóźnienie 6" o:spid="_x0000_s1032" alt="Nazwa serii wydawniczej &#10;&#10;Informacje sygnalne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3797209" w14:textId="77777777" w:rsidR="00A05623" w:rsidRPr="003C6C8D" w:rsidRDefault="00A05623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A437FC">
      <w:rPr>
        <w:noProof/>
        <w:lang w:eastAsia="pl-PL"/>
      </w:rPr>
      <w:drawing>
        <wp:inline distT="0" distB="0" distL="0" distR="0" wp14:anchorId="32874CF9" wp14:editId="0BA0B2BE">
          <wp:extent cx="1638935" cy="522605"/>
          <wp:effectExtent l="0" t="0" r="0" b="0"/>
          <wp:docPr id="4" name="Obraz 4" descr="Logo Urzędu Statystycznego w Szczec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93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0B283C" w14:textId="77777777" w:rsidR="00A05623" w:rsidRDefault="00A05623" w:rsidP="003D2F53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EF5E509" wp14:editId="09010C00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&#10;30 czerwiec 2026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D9DB20" w14:textId="039C3924" w:rsidR="00A05623" w:rsidRPr="008826DE" w:rsidRDefault="00C264F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30</w:t>
                          </w:r>
                          <w:r w:rsidR="00A05623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.06.202</w:t>
                          </w:r>
                          <w:r w:rsidR="00D477D2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A05623" w:rsidRPr="008826DE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F5E509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Data publikacji informacji sygnalnej&#10;&#10;30 czerwiec 2026 rok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BrZ3Ed3gAAAAoBAAAPAAAAAAAAAAAA&#10;AAAAAFUEAABkcnMvZG93bnJldi54bWxQSwUGAAAAAAQABADzAAAAYAUAAAAA&#10;" filled="f" stroked="f">
              <v:textbox>
                <w:txbxContent>
                  <w:p w14:paraId="4DD9DB20" w14:textId="039C3924" w:rsidR="00A05623" w:rsidRPr="008826DE" w:rsidRDefault="00C264F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30</w:t>
                    </w:r>
                    <w:r w:rsidR="00A05623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.06.202</w:t>
                    </w:r>
                    <w:r w:rsidR="00D477D2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A05623" w:rsidRPr="008826DE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1FFAE" w14:textId="77777777" w:rsidR="00A05623" w:rsidRDefault="00A05623">
    <w:pPr>
      <w:pStyle w:val="Nagwek"/>
    </w:pPr>
  </w:p>
  <w:p w14:paraId="1D3A7E12" w14:textId="77777777" w:rsidR="00A05623" w:rsidRDefault="00A056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7pt;height:122.7pt;visibility:visible;mso-wrap-style:square" o:bullet="t">
        <v:imagedata r:id="rId1" o:title=""/>
      </v:shape>
    </w:pict>
  </w:numPicBullet>
  <w:numPicBullet w:numPicBulletId="1">
    <w:pict>
      <v:shape id="_x0000_i1031" type="#_x0000_t75" style="width:122.1pt;height:122.7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60039463">
    <w:abstractNumId w:val="1"/>
  </w:num>
  <w:num w:numId="2" w16cid:durableId="11539887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E35"/>
    <w:rsid w:val="0000709F"/>
    <w:rsid w:val="000108B8"/>
    <w:rsid w:val="0001334A"/>
    <w:rsid w:val="00013D79"/>
    <w:rsid w:val="000152F5"/>
    <w:rsid w:val="00017C23"/>
    <w:rsid w:val="0003403F"/>
    <w:rsid w:val="0004182B"/>
    <w:rsid w:val="0004582E"/>
    <w:rsid w:val="00045FB1"/>
    <w:rsid w:val="000470AA"/>
    <w:rsid w:val="000510A3"/>
    <w:rsid w:val="00051663"/>
    <w:rsid w:val="00052763"/>
    <w:rsid w:val="00057CA1"/>
    <w:rsid w:val="00057E90"/>
    <w:rsid w:val="00060556"/>
    <w:rsid w:val="000648CD"/>
    <w:rsid w:val="000662E2"/>
    <w:rsid w:val="00066883"/>
    <w:rsid w:val="00066F61"/>
    <w:rsid w:val="00074DD8"/>
    <w:rsid w:val="00075E0E"/>
    <w:rsid w:val="0007620E"/>
    <w:rsid w:val="00076411"/>
    <w:rsid w:val="00077363"/>
    <w:rsid w:val="000806F7"/>
    <w:rsid w:val="00081AA6"/>
    <w:rsid w:val="00081EC9"/>
    <w:rsid w:val="000831F3"/>
    <w:rsid w:val="00084F3F"/>
    <w:rsid w:val="0008676E"/>
    <w:rsid w:val="0009087D"/>
    <w:rsid w:val="00090A0A"/>
    <w:rsid w:val="00092AA0"/>
    <w:rsid w:val="00094B5B"/>
    <w:rsid w:val="00097840"/>
    <w:rsid w:val="000A0743"/>
    <w:rsid w:val="000A221B"/>
    <w:rsid w:val="000A2A4D"/>
    <w:rsid w:val="000A2DFD"/>
    <w:rsid w:val="000A418D"/>
    <w:rsid w:val="000A6DED"/>
    <w:rsid w:val="000A7543"/>
    <w:rsid w:val="000A76C4"/>
    <w:rsid w:val="000B0727"/>
    <w:rsid w:val="000B4DC6"/>
    <w:rsid w:val="000B59D7"/>
    <w:rsid w:val="000C106F"/>
    <w:rsid w:val="000C135D"/>
    <w:rsid w:val="000C18BE"/>
    <w:rsid w:val="000C193E"/>
    <w:rsid w:val="000C3F12"/>
    <w:rsid w:val="000C77A8"/>
    <w:rsid w:val="000C7E83"/>
    <w:rsid w:val="000D0A88"/>
    <w:rsid w:val="000D0C95"/>
    <w:rsid w:val="000D1D43"/>
    <w:rsid w:val="000D225C"/>
    <w:rsid w:val="000D2A5C"/>
    <w:rsid w:val="000D730D"/>
    <w:rsid w:val="000E0918"/>
    <w:rsid w:val="000E4F6A"/>
    <w:rsid w:val="000E5C71"/>
    <w:rsid w:val="000F1F9E"/>
    <w:rsid w:val="000F2C85"/>
    <w:rsid w:val="000F31FA"/>
    <w:rsid w:val="000F544E"/>
    <w:rsid w:val="000F658C"/>
    <w:rsid w:val="000F70E2"/>
    <w:rsid w:val="000F736A"/>
    <w:rsid w:val="001011C3"/>
    <w:rsid w:val="001018D1"/>
    <w:rsid w:val="00103258"/>
    <w:rsid w:val="00105776"/>
    <w:rsid w:val="00110D87"/>
    <w:rsid w:val="00112678"/>
    <w:rsid w:val="00114DB9"/>
    <w:rsid w:val="00116087"/>
    <w:rsid w:val="001171AB"/>
    <w:rsid w:val="00121C2E"/>
    <w:rsid w:val="00121F4E"/>
    <w:rsid w:val="00125570"/>
    <w:rsid w:val="0012679C"/>
    <w:rsid w:val="00130296"/>
    <w:rsid w:val="001328A5"/>
    <w:rsid w:val="001352BD"/>
    <w:rsid w:val="00135800"/>
    <w:rsid w:val="00135A00"/>
    <w:rsid w:val="00137992"/>
    <w:rsid w:val="0014094E"/>
    <w:rsid w:val="001423B6"/>
    <w:rsid w:val="00142DF7"/>
    <w:rsid w:val="001436AC"/>
    <w:rsid w:val="001448A7"/>
    <w:rsid w:val="0014616D"/>
    <w:rsid w:val="00146621"/>
    <w:rsid w:val="00146A4B"/>
    <w:rsid w:val="00146AF5"/>
    <w:rsid w:val="0015109C"/>
    <w:rsid w:val="0015127D"/>
    <w:rsid w:val="001515DA"/>
    <w:rsid w:val="001547AF"/>
    <w:rsid w:val="00154A2F"/>
    <w:rsid w:val="00162325"/>
    <w:rsid w:val="00162358"/>
    <w:rsid w:val="00163287"/>
    <w:rsid w:val="001639B5"/>
    <w:rsid w:val="00165B94"/>
    <w:rsid w:val="00166E33"/>
    <w:rsid w:val="001710F0"/>
    <w:rsid w:val="001752F5"/>
    <w:rsid w:val="001819B1"/>
    <w:rsid w:val="00183442"/>
    <w:rsid w:val="001834B5"/>
    <w:rsid w:val="00184156"/>
    <w:rsid w:val="00187CFB"/>
    <w:rsid w:val="00190D24"/>
    <w:rsid w:val="001916DC"/>
    <w:rsid w:val="0019417C"/>
    <w:rsid w:val="001951DA"/>
    <w:rsid w:val="001958FA"/>
    <w:rsid w:val="001A2B5B"/>
    <w:rsid w:val="001A766A"/>
    <w:rsid w:val="001B4B73"/>
    <w:rsid w:val="001C3269"/>
    <w:rsid w:val="001C780E"/>
    <w:rsid w:val="001D1DB4"/>
    <w:rsid w:val="001D40DB"/>
    <w:rsid w:val="001D6288"/>
    <w:rsid w:val="001D6FAA"/>
    <w:rsid w:val="001D729D"/>
    <w:rsid w:val="001E2038"/>
    <w:rsid w:val="001F3DB4"/>
    <w:rsid w:val="001F4C7F"/>
    <w:rsid w:val="00203D9A"/>
    <w:rsid w:val="002109A6"/>
    <w:rsid w:val="00210F79"/>
    <w:rsid w:val="00215964"/>
    <w:rsid w:val="002226FA"/>
    <w:rsid w:val="0023284D"/>
    <w:rsid w:val="002400EC"/>
    <w:rsid w:val="00242A8C"/>
    <w:rsid w:val="00244CEB"/>
    <w:rsid w:val="002450BD"/>
    <w:rsid w:val="002574F9"/>
    <w:rsid w:val="00257E7D"/>
    <w:rsid w:val="00262B61"/>
    <w:rsid w:val="00265AB6"/>
    <w:rsid w:val="00267749"/>
    <w:rsid w:val="00267EE4"/>
    <w:rsid w:val="00270C40"/>
    <w:rsid w:val="00270D9F"/>
    <w:rsid w:val="00274B22"/>
    <w:rsid w:val="00274D36"/>
    <w:rsid w:val="00276748"/>
    <w:rsid w:val="00276811"/>
    <w:rsid w:val="00276D35"/>
    <w:rsid w:val="00282699"/>
    <w:rsid w:val="00283885"/>
    <w:rsid w:val="0028615B"/>
    <w:rsid w:val="002863FB"/>
    <w:rsid w:val="002876EE"/>
    <w:rsid w:val="0029146A"/>
    <w:rsid w:val="002926DF"/>
    <w:rsid w:val="002928A6"/>
    <w:rsid w:val="00296697"/>
    <w:rsid w:val="00296B81"/>
    <w:rsid w:val="002A6E2E"/>
    <w:rsid w:val="002A77CD"/>
    <w:rsid w:val="002B0472"/>
    <w:rsid w:val="002B087E"/>
    <w:rsid w:val="002B123E"/>
    <w:rsid w:val="002B180F"/>
    <w:rsid w:val="002B6B12"/>
    <w:rsid w:val="002C0C10"/>
    <w:rsid w:val="002C15C7"/>
    <w:rsid w:val="002C2B85"/>
    <w:rsid w:val="002C3338"/>
    <w:rsid w:val="002C3A22"/>
    <w:rsid w:val="002D1E4B"/>
    <w:rsid w:val="002D78EA"/>
    <w:rsid w:val="002D7DDF"/>
    <w:rsid w:val="002E1F6B"/>
    <w:rsid w:val="002E2A38"/>
    <w:rsid w:val="002E3551"/>
    <w:rsid w:val="002E3AE0"/>
    <w:rsid w:val="002E609F"/>
    <w:rsid w:val="002E6140"/>
    <w:rsid w:val="002E6985"/>
    <w:rsid w:val="002E71B6"/>
    <w:rsid w:val="002E7D73"/>
    <w:rsid w:val="002E7F54"/>
    <w:rsid w:val="002F1F9E"/>
    <w:rsid w:val="002F2ED8"/>
    <w:rsid w:val="002F39C0"/>
    <w:rsid w:val="002F4B59"/>
    <w:rsid w:val="002F5FE8"/>
    <w:rsid w:val="002F77C8"/>
    <w:rsid w:val="00304F22"/>
    <w:rsid w:val="00306C7C"/>
    <w:rsid w:val="003137C3"/>
    <w:rsid w:val="00316559"/>
    <w:rsid w:val="0031694E"/>
    <w:rsid w:val="00317966"/>
    <w:rsid w:val="003202E4"/>
    <w:rsid w:val="00321BD1"/>
    <w:rsid w:val="00322EDD"/>
    <w:rsid w:val="00331A98"/>
    <w:rsid w:val="00332320"/>
    <w:rsid w:val="00332F73"/>
    <w:rsid w:val="003364A0"/>
    <w:rsid w:val="003412E2"/>
    <w:rsid w:val="003449FF"/>
    <w:rsid w:val="00347C4D"/>
    <w:rsid w:val="00347D72"/>
    <w:rsid w:val="00350884"/>
    <w:rsid w:val="0035166E"/>
    <w:rsid w:val="00351C04"/>
    <w:rsid w:val="00353C9F"/>
    <w:rsid w:val="003542F8"/>
    <w:rsid w:val="00357611"/>
    <w:rsid w:val="00361094"/>
    <w:rsid w:val="00362696"/>
    <w:rsid w:val="00367237"/>
    <w:rsid w:val="0036775F"/>
    <w:rsid w:val="0037077F"/>
    <w:rsid w:val="0037111C"/>
    <w:rsid w:val="00371E12"/>
    <w:rsid w:val="00372411"/>
    <w:rsid w:val="00373882"/>
    <w:rsid w:val="0037503D"/>
    <w:rsid w:val="00376E0B"/>
    <w:rsid w:val="003775B9"/>
    <w:rsid w:val="00380175"/>
    <w:rsid w:val="00381E86"/>
    <w:rsid w:val="00382D04"/>
    <w:rsid w:val="003833E5"/>
    <w:rsid w:val="003843DB"/>
    <w:rsid w:val="00384823"/>
    <w:rsid w:val="00387A31"/>
    <w:rsid w:val="00393761"/>
    <w:rsid w:val="003959F8"/>
    <w:rsid w:val="0039790D"/>
    <w:rsid w:val="00397D18"/>
    <w:rsid w:val="003A007B"/>
    <w:rsid w:val="003A1B36"/>
    <w:rsid w:val="003A4499"/>
    <w:rsid w:val="003A494E"/>
    <w:rsid w:val="003A79D1"/>
    <w:rsid w:val="003A7C38"/>
    <w:rsid w:val="003B1454"/>
    <w:rsid w:val="003B18B6"/>
    <w:rsid w:val="003B1B96"/>
    <w:rsid w:val="003B1F2E"/>
    <w:rsid w:val="003B2B76"/>
    <w:rsid w:val="003B4416"/>
    <w:rsid w:val="003B7D75"/>
    <w:rsid w:val="003C1FFD"/>
    <w:rsid w:val="003C4E95"/>
    <w:rsid w:val="003C59E0"/>
    <w:rsid w:val="003C5D62"/>
    <w:rsid w:val="003C5EF8"/>
    <w:rsid w:val="003C6C8D"/>
    <w:rsid w:val="003D27D0"/>
    <w:rsid w:val="003D2F53"/>
    <w:rsid w:val="003D462F"/>
    <w:rsid w:val="003D4F95"/>
    <w:rsid w:val="003D5F42"/>
    <w:rsid w:val="003D60A9"/>
    <w:rsid w:val="003E01B7"/>
    <w:rsid w:val="003E0903"/>
    <w:rsid w:val="003E2DF3"/>
    <w:rsid w:val="003E3E6F"/>
    <w:rsid w:val="003E470B"/>
    <w:rsid w:val="003E6335"/>
    <w:rsid w:val="003E6630"/>
    <w:rsid w:val="003E775B"/>
    <w:rsid w:val="003E7913"/>
    <w:rsid w:val="003F116C"/>
    <w:rsid w:val="003F1255"/>
    <w:rsid w:val="003F3A5A"/>
    <w:rsid w:val="003F4C97"/>
    <w:rsid w:val="003F5125"/>
    <w:rsid w:val="003F5CEC"/>
    <w:rsid w:val="003F715C"/>
    <w:rsid w:val="003F7FE6"/>
    <w:rsid w:val="00400193"/>
    <w:rsid w:val="004124D9"/>
    <w:rsid w:val="00415410"/>
    <w:rsid w:val="004200BC"/>
    <w:rsid w:val="004212E7"/>
    <w:rsid w:val="00421FA2"/>
    <w:rsid w:val="0042446D"/>
    <w:rsid w:val="004256B4"/>
    <w:rsid w:val="00427BF8"/>
    <w:rsid w:val="00430439"/>
    <w:rsid w:val="00431C02"/>
    <w:rsid w:val="0043227A"/>
    <w:rsid w:val="00437395"/>
    <w:rsid w:val="00440EC4"/>
    <w:rsid w:val="00442E75"/>
    <w:rsid w:val="0044434E"/>
    <w:rsid w:val="00445009"/>
    <w:rsid w:val="00445047"/>
    <w:rsid w:val="00446B96"/>
    <w:rsid w:val="004509E7"/>
    <w:rsid w:val="0045448D"/>
    <w:rsid w:val="00454A82"/>
    <w:rsid w:val="004558E8"/>
    <w:rsid w:val="004572FA"/>
    <w:rsid w:val="00457689"/>
    <w:rsid w:val="00460EC6"/>
    <w:rsid w:val="00463C85"/>
    <w:rsid w:val="00463E39"/>
    <w:rsid w:val="0046445A"/>
    <w:rsid w:val="00464BAB"/>
    <w:rsid w:val="004657FC"/>
    <w:rsid w:val="00466124"/>
    <w:rsid w:val="0047234E"/>
    <w:rsid w:val="004730B3"/>
    <w:rsid w:val="004733F6"/>
    <w:rsid w:val="00474E69"/>
    <w:rsid w:val="00476C37"/>
    <w:rsid w:val="00487CA1"/>
    <w:rsid w:val="00495136"/>
    <w:rsid w:val="0049621B"/>
    <w:rsid w:val="004977BE"/>
    <w:rsid w:val="004A0FD1"/>
    <w:rsid w:val="004A485E"/>
    <w:rsid w:val="004A7ACD"/>
    <w:rsid w:val="004A7BB9"/>
    <w:rsid w:val="004A7E15"/>
    <w:rsid w:val="004B00D3"/>
    <w:rsid w:val="004B338E"/>
    <w:rsid w:val="004C1895"/>
    <w:rsid w:val="004C1DAA"/>
    <w:rsid w:val="004C2063"/>
    <w:rsid w:val="004C6D40"/>
    <w:rsid w:val="004D37A3"/>
    <w:rsid w:val="004D5573"/>
    <w:rsid w:val="004E1FFA"/>
    <w:rsid w:val="004E3269"/>
    <w:rsid w:val="004E3EA2"/>
    <w:rsid w:val="004E43BB"/>
    <w:rsid w:val="004E5A30"/>
    <w:rsid w:val="004F0C3C"/>
    <w:rsid w:val="004F49BF"/>
    <w:rsid w:val="004F63FC"/>
    <w:rsid w:val="004F6EB8"/>
    <w:rsid w:val="004F7BB9"/>
    <w:rsid w:val="00501457"/>
    <w:rsid w:val="0050238F"/>
    <w:rsid w:val="00505A92"/>
    <w:rsid w:val="00513530"/>
    <w:rsid w:val="00513D6B"/>
    <w:rsid w:val="0051741F"/>
    <w:rsid w:val="005203F1"/>
    <w:rsid w:val="00520A27"/>
    <w:rsid w:val="00520B38"/>
    <w:rsid w:val="00521BC3"/>
    <w:rsid w:val="00523F4C"/>
    <w:rsid w:val="005246EF"/>
    <w:rsid w:val="00526A02"/>
    <w:rsid w:val="00526D39"/>
    <w:rsid w:val="00533632"/>
    <w:rsid w:val="00536350"/>
    <w:rsid w:val="005366AA"/>
    <w:rsid w:val="00536889"/>
    <w:rsid w:val="0053716A"/>
    <w:rsid w:val="00541E6E"/>
    <w:rsid w:val="0054251F"/>
    <w:rsid w:val="00547180"/>
    <w:rsid w:val="005520D8"/>
    <w:rsid w:val="00556C22"/>
    <w:rsid w:val="00556CF1"/>
    <w:rsid w:val="00565619"/>
    <w:rsid w:val="00566E75"/>
    <w:rsid w:val="005670A0"/>
    <w:rsid w:val="00570150"/>
    <w:rsid w:val="0057380C"/>
    <w:rsid w:val="00575331"/>
    <w:rsid w:val="0057577F"/>
    <w:rsid w:val="00575F81"/>
    <w:rsid w:val="005762A7"/>
    <w:rsid w:val="00576BB2"/>
    <w:rsid w:val="005824C5"/>
    <w:rsid w:val="00583CB8"/>
    <w:rsid w:val="005842E9"/>
    <w:rsid w:val="005916D7"/>
    <w:rsid w:val="0059527E"/>
    <w:rsid w:val="00595BC9"/>
    <w:rsid w:val="005975D4"/>
    <w:rsid w:val="005A3335"/>
    <w:rsid w:val="005A5473"/>
    <w:rsid w:val="005A694E"/>
    <w:rsid w:val="005A698C"/>
    <w:rsid w:val="005A6A47"/>
    <w:rsid w:val="005A6F95"/>
    <w:rsid w:val="005A7455"/>
    <w:rsid w:val="005B573E"/>
    <w:rsid w:val="005C572B"/>
    <w:rsid w:val="005C5E2E"/>
    <w:rsid w:val="005D1D11"/>
    <w:rsid w:val="005D6288"/>
    <w:rsid w:val="005D7E31"/>
    <w:rsid w:val="005E0799"/>
    <w:rsid w:val="005E092A"/>
    <w:rsid w:val="005E0AD2"/>
    <w:rsid w:val="005E1B8A"/>
    <w:rsid w:val="005E4D11"/>
    <w:rsid w:val="005E55D4"/>
    <w:rsid w:val="005E5A5A"/>
    <w:rsid w:val="005F07D2"/>
    <w:rsid w:val="005F4A44"/>
    <w:rsid w:val="005F4F04"/>
    <w:rsid w:val="005F4F44"/>
    <w:rsid w:val="005F5A80"/>
    <w:rsid w:val="00600D33"/>
    <w:rsid w:val="00603087"/>
    <w:rsid w:val="006044FF"/>
    <w:rsid w:val="00605FA4"/>
    <w:rsid w:val="0060604C"/>
    <w:rsid w:val="00607743"/>
    <w:rsid w:val="00607CC5"/>
    <w:rsid w:val="00610479"/>
    <w:rsid w:val="00610ADF"/>
    <w:rsid w:val="00612480"/>
    <w:rsid w:val="00615F1C"/>
    <w:rsid w:val="0061624F"/>
    <w:rsid w:val="006163AB"/>
    <w:rsid w:val="00624DD0"/>
    <w:rsid w:val="00624F14"/>
    <w:rsid w:val="00625D4C"/>
    <w:rsid w:val="00630A6E"/>
    <w:rsid w:val="00632503"/>
    <w:rsid w:val="00632D38"/>
    <w:rsid w:val="00633014"/>
    <w:rsid w:val="0063437B"/>
    <w:rsid w:val="00637BB8"/>
    <w:rsid w:val="006407A1"/>
    <w:rsid w:val="00643478"/>
    <w:rsid w:val="00643F95"/>
    <w:rsid w:val="00645B5F"/>
    <w:rsid w:val="00651432"/>
    <w:rsid w:val="00651532"/>
    <w:rsid w:val="006525D8"/>
    <w:rsid w:val="006613B0"/>
    <w:rsid w:val="006656CE"/>
    <w:rsid w:val="006659AD"/>
    <w:rsid w:val="006673CA"/>
    <w:rsid w:val="0067014B"/>
    <w:rsid w:val="00670AA6"/>
    <w:rsid w:val="00670D4E"/>
    <w:rsid w:val="006720C3"/>
    <w:rsid w:val="00672FE2"/>
    <w:rsid w:val="00673336"/>
    <w:rsid w:val="00673C26"/>
    <w:rsid w:val="0067669A"/>
    <w:rsid w:val="006812AF"/>
    <w:rsid w:val="0068327D"/>
    <w:rsid w:val="00686859"/>
    <w:rsid w:val="006913A5"/>
    <w:rsid w:val="00693875"/>
    <w:rsid w:val="00694AF0"/>
    <w:rsid w:val="00695B27"/>
    <w:rsid w:val="006A4686"/>
    <w:rsid w:val="006A536F"/>
    <w:rsid w:val="006A5930"/>
    <w:rsid w:val="006A7B98"/>
    <w:rsid w:val="006B0E9E"/>
    <w:rsid w:val="006B143D"/>
    <w:rsid w:val="006B223A"/>
    <w:rsid w:val="006B5AE4"/>
    <w:rsid w:val="006C550F"/>
    <w:rsid w:val="006C62AD"/>
    <w:rsid w:val="006C7F67"/>
    <w:rsid w:val="006D02B5"/>
    <w:rsid w:val="006D1507"/>
    <w:rsid w:val="006D1995"/>
    <w:rsid w:val="006D2B90"/>
    <w:rsid w:val="006D4054"/>
    <w:rsid w:val="006D474B"/>
    <w:rsid w:val="006E02EC"/>
    <w:rsid w:val="006E1881"/>
    <w:rsid w:val="006E1F0E"/>
    <w:rsid w:val="006E27D2"/>
    <w:rsid w:val="006E4829"/>
    <w:rsid w:val="006E5C48"/>
    <w:rsid w:val="006E6AA5"/>
    <w:rsid w:val="006F1AE2"/>
    <w:rsid w:val="006F59EF"/>
    <w:rsid w:val="007039A4"/>
    <w:rsid w:val="0070428E"/>
    <w:rsid w:val="00705874"/>
    <w:rsid w:val="00705AD8"/>
    <w:rsid w:val="0071100B"/>
    <w:rsid w:val="00712103"/>
    <w:rsid w:val="007130D5"/>
    <w:rsid w:val="00716FC9"/>
    <w:rsid w:val="007211B1"/>
    <w:rsid w:val="00721281"/>
    <w:rsid w:val="00722409"/>
    <w:rsid w:val="00727C17"/>
    <w:rsid w:val="00731A35"/>
    <w:rsid w:val="00734741"/>
    <w:rsid w:val="00734CA1"/>
    <w:rsid w:val="0073584F"/>
    <w:rsid w:val="007376CF"/>
    <w:rsid w:val="007436CF"/>
    <w:rsid w:val="0074543D"/>
    <w:rsid w:val="007456DE"/>
    <w:rsid w:val="00746187"/>
    <w:rsid w:val="00746C6E"/>
    <w:rsid w:val="007470DB"/>
    <w:rsid w:val="00752A5D"/>
    <w:rsid w:val="00753B65"/>
    <w:rsid w:val="007552F1"/>
    <w:rsid w:val="00756BCA"/>
    <w:rsid w:val="00760EDB"/>
    <w:rsid w:val="0076254F"/>
    <w:rsid w:val="007639B7"/>
    <w:rsid w:val="00767B50"/>
    <w:rsid w:val="0077035E"/>
    <w:rsid w:val="0077086D"/>
    <w:rsid w:val="00777F44"/>
    <w:rsid w:val="00780080"/>
    <w:rsid w:val="007801F5"/>
    <w:rsid w:val="007807F2"/>
    <w:rsid w:val="00783CA4"/>
    <w:rsid w:val="007842FB"/>
    <w:rsid w:val="00786124"/>
    <w:rsid w:val="00786BB5"/>
    <w:rsid w:val="00791254"/>
    <w:rsid w:val="00792DB7"/>
    <w:rsid w:val="0079351A"/>
    <w:rsid w:val="00793960"/>
    <w:rsid w:val="00794990"/>
    <w:rsid w:val="0079514B"/>
    <w:rsid w:val="007A1F7E"/>
    <w:rsid w:val="007A2DC1"/>
    <w:rsid w:val="007A425C"/>
    <w:rsid w:val="007B6335"/>
    <w:rsid w:val="007C06B1"/>
    <w:rsid w:val="007C0A8F"/>
    <w:rsid w:val="007C1F4D"/>
    <w:rsid w:val="007D1FA0"/>
    <w:rsid w:val="007D3319"/>
    <w:rsid w:val="007D335D"/>
    <w:rsid w:val="007D49B2"/>
    <w:rsid w:val="007D5310"/>
    <w:rsid w:val="007E0B93"/>
    <w:rsid w:val="007E3314"/>
    <w:rsid w:val="007E4B03"/>
    <w:rsid w:val="007E5D26"/>
    <w:rsid w:val="007E7C75"/>
    <w:rsid w:val="007F324B"/>
    <w:rsid w:val="00801FC3"/>
    <w:rsid w:val="0080553C"/>
    <w:rsid w:val="00805B46"/>
    <w:rsid w:val="00805CF3"/>
    <w:rsid w:val="008079DE"/>
    <w:rsid w:val="00812FCA"/>
    <w:rsid w:val="008142ED"/>
    <w:rsid w:val="00814BD1"/>
    <w:rsid w:val="00822F36"/>
    <w:rsid w:val="00823A60"/>
    <w:rsid w:val="00825DC2"/>
    <w:rsid w:val="00834A23"/>
    <w:rsid w:val="00834AD3"/>
    <w:rsid w:val="00835CE7"/>
    <w:rsid w:val="00836E5A"/>
    <w:rsid w:val="0083786A"/>
    <w:rsid w:val="00840E72"/>
    <w:rsid w:val="008422AC"/>
    <w:rsid w:val="00843795"/>
    <w:rsid w:val="00846BB2"/>
    <w:rsid w:val="008470B1"/>
    <w:rsid w:val="00847F0F"/>
    <w:rsid w:val="00850EA5"/>
    <w:rsid w:val="00851B72"/>
    <w:rsid w:val="00852448"/>
    <w:rsid w:val="0085332A"/>
    <w:rsid w:val="00853A04"/>
    <w:rsid w:val="008548AD"/>
    <w:rsid w:val="00857A1E"/>
    <w:rsid w:val="008632A9"/>
    <w:rsid w:val="00864787"/>
    <w:rsid w:val="00864807"/>
    <w:rsid w:val="0086752C"/>
    <w:rsid w:val="00871B22"/>
    <w:rsid w:val="00881230"/>
    <w:rsid w:val="00881F60"/>
    <w:rsid w:val="0088258A"/>
    <w:rsid w:val="008826DE"/>
    <w:rsid w:val="0088367E"/>
    <w:rsid w:val="00886332"/>
    <w:rsid w:val="008937C5"/>
    <w:rsid w:val="00895219"/>
    <w:rsid w:val="00896AB3"/>
    <w:rsid w:val="00897258"/>
    <w:rsid w:val="008A20F4"/>
    <w:rsid w:val="008A26D9"/>
    <w:rsid w:val="008A2719"/>
    <w:rsid w:val="008A2920"/>
    <w:rsid w:val="008A3537"/>
    <w:rsid w:val="008A376C"/>
    <w:rsid w:val="008A41F1"/>
    <w:rsid w:val="008A42D4"/>
    <w:rsid w:val="008A6C77"/>
    <w:rsid w:val="008B0189"/>
    <w:rsid w:val="008B0813"/>
    <w:rsid w:val="008B0C53"/>
    <w:rsid w:val="008B112C"/>
    <w:rsid w:val="008B2294"/>
    <w:rsid w:val="008B25D9"/>
    <w:rsid w:val="008B6140"/>
    <w:rsid w:val="008C04BC"/>
    <w:rsid w:val="008C05A3"/>
    <w:rsid w:val="008C0C29"/>
    <w:rsid w:val="008C29C9"/>
    <w:rsid w:val="008D0BCA"/>
    <w:rsid w:val="008D482E"/>
    <w:rsid w:val="008E5BA8"/>
    <w:rsid w:val="008E73DE"/>
    <w:rsid w:val="008E77D1"/>
    <w:rsid w:val="008F3638"/>
    <w:rsid w:val="008F39DA"/>
    <w:rsid w:val="008F4441"/>
    <w:rsid w:val="008F6F31"/>
    <w:rsid w:val="008F74DF"/>
    <w:rsid w:val="00901D5C"/>
    <w:rsid w:val="00904933"/>
    <w:rsid w:val="00906F60"/>
    <w:rsid w:val="009127BA"/>
    <w:rsid w:val="00912830"/>
    <w:rsid w:val="009160AF"/>
    <w:rsid w:val="0091761A"/>
    <w:rsid w:val="00917C08"/>
    <w:rsid w:val="00921154"/>
    <w:rsid w:val="009227A6"/>
    <w:rsid w:val="00922968"/>
    <w:rsid w:val="00923B5C"/>
    <w:rsid w:val="00932FB8"/>
    <w:rsid w:val="00933EC1"/>
    <w:rsid w:val="0093416A"/>
    <w:rsid w:val="009419D8"/>
    <w:rsid w:val="00944D87"/>
    <w:rsid w:val="009516C0"/>
    <w:rsid w:val="009530DB"/>
    <w:rsid w:val="00953676"/>
    <w:rsid w:val="00954401"/>
    <w:rsid w:val="00954BB8"/>
    <w:rsid w:val="009572CE"/>
    <w:rsid w:val="00960051"/>
    <w:rsid w:val="00961357"/>
    <w:rsid w:val="00962C2B"/>
    <w:rsid w:val="009705EE"/>
    <w:rsid w:val="0097147D"/>
    <w:rsid w:val="009716EB"/>
    <w:rsid w:val="0097667C"/>
    <w:rsid w:val="00976A9F"/>
    <w:rsid w:val="00977226"/>
    <w:rsid w:val="00977927"/>
    <w:rsid w:val="0098135C"/>
    <w:rsid w:val="0098156A"/>
    <w:rsid w:val="00984D49"/>
    <w:rsid w:val="0098560B"/>
    <w:rsid w:val="0098745F"/>
    <w:rsid w:val="009879D6"/>
    <w:rsid w:val="00987B08"/>
    <w:rsid w:val="00990549"/>
    <w:rsid w:val="009912CA"/>
    <w:rsid w:val="00991580"/>
    <w:rsid w:val="0099173B"/>
    <w:rsid w:val="00991BAC"/>
    <w:rsid w:val="00991CCD"/>
    <w:rsid w:val="00993860"/>
    <w:rsid w:val="00997F22"/>
    <w:rsid w:val="009A37A8"/>
    <w:rsid w:val="009A4257"/>
    <w:rsid w:val="009A5166"/>
    <w:rsid w:val="009A5563"/>
    <w:rsid w:val="009A6EA0"/>
    <w:rsid w:val="009B03CE"/>
    <w:rsid w:val="009B112A"/>
    <w:rsid w:val="009B5182"/>
    <w:rsid w:val="009C1335"/>
    <w:rsid w:val="009C1AB2"/>
    <w:rsid w:val="009C7251"/>
    <w:rsid w:val="009C73F4"/>
    <w:rsid w:val="009C77AC"/>
    <w:rsid w:val="009D08F0"/>
    <w:rsid w:val="009D2055"/>
    <w:rsid w:val="009D28C2"/>
    <w:rsid w:val="009D34FB"/>
    <w:rsid w:val="009D4D5A"/>
    <w:rsid w:val="009D7DF4"/>
    <w:rsid w:val="009E2E91"/>
    <w:rsid w:val="009E46C6"/>
    <w:rsid w:val="009E6224"/>
    <w:rsid w:val="009E696D"/>
    <w:rsid w:val="009E72F5"/>
    <w:rsid w:val="009F4320"/>
    <w:rsid w:val="009F70CD"/>
    <w:rsid w:val="00A013DB"/>
    <w:rsid w:val="00A026E6"/>
    <w:rsid w:val="00A030D5"/>
    <w:rsid w:val="00A04CC8"/>
    <w:rsid w:val="00A05463"/>
    <w:rsid w:val="00A05623"/>
    <w:rsid w:val="00A06E7B"/>
    <w:rsid w:val="00A10FCD"/>
    <w:rsid w:val="00A112A7"/>
    <w:rsid w:val="00A11449"/>
    <w:rsid w:val="00A139F5"/>
    <w:rsid w:val="00A16E3B"/>
    <w:rsid w:val="00A22FF2"/>
    <w:rsid w:val="00A24E32"/>
    <w:rsid w:val="00A2519B"/>
    <w:rsid w:val="00A25CD3"/>
    <w:rsid w:val="00A2630B"/>
    <w:rsid w:val="00A31174"/>
    <w:rsid w:val="00A33160"/>
    <w:rsid w:val="00A365F4"/>
    <w:rsid w:val="00A42793"/>
    <w:rsid w:val="00A42F63"/>
    <w:rsid w:val="00A437FC"/>
    <w:rsid w:val="00A43C9B"/>
    <w:rsid w:val="00A4549B"/>
    <w:rsid w:val="00A455E3"/>
    <w:rsid w:val="00A4762B"/>
    <w:rsid w:val="00A47D80"/>
    <w:rsid w:val="00A5037C"/>
    <w:rsid w:val="00A5136F"/>
    <w:rsid w:val="00A51EFC"/>
    <w:rsid w:val="00A53132"/>
    <w:rsid w:val="00A54CAB"/>
    <w:rsid w:val="00A563F2"/>
    <w:rsid w:val="00A566E8"/>
    <w:rsid w:val="00A57425"/>
    <w:rsid w:val="00A619B7"/>
    <w:rsid w:val="00A657CE"/>
    <w:rsid w:val="00A66BF7"/>
    <w:rsid w:val="00A66E80"/>
    <w:rsid w:val="00A72978"/>
    <w:rsid w:val="00A810F9"/>
    <w:rsid w:val="00A85F5A"/>
    <w:rsid w:val="00A86ECC"/>
    <w:rsid w:val="00A86FCC"/>
    <w:rsid w:val="00A8721E"/>
    <w:rsid w:val="00A91DD7"/>
    <w:rsid w:val="00A9416E"/>
    <w:rsid w:val="00A979B5"/>
    <w:rsid w:val="00AA0319"/>
    <w:rsid w:val="00AA15FC"/>
    <w:rsid w:val="00AA320F"/>
    <w:rsid w:val="00AA6A7F"/>
    <w:rsid w:val="00AA6AE4"/>
    <w:rsid w:val="00AA710D"/>
    <w:rsid w:val="00AB0055"/>
    <w:rsid w:val="00AB3464"/>
    <w:rsid w:val="00AB5A89"/>
    <w:rsid w:val="00AB5ED5"/>
    <w:rsid w:val="00AB68F3"/>
    <w:rsid w:val="00AB6D25"/>
    <w:rsid w:val="00AC073B"/>
    <w:rsid w:val="00AC5BF3"/>
    <w:rsid w:val="00AC68EA"/>
    <w:rsid w:val="00AD070F"/>
    <w:rsid w:val="00AD242D"/>
    <w:rsid w:val="00AD29E7"/>
    <w:rsid w:val="00AD3847"/>
    <w:rsid w:val="00AD4A57"/>
    <w:rsid w:val="00AD5702"/>
    <w:rsid w:val="00AD59DF"/>
    <w:rsid w:val="00AD5F6F"/>
    <w:rsid w:val="00AD62DD"/>
    <w:rsid w:val="00AD6BEC"/>
    <w:rsid w:val="00AE2D4B"/>
    <w:rsid w:val="00AE35E9"/>
    <w:rsid w:val="00AE4F99"/>
    <w:rsid w:val="00AE7D6A"/>
    <w:rsid w:val="00AF0314"/>
    <w:rsid w:val="00AF16EF"/>
    <w:rsid w:val="00AF218C"/>
    <w:rsid w:val="00AF32B1"/>
    <w:rsid w:val="00AF33B6"/>
    <w:rsid w:val="00AF4179"/>
    <w:rsid w:val="00AF59A5"/>
    <w:rsid w:val="00AF691B"/>
    <w:rsid w:val="00AF6E73"/>
    <w:rsid w:val="00B00AD4"/>
    <w:rsid w:val="00B0114E"/>
    <w:rsid w:val="00B01703"/>
    <w:rsid w:val="00B01832"/>
    <w:rsid w:val="00B019E6"/>
    <w:rsid w:val="00B02335"/>
    <w:rsid w:val="00B040AC"/>
    <w:rsid w:val="00B04B2C"/>
    <w:rsid w:val="00B05893"/>
    <w:rsid w:val="00B05C7B"/>
    <w:rsid w:val="00B07063"/>
    <w:rsid w:val="00B11B69"/>
    <w:rsid w:val="00B13B42"/>
    <w:rsid w:val="00B14952"/>
    <w:rsid w:val="00B14DFB"/>
    <w:rsid w:val="00B168A8"/>
    <w:rsid w:val="00B226C8"/>
    <w:rsid w:val="00B31E5A"/>
    <w:rsid w:val="00B32C0A"/>
    <w:rsid w:val="00B332F5"/>
    <w:rsid w:val="00B33788"/>
    <w:rsid w:val="00B33934"/>
    <w:rsid w:val="00B35DAC"/>
    <w:rsid w:val="00B41FAA"/>
    <w:rsid w:val="00B43897"/>
    <w:rsid w:val="00B44345"/>
    <w:rsid w:val="00B47F2F"/>
    <w:rsid w:val="00B55BDD"/>
    <w:rsid w:val="00B55C8C"/>
    <w:rsid w:val="00B56A8E"/>
    <w:rsid w:val="00B57D6D"/>
    <w:rsid w:val="00B57DE2"/>
    <w:rsid w:val="00B6146A"/>
    <w:rsid w:val="00B628A5"/>
    <w:rsid w:val="00B637A7"/>
    <w:rsid w:val="00B64834"/>
    <w:rsid w:val="00B653AB"/>
    <w:rsid w:val="00B65F9E"/>
    <w:rsid w:val="00B66B19"/>
    <w:rsid w:val="00B671E2"/>
    <w:rsid w:val="00B67989"/>
    <w:rsid w:val="00B7176A"/>
    <w:rsid w:val="00B82E58"/>
    <w:rsid w:val="00B845E6"/>
    <w:rsid w:val="00B859E1"/>
    <w:rsid w:val="00B914E9"/>
    <w:rsid w:val="00B9169F"/>
    <w:rsid w:val="00B93B53"/>
    <w:rsid w:val="00B956EE"/>
    <w:rsid w:val="00BA2BA1"/>
    <w:rsid w:val="00BA3562"/>
    <w:rsid w:val="00BA740C"/>
    <w:rsid w:val="00BB2032"/>
    <w:rsid w:val="00BB4F09"/>
    <w:rsid w:val="00BC32FB"/>
    <w:rsid w:val="00BC33B3"/>
    <w:rsid w:val="00BC469F"/>
    <w:rsid w:val="00BD0A0B"/>
    <w:rsid w:val="00BD0FAF"/>
    <w:rsid w:val="00BD3080"/>
    <w:rsid w:val="00BD3247"/>
    <w:rsid w:val="00BD3642"/>
    <w:rsid w:val="00BD4E33"/>
    <w:rsid w:val="00BD5754"/>
    <w:rsid w:val="00BE07B5"/>
    <w:rsid w:val="00BE3B8F"/>
    <w:rsid w:val="00BE6BC5"/>
    <w:rsid w:val="00BF2214"/>
    <w:rsid w:val="00BF41D4"/>
    <w:rsid w:val="00BF4404"/>
    <w:rsid w:val="00BF482F"/>
    <w:rsid w:val="00BF4C28"/>
    <w:rsid w:val="00BF577B"/>
    <w:rsid w:val="00BF5A4D"/>
    <w:rsid w:val="00BF674C"/>
    <w:rsid w:val="00C01D91"/>
    <w:rsid w:val="00C030DE"/>
    <w:rsid w:val="00C03DD8"/>
    <w:rsid w:val="00C154DA"/>
    <w:rsid w:val="00C16F88"/>
    <w:rsid w:val="00C20171"/>
    <w:rsid w:val="00C212DC"/>
    <w:rsid w:val="00C22105"/>
    <w:rsid w:val="00C229B7"/>
    <w:rsid w:val="00C22A82"/>
    <w:rsid w:val="00C23273"/>
    <w:rsid w:val="00C2412B"/>
    <w:rsid w:val="00C244B6"/>
    <w:rsid w:val="00C264F6"/>
    <w:rsid w:val="00C35B7E"/>
    <w:rsid w:val="00C3702F"/>
    <w:rsid w:val="00C4500A"/>
    <w:rsid w:val="00C47DAF"/>
    <w:rsid w:val="00C50B58"/>
    <w:rsid w:val="00C629DC"/>
    <w:rsid w:val="00C62B3A"/>
    <w:rsid w:val="00C63802"/>
    <w:rsid w:val="00C64A37"/>
    <w:rsid w:val="00C67376"/>
    <w:rsid w:val="00C7158E"/>
    <w:rsid w:val="00C717E2"/>
    <w:rsid w:val="00C72188"/>
    <w:rsid w:val="00C7250B"/>
    <w:rsid w:val="00C732C1"/>
    <w:rsid w:val="00C7346B"/>
    <w:rsid w:val="00C7589C"/>
    <w:rsid w:val="00C77C0E"/>
    <w:rsid w:val="00C80B60"/>
    <w:rsid w:val="00C81D21"/>
    <w:rsid w:val="00C8594A"/>
    <w:rsid w:val="00C90BE8"/>
    <w:rsid w:val="00C9122E"/>
    <w:rsid w:val="00C91687"/>
    <w:rsid w:val="00C924A8"/>
    <w:rsid w:val="00C945FE"/>
    <w:rsid w:val="00C96FAA"/>
    <w:rsid w:val="00C97A04"/>
    <w:rsid w:val="00CA107B"/>
    <w:rsid w:val="00CA3DE9"/>
    <w:rsid w:val="00CA484D"/>
    <w:rsid w:val="00CA4FB6"/>
    <w:rsid w:val="00CA5374"/>
    <w:rsid w:val="00CB24CF"/>
    <w:rsid w:val="00CB7D93"/>
    <w:rsid w:val="00CC25A1"/>
    <w:rsid w:val="00CC43E2"/>
    <w:rsid w:val="00CC739E"/>
    <w:rsid w:val="00CD5218"/>
    <w:rsid w:val="00CD58B7"/>
    <w:rsid w:val="00CD5E15"/>
    <w:rsid w:val="00CD6A48"/>
    <w:rsid w:val="00CD6BBD"/>
    <w:rsid w:val="00CE0F21"/>
    <w:rsid w:val="00CE6B20"/>
    <w:rsid w:val="00CF1957"/>
    <w:rsid w:val="00CF4099"/>
    <w:rsid w:val="00CF4418"/>
    <w:rsid w:val="00CF726A"/>
    <w:rsid w:val="00D00796"/>
    <w:rsid w:val="00D00DAC"/>
    <w:rsid w:val="00D05070"/>
    <w:rsid w:val="00D05F88"/>
    <w:rsid w:val="00D1463D"/>
    <w:rsid w:val="00D177D0"/>
    <w:rsid w:val="00D17BF5"/>
    <w:rsid w:val="00D22992"/>
    <w:rsid w:val="00D23008"/>
    <w:rsid w:val="00D2456A"/>
    <w:rsid w:val="00D25E56"/>
    <w:rsid w:val="00D261A2"/>
    <w:rsid w:val="00D425C0"/>
    <w:rsid w:val="00D443FB"/>
    <w:rsid w:val="00D477D2"/>
    <w:rsid w:val="00D50DAE"/>
    <w:rsid w:val="00D52384"/>
    <w:rsid w:val="00D52C3D"/>
    <w:rsid w:val="00D540F7"/>
    <w:rsid w:val="00D57582"/>
    <w:rsid w:val="00D57D87"/>
    <w:rsid w:val="00D616D2"/>
    <w:rsid w:val="00D63B5F"/>
    <w:rsid w:val="00D6526F"/>
    <w:rsid w:val="00D66EFE"/>
    <w:rsid w:val="00D70EF7"/>
    <w:rsid w:val="00D71C6A"/>
    <w:rsid w:val="00D72DF6"/>
    <w:rsid w:val="00D74B53"/>
    <w:rsid w:val="00D75C69"/>
    <w:rsid w:val="00D77716"/>
    <w:rsid w:val="00D81CEC"/>
    <w:rsid w:val="00D81FAF"/>
    <w:rsid w:val="00D838E3"/>
    <w:rsid w:val="00D8397C"/>
    <w:rsid w:val="00D84FE5"/>
    <w:rsid w:val="00D8502E"/>
    <w:rsid w:val="00D85DF6"/>
    <w:rsid w:val="00D91F27"/>
    <w:rsid w:val="00D92A10"/>
    <w:rsid w:val="00D94EED"/>
    <w:rsid w:val="00D96026"/>
    <w:rsid w:val="00DA0B09"/>
    <w:rsid w:val="00DA2565"/>
    <w:rsid w:val="00DA6320"/>
    <w:rsid w:val="00DA7C1C"/>
    <w:rsid w:val="00DB147A"/>
    <w:rsid w:val="00DB1747"/>
    <w:rsid w:val="00DB1B7A"/>
    <w:rsid w:val="00DB2648"/>
    <w:rsid w:val="00DB2A69"/>
    <w:rsid w:val="00DB2FB0"/>
    <w:rsid w:val="00DB37B5"/>
    <w:rsid w:val="00DB677A"/>
    <w:rsid w:val="00DB7EBD"/>
    <w:rsid w:val="00DC4264"/>
    <w:rsid w:val="00DC4293"/>
    <w:rsid w:val="00DC6708"/>
    <w:rsid w:val="00DC711C"/>
    <w:rsid w:val="00DD0A5B"/>
    <w:rsid w:val="00DD346F"/>
    <w:rsid w:val="00DD35C6"/>
    <w:rsid w:val="00DD5224"/>
    <w:rsid w:val="00DE0585"/>
    <w:rsid w:val="00DE0890"/>
    <w:rsid w:val="00DE0E13"/>
    <w:rsid w:val="00DE4AB4"/>
    <w:rsid w:val="00DE669B"/>
    <w:rsid w:val="00DE68E5"/>
    <w:rsid w:val="00DE7D35"/>
    <w:rsid w:val="00E00BD4"/>
    <w:rsid w:val="00E01436"/>
    <w:rsid w:val="00E0182A"/>
    <w:rsid w:val="00E045BD"/>
    <w:rsid w:val="00E04AFB"/>
    <w:rsid w:val="00E04E1E"/>
    <w:rsid w:val="00E06AC0"/>
    <w:rsid w:val="00E108AC"/>
    <w:rsid w:val="00E10DFC"/>
    <w:rsid w:val="00E11D08"/>
    <w:rsid w:val="00E12EDF"/>
    <w:rsid w:val="00E17B77"/>
    <w:rsid w:val="00E17EAE"/>
    <w:rsid w:val="00E21E3C"/>
    <w:rsid w:val="00E22912"/>
    <w:rsid w:val="00E23337"/>
    <w:rsid w:val="00E24A89"/>
    <w:rsid w:val="00E258E4"/>
    <w:rsid w:val="00E259EA"/>
    <w:rsid w:val="00E27380"/>
    <w:rsid w:val="00E32061"/>
    <w:rsid w:val="00E329B4"/>
    <w:rsid w:val="00E33D75"/>
    <w:rsid w:val="00E349DA"/>
    <w:rsid w:val="00E35760"/>
    <w:rsid w:val="00E40EA5"/>
    <w:rsid w:val="00E41876"/>
    <w:rsid w:val="00E42B6C"/>
    <w:rsid w:val="00E42FF9"/>
    <w:rsid w:val="00E430C9"/>
    <w:rsid w:val="00E44E5C"/>
    <w:rsid w:val="00E4610F"/>
    <w:rsid w:val="00E462D1"/>
    <w:rsid w:val="00E4714C"/>
    <w:rsid w:val="00E47508"/>
    <w:rsid w:val="00E51AEB"/>
    <w:rsid w:val="00E522A7"/>
    <w:rsid w:val="00E54452"/>
    <w:rsid w:val="00E5642B"/>
    <w:rsid w:val="00E56AD2"/>
    <w:rsid w:val="00E63AB5"/>
    <w:rsid w:val="00E6634F"/>
    <w:rsid w:val="00E664C5"/>
    <w:rsid w:val="00E66BD1"/>
    <w:rsid w:val="00E67080"/>
    <w:rsid w:val="00E671A2"/>
    <w:rsid w:val="00E71702"/>
    <w:rsid w:val="00E72110"/>
    <w:rsid w:val="00E76D26"/>
    <w:rsid w:val="00E805F6"/>
    <w:rsid w:val="00E845BC"/>
    <w:rsid w:val="00E84996"/>
    <w:rsid w:val="00E9422B"/>
    <w:rsid w:val="00E96A1D"/>
    <w:rsid w:val="00E97E62"/>
    <w:rsid w:val="00EA03E2"/>
    <w:rsid w:val="00EA06C0"/>
    <w:rsid w:val="00EA081E"/>
    <w:rsid w:val="00EA08F7"/>
    <w:rsid w:val="00EA1539"/>
    <w:rsid w:val="00EA1AC5"/>
    <w:rsid w:val="00EA4E8A"/>
    <w:rsid w:val="00EA5DF1"/>
    <w:rsid w:val="00EA7E89"/>
    <w:rsid w:val="00EA7F0C"/>
    <w:rsid w:val="00EB1390"/>
    <w:rsid w:val="00EB2822"/>
    <w:rsid w:val="00EB2C71"/>
    <w:rsid w:val="00EB377A"/>
    <w:rsid w:val="00EB4340"/>
    <w:rsid w:val="00EB556D"/>
    <w:rsid w:val="00EB5A7D"/>
    <w:rsid w:val="00EC1555"/>
    <w:rsid w:val="00EC5A67"/>
    <w:rsid w:val="00ED55C0"/>
    <w:rsid w:val="00ED634A"/>
    <w:rsid w:val="00ED682B"/>
    <w:rsid w:val="00ED6E9F"/>
    <w:rsid w:val="00ED7BCF"/>
    <w:rsid w:val="00EE4057"/>
    <w:rsid w:val="00EE41D5"/>
    <w:rsid w:val="00EE5BB8"/>
    <w:rsid w:val="00EE5F91"/>
    <w:rsid w:val="00EF0B86"/>
    <w:rsid w:val="00F02A94"/>
    <w:rsid w:val="00F037A4"/>
    <w:rsid w:val="00F117B2"/>
    <w:rsid w:val="00F12A16"/>
    <w:rsid w:val="00F135F9"/>
    <w:rsid w:val="00F20251"/>
    <w:rsid w:val="00F20933"/>
    <w:rsid w:val="00F2318D"/>
    <w:rsid w:val="00F23FD8"/>
    <w:rsid w:val="00F2417F"/>
    <w:rsid w:val="00F2571E"/>
    <w:rsid w:val="00F274FF"/>
    <w:rsid w:val="00F27C8F"/>
    <w:rsid w:val="00F30D32"/>
    <w:rsid w:val="00F32749"/>
    <w:rsid w:val="00F359F1"/>
    <w:rsid w:val="00F37172"/>
    <w:rsid w:val="00F41428"/>
    <w:rsid w:val="00F4477E"/>
    <w:rsid w:val="00F46F53"/>
    <w:rsid w:val="00F47A85"/>
    <w:rsid w:val="00F50E5D"/>
    <w:rsid w:val="00F5179F"/>
    <w:rsid w:val="00F5182F"/>
    <w:rsid w:val="00F52524"/>
    <w:rsid w:val="00F52ABC"/>
    <w:rsid w:val="00F53294"/>
    <w:rsid w:val="00F53EC1"/>
    <w:rsid w:val="00F54F3E"/>
    <w:rsid w:val="00F56057"/>
    <w:rsid w:val="00F63109"/>
    <w:rsid w:val="00F65937"/>
    <w:rsid w:val="00F665C4"/>
    <w:rsid w:val="00F677E2"/>
    <w:rsid w:val="00F67D8F"/>
    <w:rsid w:val="00F714F5"/>
    <w:rsid w:val="00F72B4B"/>
    <w:rsid w:val="00F74454"/>
    <w:rsid w:val="00F761DE"/>
    <w:rsid w:val="00F76BCA"/>
    <w:rsid w:val="00F76C0B"/>
    <w:rsid w:val="00F802BE"/>
    <w:rsid w:val="00F80E93"/>
    <w:rsid w:val="00F86024"/>
    <w:rsid w:val="00F8611A"/>
    <w:rsid w:val="00F90EBB"/>
    <w:rsid w:val="00F92BBF"/>
    <w:rsid w:val="00F96F12"/>
    <w:rsid w:val="00FA42EB"/>
    <w:rsid w:val="00FA5128"/>
    <w:rsid w:val="00FB0A2D"/>
    <w:rsid w:val="00FB0D6C"/>
    <w:rsid w:val="00FB1D3B"/>
    <w:rsid w:val="00FB42D4"/>
    <w:rsid w:val="00FB5906"/>
    <w:rsid w:val="00FB762F"/>
    <w:rsid w:val="00FC142D"/>
    <w:rsid w:val="00FC2AED"/>
    <w:rsid w:val="00FC394F"/>
    <w:rsid w:val="00FC562A"/>
    <w:rsid w:val="00FC5A12"/>
    <w:rsid w:val="00FD2691"/>
    <w:rsid w:val="00FD26EA"/>
    <w:rsid w:val="00FD2C93"/>
    <w:rsid w:val="00FD3CE9"/>
    <w:rsid w:val="00FD3E89"/>
    <w:rsid w:val="00FD4F32"/>
    <w:rsid w:val="00FD5EA7"/>
    <w:rsid w:val="00FD65DB"/>
    <w:rsid w:val="00FD791A"/>
    <w:rsid w:val="00FE031C"/>
    <w:rsid w:val="00FE136C"/>
    <w:rsid w:val="00FE4589"/>
    <w:rsid w:val="00FE59F7"/>
    <w:rsid w:val="00FF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416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EA1AC5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D838E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454A82"/>
    <w:pPr>
      <w:spacing w:before="360" w:line="240" w:lineRule="auto"/>
    </w:pPr>
    <w:rPr>
      <w:b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rakstyluakapitowego">
    <w:name w:val="[Brak stylu akapitowego]"/>
    <w:rsid w:val="007A425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gwkatabeli">
    <w:name w:val="główka_tabeli"/>
    <w:basedOn w:val="Brakstyluakapitowego"/>
    <w:uiPriority w:val="99"/>
    <w:rsid w:val="00526D39"/>
    <w:pPr>
      <w:spacing w:before="57" w:after="57" w:line="200" w:lineRule="atLeast"/>
      <w:jc w:val="center"/>
    </w:pPr>
    <w:rPr>
      <w:rFonts w:ascii="Fira Sans" w:hAnsi="Fira Sans" w:cs="Calibri"/>
      <w:sz w:val="16"/>
      <w:szCs w:val="20"/>
    </w:rPr>
  </w:style>
  <w:style w:type="paragraph" w:customStyle="1" w:styleId="danebezrobocie">
    <w:name w:val="dane_ (bezrobocie)"/>
    <w:basedOn w:val="Brakstyluakapitowego"/>
    <w:uiPriority w:val="99"/>
    <w:rsid w:val="007A425C"/>
    <w:pPr>
      <w:spacing w:line="120" w:lineRule="atLeast"/>
      <w:ind w:right="57"/>
      <w:jc w:val="right"/>
    </w:pPr>
    <w:rPr>
      <w:rFonts w:ascii="Calibri" w:hAnsi="Calibri" w:cs="Calibri"/>
      <w:sz w:val="21"/>
      <w:szCs w:val="21"/>
    </w:rPr>
  </w:style>
  <w:style w:type="paragraph" w:styleId="Bezodstpw">
    <w:name w:val="No Spacing"/>
    <w:uiPriority w:val="1"/>
    <w:rsid w:val="00A31174"/>
    <w:pPr>
      <w:spacing w:after="0" w:line="240" w:lineRule="auto"/>
    </w:pPr>
    <w:rPr>
      <w:rFonts w:ascii="Fira Sans" w:hAnsi="Fira Sans"/>
      <w:sz w:val="19"/>
    </w:rPr>
  </w:style>
  <w:style w:type="paragraph" w:customStyle="1" w:styleId="dane">
    <w:name w:val="dane"/>
    <w:basedOn w:val="Normalny"/>
    <w:qFormat/>
    <w:rsid w:val="00EA7E89"/>
    <w:pPr>
      <w:spacing w:line="240" w:lineRule="exact"/>
      <w:jc w:val="right"/>
    </w:pPr>
  </w:style>
  <w:style w:type="paragraph" w:customStyle="1" w:styleId="Styl1">
    <w:name w:val="Styl1"/>
    <w:basedOn w:val="gwkatabeli"/>
    <w:qFormat/>
    <w:rsid w:val="004572FA"/>
    <w:pPr>
      <w:jc w:val="left"/>
    </w:pPr>
    <w:rPr>
      <w:szCs w:val="16"/>
    </w:rPr>
  </w:style>
  <w:style w:type="paragraph" w:customStyle="1" w:styleId="akapit">
    <w:name w:val="akapit"/>
    <w:basedOn w:val="Podstawowyakapitowy"/>
    <w:uiPriority w:val="99"/>
    <w:rsid w:val="00B019E6"/>
    <w:pPr>
      <w:spacing w:before="113" w:line="288" w:lineRule="auto"/>
      <w:ind w:firstLine="283"/>
      <w:jc w:val="both"/>
    </w:pPr>
    <w:rPr>
      <w:sz w:val="22"/>
      <w:szCs w:val="22"/>
    </w:rPr>
  </w:style>
  <w:style w:type="character" w:customStyle="1" w:styleId="A8">
    <w:name w:val="A8"/>
    <w:uiPriority w:val="99"/>
    <w:rsid w:val="00C16F88"/>
    <w:rPr>
      <w:rFonts w:cs="Myriad Pro"/>
      <w:color w:val="000000"/>
      <w:sz w:val="18"/>
      <w:szCs w:val="18"/>
    </w:rPr>
  </w:style>
  <w:style w:type="character" w:customStyle="1" w:styleId="nap12">
    <w:name w:val="nap12"/>
    <w:basedOn w:val="Domylnaczcionkaakapitu"/>
    <w:rsid w:val="006A536F"/>
  </w:style>
  <w:style w:type="character" w:styleId="Odwoaniedokomentarza">
    <w:name w:val="annotation reference"/>
    <w:basedOn w:val="Domylnaczcionkaakapitu"/>
    <w:uiPriority w:val="99"/>
    <w:semiHidden/>
    <w:unhideWhenUsed/>
    <w:rsid w:val="00E96A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6A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6A1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96A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96A1D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96A1D"/>
    <w:pPr>
      <w:spacing w:after="0" w:line="240" w:lineRule="auto"/>
    </w:pPr>
    <w:rPr>
      <w:rFonts w:ascii="Fira Sans" w:hAnsi="Fira Sans"/>
      <w:sz w:val="19"/>
    </w:rPr>
  </w:style>
  <w:style w:type="paragraph" w:customStyle="1" w:styleId="Wartowskanika">
    <w:name w:val="Wartość wskaźnika"/>
    <w:basedOn w:val="Normalny"/>
    <w:link w:val="WartowskanikaZnak"/>
    <w:qFormat/>
    <w:rsid w:val="008826DE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8826DE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37111C"/>
    <w:pPr>
      <w:spacing w:before="360" w:line="240" w:lineRule="auto"/>
    </w:pPr>
  </w:style>
  <w:style w:type="character" w:customStyle="1" w:styleId="LeadZnak">
    <w:name w:val="Lead Znak"/>
    <w:basedOn w:val="Domylnaczcionkaakapitu"/>
    <w:link w:val="Lead"/>
    <w:rsid w:val="0037111C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netablica">
    <w:name w:val="dane_tablica"/>
    <w:basedOn w:val="Brakstyluakapitowego"/>
    <w:qFormat/>
    <w:rsid w:val="00EA7E89"/>
    <w:pPr>
      <w:spacing w:before="120" w:after="120" w:line="240" w:lineRule="exact"/>
      <w:jc w:val="right"/>
    </w:pPr>
    <w:rPr>
      <w:rFonts w:ascii="Fira Sans" w:hAnsi="Fira Sans"/>
      <w:sz w:val="19"/>
    </w:rPr>
  </w:style>
  <w:style w:type="paragraph" w:customStyle="1" w:styleId="boczek">
    <w:name w:val="boczek"/>
    <w:basedOn w:val="Normalny"/>
    <w:qFormat/>
    <w:rsid w:val="008D0BCA"/>
    <w:pPr>
      <w:spacing w:line="240" w:lineRule="exact"/>
    </w:pPr>
    <w:rPr>
      <w:rFonts w:eastAsia="Times New Roman" w:cs="Calibri"/>
      <w:color w:val="000000"/>
      <w:szCs w:val="19"/>
      <w:lang w:eastAsia="pl-PL"/>
    </w:rPr>
  </w:style>
  <w:style w:type="paragraph" w:customStyle="1" w:styleId="boczek1wciecie">
    <w:name w:val="boczek_1_wciecie"/>
    <w:basedOn w:val="Normalny"/>
    <w:qFormat/>
    <w:rsid w:val="008D0BCA"/>
    <w:pPr>
      <w:spacing w:before="0" w:after="0" w:line="240" w:lineRule="auto"/>
      <w:ind w:left="176"/>
    </w:pPr>
    <w:rPr>
      <w:rFonts w:eastAsia="Times New Roman" w:cs="Calibri"/>
      <w:color w:val="000000"/>
      <w:szCs w:val="19"/>
      <w:lang w:eastAsia="pl-PL"/>
    </w:rPr>
  </w:style>
  <w:style w:type="paragraph" w:customStyle="1" w:styleId="glowkatablicy">
    <w:name w:val="glowka_tablicy"/>
    <w:basedOn w:val="Normalny"/>
    <w:qFormat/>
    <w:rsid w:val="00EE5BB8"/>
    <w:pPr>
      <w:spacing w:line="240" w:lineRule="exact"/>
      <w:jc w:val="center"/>
    </w:pPr>
    <w:rPr>
      <w:rFonts w:eastAsia="Times New Roman" w:cs="Calibri"/>
      <w:color w:val="000000"/>
      <w:szCs w:val="19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DB2FB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DB2FB0"/>
    <w:rPr>
      <w:rFonts w:ascii="Fira Sans SemiBold" w:hAnsi="Fira Sans SemiBold"/>
      <w:color w:val="66AFDE"/>
      <w:sz w:val="60"/>
      <w:szCs w:val="60"/>
    </w:rPr>
  </w:style>
  <w:style w:type="character" w:customStyle="1" w:styleId="LIDZnak">
    <w:name w:val="LID Znak"/>
    <w:basedOn w:val="Domylnaczcionkaakapitu"/>
    <w:link w:val="LID"/>
    <w:locked/>
    <w:rsid w:val="002F4B59"/>
    <w:rPr>
      <w:rFonts w:ascii="Fira Sans" w:hAnsi="Fira Sans"/>
      <w:b/>
      <w:noProof/>
      <w:sz w:val="19"/>
      <w:szCs w:val="19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62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hyperlink" Target="https://stat.gov.pl/metainformacje/slownik-pojec/pojecia-stosowane-w-statystyce-publicznej/615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szczecin.stat.gov.pl/opracowania-biezace/opracowania-sygnalne/finanse/wyniki-finansowe-przedsiebiorstw-niefinansowych-w-wojewodztwie-zachodniopomorskim-w-2024-r-informacja-sygnalna,9,10.html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hyperlink" Target="https://stat.gov.pl/metainformacje/slownik-pojec/pojecia-stosowane-w-statystyce-publicznej/3979,pojecie.html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29" Type="http://schemas.openxmlformats.org/officeDocument/2006/relationships/hyperlink" Target="https://stat.gov.pl/metainformacje/slownik-pojec/pojecia-stosowane-w-statystyce-publicznej/1198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https://stat.gov.pl/metainformacje/slownik-pojec/pojecia-stosowane-w-statystyce-publicznej/3980,pojecie.html" TargetMode="Externa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s://stat.gov.pl/metainformacje/slownik-pojec/pojecia-stosowane-w-statystyce-publicznej/588,pojecie.html" TargetMode="External"/><Relationship Id="rId28" Type="http://schemas.openxmlformats.org/officeDocument/2006/relationships/hyperlink" Target="https://stat.gov.pl/metainformacje/slownik-pojec/pojecia-stosowane-w-statystyce-publicznej/232,pojecie.html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new.stat.gov.pl/portal-publikacje/wyniki-finansowe-przedsiebiorstw-niefinansowych-w-2025-r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hyperlink" Target="https://dbw.stat.gov.pl/dashboard/111" TargetMode="External"/><Relationship Id="rId27" Type="http://schemas.openxmlformats.org/officeDocument/2006/relationships/hyperlink" Target="https://stat.gov.pl/metainformacje/slownik-pojec/pojecia-stosowane-w-statystyce-publicznej/1201,pojecie.html" TargetMode="External"/><Relationship Id="rId30" Type="http://schemas.openxmlformats.org/officeDocument/2006/relationships/hyperlink" Target="https://stat.gov.pl/metainformacje/slownik-pojec/pojecia-stosowane-w-statystyce-publicznej/223,pojecie.html" TargetMode="External"/><Relationship Id="rId8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09679A-7EBE-4B42-9CD4-2E2B4DBE2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1896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Wyniki finansowe przedsiębiorstw niefinansowych w wojewódzztwie zachodniopomorskim w 2025 r</dc:title>
  <dc:creator/>
  <cp:lastModifiedBy/>
  <cp:revision>1</cp:revision>
  <dcterms:created xsi:type="dcterms:W3CDTF">2026-06-19T05:12:00Z</dcterms:created>
  <dcterms:modified xsi:type="dcterms:W3CDTF">2026-06-19T05:12:00Z</dcterms:modified>
</cp:coreProperties>
</file>