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07BC" w14:textId="46C733F4" w:rsidR="001E6292" w:rsidRPr="001E6292" w:rsidRDefault="009B3599" w:rsidP="002D551B">
      <w:pPr>
        <w:pStyle w:val="31TYTU0"/>
        <w:spacing w:line="240" w:lineRule="exact"/>
        <w:rPr>
          <w:bCs w:val="0"/>
        </w:rPr>
      </w:pPr>
      <w:bookmarkStart w:id="0" w:name="_Hlk228434634"/>
      <w:bookmarkStart w:id="1" w:name="_Hlk161126216"/>
      <w:bookmarkEnd w:id="0"/>
      <w:r w:rsidRPr="00E3274E">
        <w:rPr>
          <w:rFonts w:eastAsia="Fira Sans Light"/>
          <w:color w:val="auto"/>
          <w:szCs w:val="26"/>
          <w:shd w:val="clear" w:color="auto" w:fill="FFFFFF"/>
        </w:rPr>
        <w:t>Piecza zastępcza w województwie śląskim w 2025 r.</w:t>
      </w:r>
    </w:p>
    <w:p w14:paraId="22756219" w14:textId="0403D18E" w:rsidR="009B3599" w:rsidRPr="0050084F" w:rsidRDefault="002D551B" w:rsidP="002D551B">
      <w:pPr>
        <w:spacing w:before="360" w:line="240" w:lineRule="exact"/>
        <w:rPr>
          <w:rFonts w:eastAsia="Fira Sans Light" w:cs="Times New Roman"/>
          <w:b/>
          <w:noProof/>
          <w:szCs w:val="19"/>
          <w:lang w:eastAsia="pl-PL"/>
        </w:rPr>
      </w:pPr>
      <w:r w:rsidRPr="007D0A51">
        <w:rPr>
          <w:rStyle w:val="41pogrubienie-akapitZnak"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39890447" wp14:editId="097009CF">
                <wp:simplePos x="0" y="0"/>
                <wp:positionH relativeFrom="margin">
                  <wp:align>left</wp:align>
                </wp:positionH>
                <wp:positionV relativeFrom="paragraph">
                  <wp:posOffset>3095</wp:posOffset>
                </wp:positionV>
                <wp:extent cx="2298065" cy="1245870"/>
                <wp:effectExtent l="0" t="0" r="6985" b="0"/>
                <wp:wrapSquare wrapText="bothSides"/>
                <wp:docPr id="700118679" name="Pole tekstowe 2" descr="Ikona strzałki skierowana grotem do góry co oznacza zwiększenie się wartości.&#10;Na granatowym prostokącie, białą czcionką – 1,9%&#10;Wzrost liczy dzieci w pieczy zastępczej w porównaniu z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357" cy="12458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4491A" w14:textId="286336FE" w:rsidR="00195C77" w:rsidRPr="00195C77" w:rsidRDefault="00EF1E52" w:rsidP="00195C77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⇧</w:t>
                            </w:r>
                            <w:r w:rsidRPr="00EF1E52"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1</w:t>
                            </w:r>
                            <w:r w:rsidR="004D7DC1"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,</w:t>
                            </w:r>
                            <w:r w:rsidR="00397C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%</w:t>
                            </w:r>
                          </w:p>
                          <w:p w14:paraId="4627FB29" w14:textId="2F9DF320" w:rsidR="007D0A51" w:rsidRPr="007D605C" w:rsidRDefault="00EF1E52" w:rsidP="00C97A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bookmarkStart w:id="2" w:name="_Hlk228360074"/>
                            <w:bookmarkStart w:id="3" w:name="_Hlk228360075"/>
                            <w:r w:rsidRPr="00C97A9A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Wzrost licz</w:t>
                            </w:r>
                            <w:r w:rsidR="0087745F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b</w:t>
                            </w:r>
                            <w:r w:rsidRPr="00C97A9A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y dzieci w pieczy zastępczej w porównaniu z</w:t>
                            </w:r>
                            <w:r w:rsidR="00C97A9A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 </w:t>
                            </w:r>
                            <w:r w:rsidRPr="00C97A9A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2024</w:t>
                            </w:r>
                            <w:r w:rsidR="00C97A9A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 </w:t>
                            </w:r>
                            <w:r w:rsidR="00AA1156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r</w:t>
                            </w:r>
                            <w:bookmarkEnd w:id="2"/>
                            <w:bookmarkEnd w:id="3"/>
                            <w:r w:rsidR="00AA1156">
                              <w:rPr>
                                <w:rStyle w:val="IkonawskanikaZnak"/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90447" id="Pole tekstowe 2" o:spid="_x0000_s1026" alt="Ikona strzałki skierowana grotem do góry co oznacza zwiększenie się wartości.&#10;Na granatowym prostokącie, białą czcionką – 1,9%&#10;Wzrost liczy dzieci w pieczy zastępczej w porównaniu z 2024 r. &#10;" style="position:absolute;margin-left:0;margin-top:.25pt;width:180.95pt;height:98.1pt;z-index:251933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" fillcolor="#001d77" stroked="f">
                <v:stroke joinstyle="miter"/>
                <v:textbox>
                  <w:txbxContent>
                    <w:p w14:paraId="0944491A" w14:textId="286336FE" w:rsidR="00195C77" w:rsidRPr="00195C77" w:rsidRDefault="00EF1E52" w:rsidP="00195C77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⇧</w:t>
                      </w:r>
                      <w:r w:rsidRPr="00EF1E52"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t>1</w:t>
                      </w:r>
                      <w:r w:rsidR="004D7DC1"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t>,</w:t>
                      </w:r>
                      <w:r w:rsidR="00397C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%</w:t>
                      </w:r>
                    </w:p>
                    <w:p w14:paraId="4627FB29" w14:textId="2F9DF320" w:rsidR="007D0A51" w:rsidRPr="007D605C" w:rsidRDefault="00EF1E52" w:rsidP="00C97A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  <w:bookmarkStart w:id="4" w:name="_Hlk228360074"/>
                      <w:bookmarkStart w:id="5" w:name="_Hlk228360075"/>
                      <w:r w:rsidRPr="00C97A9A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Wzrost licz</w:t>
                      </w:r>
                      <w:r w:rsidR="0087745F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b</w:t>
                      </w:r>
                      <w:r w:rsidRPr="00C97A9A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y dzieci w pieczy zastępczej w porównaniu z</w:t>
                      </w:r>
                      <w:r w:rsidR="00C97A9A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 </w:t>
                      </w:r>
                      <w:r w:rsidRPr="00C97A9A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2024</w:t>
                      </w:r>
                      <w:r w:rsidR="00C97A9A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 </w:t>
                      </w:r>
                      <w:r w:rsidR="00AA1156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r</w:t>
                      </w:r>
                      <w:bookmarkEnd w:id="4"/>
                      <w:bookmarkEnd w:id="5"/>
                      <w:r w:rsidR="00AA1156">
                        <w:rPr>
                          <w:rStyle w:val="IkonawskanikaZnak"/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E359F"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8272" behindDoc="1" locked="0" layoutInCell="1" allowOverlap="1" wp14:anchorId="18AA1CCE" wp14:editId="6BFDB9E0">
                <wp:simplePos x="0" y="0"/>
                <wp:positionH relativeFrom="page">
                  <wp:posOffset>5731510</wp:posOffset>
                </wp:positionH>
                <wp:positionV relativeFrom="paragraph">
                  <wp:posOffset>234315</wp:posOffset>
                </wp:positionV>
                <wp:extent cx="1828800" cy="992406"/>
                <wp:effectExtent l="0" t="0" r="0" b="0"/>
                <wp:wrapNone/>
                <wp:docPr id="13" name="Pole tekstowe 13" descr="Przez uczniów dojeżdżających do szkół rozumie się uczniów, których gmina zamieszkania jest inna niż gmina, w której pobierają nauk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2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8B2F4" w14:textId="2527CABB" w:rsidR="00397C9B" w:rsidRPr="0035533E" w:rsidRDefault="00397C9B" w:rsidP="00397C9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A1CC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Przez uczniów dojeżdżających do szkół rozumie się uczniów, których gmina zamieszkania jest inna niż gmina, w której pobierają naukę" style="position:absolute;margin-left:451.3pt;margin-top:18.45pt;width:2in;height:78.15pt;z-index:-251358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" filled="f" stroked="f">
                <v:textbox>
                  <w:txbxContent>
                    <w:p w14:paraId="1248B2F4" w14:textId="2527CABB" w:rsidR="00397C9B" w:rsidRPr="0035533E" w:rsidRDefault="00397C9B" w:rsidP="00397C9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_Hlk228340748"/>
      <w:r w:rsidR="009B3599" w:rsidRPr="0050084F">
        <w:rPr>
          <w:rFonts w:eastAsia="Fira Sans Light" w:cs="Times New Roman"/>
          <w:b/>
          <w:noProof/>
          <w:szCs w:val="19"/>
          <w:lang w:eastAsia="pl-PL"/>
        </w:rPr>
        <w:t>N</w:t>
      </w:r>
      <w:bookmarkStart w:id="7" w:name="_Hlk228340881"/>
      <w:r w:rsidR="009B3599" w:rsidRPr="0050084F">
        <w:rPr>
          <w:rFonts w:eastAsia="Fira Sans Light" w:cs="Times New Roman"/>
          <w:b/>
          <w:noProof/>
          <w:szCs w:val="19"/>
          <w:lang w:eastAsia="pl-PL"/>
        </w:rPr>
        <w:t>a</w:t>
      </w:r>
      <w:r w:rsidR="0099571F" w:rsidRPr="00661FFE">
        <w:rPr>
          <w:rFonts w:eastAsia="Fira Sans Light" w:cs="Times New Roman"/>
          <w:b/>
          <w:noProof/>
          <w:szCs w:val="19"/>
          <w:lang w:eastAsia="pl-PL"/>
        </w:rPr>
        <w:t xml:space="preserve"> koniec 2025 r. w pieczy zastępczej przebywało 10,5 tys. dzieci,</w:t>
      </w:r>
      <w:r w:rsidR="0099571F" w:rsidRPr="00F11998">
        <w:rPr>
          <w:rFonts w:eastAsia="Fira Sans Light" w:cs="Times New Roman"/>
          <w:b/>
          <w:noProof/>
          <w:szCs w:val="19"/>
          <w:lang w:eastAsia="pl-PL"/>
        </w:rPr>
        <w:t xml:space="preserve"> z tego 8,1 tys. w pieczy rodzinnej </w:t>
      </w:r>
      <w:r w:rsidR="0099571F" w:rsidRPr="00661FFE">
        <w:rPr>
          <w:rFonts w:eastAsia="Fira Sans Light" w:cs="Times New Roman"/>
          <w:b/>
          <w:noProof/>
          <w:szCs w:val="19"/>
          <w:lang w:eastAsia="pl-PL"/>
        </w:rPr>
        <w:t xml:space="preserve">oraz 2,3 tys. w pieczy instytucjonalnej. </w:t>
      </w:r>
      <w:r w:rsidR="0099571F" w:rsidRPr="00661FFE">
        <w:rPr>
          <w:rFonts w:eastAsia="Fira Sans Light" w:cs="Times New Roman"/>
          <w:b/>
          <w:bCs/>
          <w:noProof/>
          <w:szCs w:val="19"/>
          <w:lang w:eastAsia="pl-PL"/>
        </w:rPr>
        <w:t>W</w:t>
      </w:r>
      <w:r w:rsidR="0099571F">
        <w:rPr>
          <w:rFonts w:eastAsia="Fira Sans Light" w:cs="Times New Roman"/>
          <w:b/>
          <w:bCs/>
          <w:noProof/>
          <w:szCs w:val="19"/>
          <w:lang w:eastAsia="pl-PL"/>
        </w:rPr>
        <w:t> </w:t>
      </w:r>
      <w:r w:rsidR="0099571F" w:rsidRPr="00661FFE">
        <w:rPr>
          <w:rFonts w:eastAsia="Fira Sans Light" w:cs="Times New Roman"/>
          <w:b/>
          <w:bCs/>
          <w:noProof/>
          <w:szCs w:val="19"/>
          <w:lang w:eastAsia="pl-PL"/>
        </w:rPr>
        <w:t>porównaniu z końcem 2024</w:t>
      </w:r>
      <w:r w:rsidR="00C470C9">
        <w:rPr>
          <w:rFonts w:eastAsia="Fira Sans Light" w:cs="Times New Roman"/>
          <w:b/>
          <w:bCs/>
          <w:noProof/>
          <w:szCs w:val="19"/>
          <w:lang w:eastAsia="pl-PL"/>
        </w:rPr>
        <w:t> </w:t>
      </w:r>
      <w:r w:rsidR="0099571F" w:rsidRPr="00661FFE">
        <w:rPr>
          <w:rFonts w:eastAsia="Fira Sans Light" w:cs="Times New Roman"/>
          <w:b/>
          <w:bCs/>
          <w:noProof/>
          <w:szCs w:val="19"/>
          <w:lang w:eastAsia="pl-PL"/>
        </w:rPr>
        <w:t>r. liczba dzieci przebywających w pieczy zastępczej zwiększyła się o 0,2 tys. (tj. o 1,9%).</w:t>
      </w:r>
      <w:bookmarkEnd w:id="6"/>
      <w:bookmarkEnd w:id="7"/>
    </w:p>
    <w:bookmarkEnd w:id="1"/>
    <w:p w14:paraId="0FA70172" w14:textId="54893563" w:rsidR="00EF1E52" w:rsidRDefault="00EF1E52" w:rsidP="00860D69">
      <w:pPr>
        <w:pStyle w:val="32tyturozdziau"/>
        <w:rPr>
          <w:rFonts w:eastAsia="Times New Roman" w:cs="Times New Roman"/>
          <w:bCs/>
          <w:szCs w:val="19"/>
          <w:lang w:eastAsia="pl-PL"/>
        </w:rPr>
      </w:pPr>
    </w:p>
    <w:p w14:paraId="5768864A" w14:textId="01A1D3FC" w:rsidR="00860D69" w:rsidRDefault="00315866" w:rsidP="002D551B">
      <w:pPr>
        <w:pStyle w:val="32tyturozdziau"/>
        <w:spacing w:line="288" w:lineRule="auto"/>
        <w:rPr>
          <w:shd w:val="clear" w:color="auto" w:fill="FFFFFF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67488" behindDoc="1" locked="0" layoutInCell="1" allowOverlap="1" wp14:anchorId="18FAF28A" wp14:editId="3C4C911D">
                <wp:simplePos x="0" y="0"/>
                <wp:positionH relativeFrom="page">
                  <wp:posOffset>5731510</wp:posOffset>
                </wp:positionH>
                <wp:positionV relativeFrom="paragraph">
                  <wp:posOffset>214819</wp:posOffset>
                </wp:positionV>
                <wp:extent cx="1828800" cy="991870"/>
                <wp:effectExtent l="0" t="0" r="0" b="0"/>
                <wp:wrapNone/>
                <wp:docPr id="11" name="Pole tekstowe 11" descr="63,6% rodzin zastępczych stanowiły rodziny spokrewnion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ABFD8" w14:textId="77777777" w:rsidR="006027E3" w:rsidRPr="00BC04B2" w:rsidRDefault="006027E3" w:rsidP="006027E3">
                            <w:pPr>
                              <w:spacing w:after="0" w:line="240" w:lineRule="auto"/>
                              <w:outlineLvl w:val="1"/>
                              <w:rPr>
                                <w:rFonts w:eastAsia="Times New Roman" w:cs="Calibri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C04B2">
                              <w:rPr>
                                <w:rFonts w:eastAsia="Times New Roman" w:cs="Calibri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63,6% rodzin zastępczych stanowiły rodziny spokrewnione </w:t>
                            </w:r>
                          </w:p>
                          <w:p w14:paraId="213161D9" w14:textId="17C8B37F" w:rsidR="006027E3" w:rsidRPr="0035533E" w:rsidRDefault="006027E3" w:rsidP="006027E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AF28A" id="Pole tekstowe 11" o:spid="_x0000_s1028" type="#_x0000_t202" alt="63,6% rodzin zastępczych stanowiły rodziny spokrewnione " style="position:absolute;margin-left:451.3pt;margin-top:16.9pt;width:2in;height:78.1pt;z-index:-251348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" filled="f" stroked="f">
                <v:textbox>
                  <w:txbxContent>
                    <w:p w14:paraId="099ABFD8" w14:textId="77777777" w:rsidR="006027E3" w:rsidRPr="00BC04B2" w:rsidRDefault="006027E3" w:rsidP="006027E3">
                      <w:pPr>
                        <w:spacing w:after="0" w:line="240" w:lineRule="auto"/>
                        <w:outlineLvl w:val="1"/>
                        <w:rPr>
                          <w:rFonts w:eastAsia="Times New Roman" w:cs="Calibri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C04B2">
                        <w:rPr>
                          <w:rFonts w:eastAsia="Times New Roman" w:cs="Calibri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63,6% rodzin zastępczych stanowiły rodziny spokrewnione </w:t>
                      </w:r>
                    </w:p>
                    <w:p w14:paraId="213161D9" w14:textId="17C8B37F" w:rsidR="006027E3" w:rsidRPr="0035533E" w:rsidRDefault="006027E3" w:rsidP="006027E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B3599" w:rsidRPr="0050084F">
        <w:rPr>
          <w:rFonts w:eastAsia="Times New Roman" w:cs="Times New Roman"/>
          <w:bCs/>
          <w:szCs w:val="19"/>
          <w:lang w:eastAsia="pl-PL"/>
        </w:rPr>
        <w:t>Rodzinna piecza zastępcza</w:t>
      </w:r>
    </w:p>
    <w:p w14:paraId="4F35C57C" w14:textId="6605A542" w:rsidR="00BF7D9A" w:rsidRDefault="006027E3" w:rsidP="002D551B">
      <w:pPr>
        <w:rPr>
          <w:rFonts w:eastAsia="Times New Roman" w:cs="Times New Roman"/>
          <w:szCs w:val="19"/>
          <w:lang w:eastAsia="pl-PL"/>
        </w:rPr>
      </w:pPr>
      <w:bookmarkStart w:id="8" w:name="_Hlk228341588"/>
      <w:r w:rsidRPr="006027E3">
        <w:rPr>
          <w:rFonts w:eastAsia="Times New Roman" w:cs="Times New Roman"/>
          <w:szCs w:val="19"/>
          <w:lang w:eastAsia="pl-PL"/>
        </w:rPr>
        <w:t>W</w:t>
      </w:r>
      <w:bookmarkEnd w:id="8"/>
      <w:r w:rsidR="00BF7D9A" w:rsidRPr="00D73ABC">
        <w:rPr>
          <w:rFonts w:eastAsia="Times New Roman" w:cs="Times New Roman"/>
          <w:szCs w:val="19"/>
          <w:lang w:eastAsia="pl-PL"/>
        </w:rPr>
        <w:t>edług stanu na 31 grudnia 2025 r. w województwie śląskim funkcjonowało 4</w:t>
      </w:r>
      <w:r w:rsidR="00BF7D9A">
        <w:rPr>
          <w:rFonts w:eastAsia="Times New Roman" w:cs="Times New Roman"/>
          <w:szCs w:val="19"/>
          <w:lang w:eastAsia="pl-PL"/>
        </w:rPr>
        <w:t xml:space="preserve"> </w:t>
      </w:r>
      <w:r w:rsidR="00BF7D9A" w:rsidRPr="00D73ABC">
        <w:rPr>
          <w:rFonts w:eastAsia="Times New Roman" w:cs="Times New Roman"/>
          <w:szCs w:val="19"/>
          <w:lang w:eastAsia="pl-PL"/>
        </w:rPr>
        <w:t>865 rodzin zastępczych oraz 142 rodzinne domy dziecka.</w:t>
      </w:r>
      <w:r w:rsidR="00BF7D9A" w:rsidRPr="00677761">
        <w:rPr>
          <w:rFonts w:eastAsia="Times New Roman" w:cs="Times New Roman"/>
          <w:szCs w:val="19"/>
          <w:lang w:eastAsia="pl-PL"/>
        </w:rPr>
        <w:t xml:space="preserve"> Wśród rodzin zastępczych rodziny spokrewnione stanowiły 63,6%, rodziny niezawodowe – 30,0%, a rodziny zawodowe – 5,0%.</w:t>
      </w:r>
    </w:p>
    <w:p w14:paraId="5CE60042" w14:textId="36DC5549" w:rsidR="00BF7D9A" w:rsidRDefault="00BF7D9A" w:rsidP="002D551B">
      <w:pPr>
        <w:rPr>
          <w:rFonts w:eastAsia="Times New Roman" w:cs="Times New Roman"/>
          <w:szCs w:val="19"/>
          <w:lang w:eastAsia="pl-PL"/>
        </w:rPr>
      </w:pPr>
      <w:r w:rsidRPr="00677761">
        <w:rPr>
          <w:rFonts w:eastAsia="Times New Roman" w:cs="Times New Roman"/>
          <w:szCs w:val="19"/>
          <w:lang w:eastAsia="pl-PL"/>
        </w:rPr>
        <w:t>Funkcję rodziny zastępczej pełniło 2,</w:t>
      </w:r>
      <w:r w:rsidR="007C353E">
        <w:rPr>
          <w:rFonts w:eastAsia="Times New Roman" w:cs="Times New Roman"/>
          <w:szCs w:val="19"/>
          <w:lang w:eastAsia="pl-PL"/>
        </w:rPr>
        <w:t>6</w:t>
      </w:r>
      <w:r w:rsidRPr="00677761">
        <w:rPr>
          <w:rFonts w:eastAsia="Times New Roman" w:cs="Times New Roman"/>
          <w:szCs w:val="19"/>
          <w:lang w:eastAsia="pl-PL"/>
        </w:rPr>
        <w:t xml:space="preserve"> tys. małżeństw oraz 2,</w:t>
      </w:r>
      <w:r w:rsidR="007C353E">
        <w:rPr>
          <w:rFonts w:eastAsia="Times New Roman" w:cs="Times New Roman"/>
          <w:szCs w:val="19"/>
          <w:lang w:eastAsia="pl-PL"/>
        </w:rPr>
        <w:t>3</w:t>
      </w:r>
      <w:r w:rsidRPr="00677761">
        <w:rPr>
          <w:rFonts w:eastAsia="Times New Roman" w:cs="Times New Roman"/>
          <w:szCs w:val="19"/>
          <w:lang w:eastAsia="pl-PL"/>
        </w:rPr>
        <w:t xml:space="preserve"> tys. osób samotnych. Ponad połowa (53,6%) osób prowadzących rodziny zastępcze była w wieku 51–70 lat.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677761">
        <w:rPr>
          <w:rFonts w:eastAsia="Times New Roman" w:cs="Times New Roman"/>
          <w:szCs w:val="19"/>
          <w:lang w:eastAsia="pl-PL"/>
        </w:rPr>
        <w:t>Rodziny, które przyjęły jedno dziecko, stanowiły 72,5% wszystkich rodzin zastępczych, dwoje dzieci – 17,8%, troje dzieci – 5,1%, natomiast czworo i więcej dzieci – 4,5%.</w:t>
      </w:r>
    </w:p>
    <w:p w14:paraId="7EA4D87D" w14:textId="71749754" w:rsidR="00BF7D9A" w:rsidRPr="00677761" w:rsidRDefault="00BF7D9A" w:rsidP="002D551B">
      <w:pPr>
        <w:rPr>
          <w:rFonts w:eastAsia="Times New Roman" w:cs="Times New Roman"/>
          <w:szCs w:val="19"/>
          <w:lang w:eastAsia="pl-PL"/>
        </w:rPr>
      </w:pPr>
      <w:r w:rsidRPr="00677761">
        <w:rPr>
          <w:rFonts w:eastAsia="Times New Roman" w:cs="Times New Roman"/>
          <w:szCs w:val="19"/>
          <w:lang w:eastAsia="pl-PL"/>
        </w:rPr>
        <w:t>W 202</w:t>
      </w:r>
      <w:r w:rsidR="007C353E">
        <w:rPr>
          <w:rFonts w:eastAsia="Times New Roman" w:cs="Times New Roman"/>
          <w:szCs w:val="19"/>
          <w:lang w:eastAsia="pl-PL"/>
        </w:rPr>
        <w:t>5</w:t>
      </w:r>
      <w:r w:rsidRPr="00677761">
        <w:rPr>
          <w:rFonts w:eastAsia="Times New Roman" w:cs="Times New Roman"/>
          <w:szCs w:val="19"/>
          <w:lang w:eastAsia="pl-PL"/>
        </w:rPr>
        <w:t xml:space="preserve"> r. prowadzono 142 rodzinne domy dziecka, z czego 118 było prowadzonych przez małżeństwa, a 24 przez osoby samotne.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677761">
        <w:rPr>
          <w:rFonts w:eastAsia="Times New Roman" w:cs="Times New Roman"/>
          <w:szCs w:val="19"/>
          <w:lang w:eastAsia="pl-PL"/>
        </w:rPr>
        <w:t xml:space="preserve">Rodzinne domy dziecka, które przyjęły od </w:t>
      </w:r>
      <w:r w:rsidR="00BC39A0">
        <w:rPr>
          <w:rFonts w:eastAsia="Times New Roman" w:cs="Times New Roman"/>
          <w:szCs w:val="19"/>
          <w:lang w:eastAsia="pl-PL"/>
        </w:rPr>
        <w:t>trzech</w:t>
      </w:r>
      <w:r w:rsidRPr="00677761">
        <w:rPr>
          <w:rFonts w:eastAsia="Times New Roman" w:cs="Times New Roman"/>
          <w:szCs w:val="19"/>
          <w:lang w:eastAsia="pl-PL"/>
        </w:rPr>
        <w:t xml:space="preserve"> do</w:t>
      </w:r>
      <w:r w:rsidR="00EE47B7">
        <w:rPr>
          <w:rFonts w:eastAsia="Times New Roman" w:cs="Times New Roman"/>
          <w:szCs w:val="19"/>
          <w:lang w:eastAsia="pl-PL"/>
        </w:rPr>
        <w:t> </w:t>
      </w:r>
      <w:r w:rsidRPr="00677761">
        <w:rPr>
          <w:rFonts w:eastAsia="Times New Roman" w:cs="Times New Roman"/>
          <w:szCs w:val="19"/>
          <w:lang w:eastAsia="pl-PL"/>
        </w:rPr>
        <w:t xml:space="preserve">pięciorga dzieci, stanowiły </w:t>
      </w:r>
      <w:r w:rsidR="007C353E">
        <w:rPr>
          <w:rFonts w:eastAsia="Times New Roman" w:cs="Times New Roman"/>
          <w:szCs w:val="19"/>
          <w:lang w:eastAsia="pl-PL"/>
        </w:rPr>
        <w:t>19,0</w:t>
      </w:r>
      <w:r w:rsidRPr="00677761">
        <w:rPr>
          <w:rFonts w:eastAsia="Times New Roman" w:cs="Times New Roman"/>
          <w:szCs w:val="19"/>
          <w:lang w:eastAsia="pl-PL"/>
        </w:rPr>
        <w:t>%, sześcioro dzieci przyjęło 16,2%, a siedmioro dzieci – 12,7%. Ponad połowa rodzinnych domów dziecka (52,1%) przyjęła ośmioro lub więcej dzieci. W 2025 r. nie było rodzinnych domów dziecka, które przyjęły jedno, dwoje lub nie przyjęły żadnych dzieci.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677761">
        <w:rPr>
          <w:rFonts w:eastAsia="Times New Roman" w:cs="Times New Roman"/>
          <w:szCs w:val="19"/>
          <w:lang w:eastAsia="pl-PL"/>
        </w:rPr>
        <w:t>Większość (73,2%) osób pełniących funkcję prowadzących rodzinny dom dziecka była w wieku od 41 do 60 lat.</w:t>
      </w:r>
    </w:p>
    <w:p w14:paraId="1EDC14B3" w14:textId="15121E90" w:rsidR="0035533E" w:rsidRPr="0035533E" w:rsidRDefault="0035533E" w:rsidP="00815771">
      <w:pPr>
        <w:spacing w:before="36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35533E">
        <w:rPr>
          <w:rFonts w:eastAsia="Times New Roman" w:cs="Times New Roman"/>
          <w:b/>
          <w:bCs/>
          <w:color w:val="001D77"/>
          <w:szCs w:val="19"/>
          <w:lang w:eastAsia="pl-PL"/>
        </w:rPr>
        <w:t>Dzieci w rodzinnej pieczy zastępczej</w:t>
      </w:r>
    </w:p>
    <w:p w14:paraId="452483BC" w14:textId="3687893F" w:rsidR="00591BE6" w:rsidRDefault="00591BE6" w:rsidP="00591BE6">
      <w:pPr>
        <w:rPr>
          <w:rFonts w:eastAsia="Times New Roman" w:cs="Times New Roman"/>
          <w:szCs w:val="19"/>
          <w:lang w:eastAsia="pl-PL"/>
        </w:rPr>
      </w:pPr>
      <w:r w:rsidRPr="003476A4">
        <w:rPr>
          <w:rFonts w:eastAsia="Times New Roman" w:cs="Times New Roman"/>
          <w:szCs w:val="19"/>
          <w:lang w:eastAsia="pl-PL"/>
        </w:rPr>
        <w:t>W rodzinnej pieczy zastępczej przebywało 8</w:t>
      </w:r>
      <w:r w:rsidR="005241F6">
        <w:rPr>
          <w:rFonts w:eastAsia="Times New Roman" w:cs="Times New Roman"/>
          <w:szCs w:val="19"/>
          <w:lang w:eastAsia="pl-PL"/>
        </w:rPr>
        <w:t> </w:t>
      </w:r>
      <w:r w:rsidRPr="003476A4">
        <w:rPr>
          <w:rFonts w:eastAsia="Times New Roman" w:cs="Times New Roman"/>
          <w:szCs w:val="19"/>
          <w:lang w:eastAsia="pl-PL"/>
        </w:rPr>
        <w:t>142 dzieci, w tym</w:t>
      </w:r>
      <w:r w:rsidRPr="003476A4">
        <w:rPr>
          <w:rFonts w:eastAsia="Fira Sans Light" w:cs="Times New Roman"/>
          <w:szCs w:val="19"/>
        </w:rPr>
        <w:t xml:space="preserve"> </w:t>
      </w:r>
      <w:r w:rsidRPr="003476A4">
        <w:rPr>
          <w:rFonts w:eastAsia="Times New Roman" w:cs="Times New Roman"/>
          <w:szCs w:val="19"/>
          <w:lang w:eastAsia="pl-PL"/>
        </w:rPr>
        <w:t>7</w:t>
      </w:r>
      <w:r w:rsidR="005241F6">
        <w:rPr>
          <w:rFonts w:eastAsia="Times New Roman" w:cs="Times New Roman"/>
          <w:szCs w:val="19"/>
          <w:lang w:eastAsia="pl-PL"/>
        </w:rPr>
        <w:t> </w:t>
      </w:r>
      <w:r w:rsidRPr="003476A4">
        <w:rPr>
          <w:rFonts w:eastAsia="Times New Roman" w:cs="Times New Roman"/>
          <w:szCs w:val="19"/>
          <w:lang w:eastAsia="pl-PL"/>
        </w:rPr>
        <w:t>063 w rodzinach zastępczych oraz 1</w:t>
      </w:r>
      <w:r>
        <w:rPr>
          <w:rFonts w:eastAsia="Times New Roman" w:cs="Times New Roman"/>
          <w:szCs w:val="19"/>
          <w:lang w:eastAsia="pl-PL"/>
        </w:rPr>
        <w:t> </w:t>
      </w:r>
      <w:r w:rsidRPr="003476A4">
        <w:rPr>
          <w:rFonts w:eastAsia="Times New Roman" w:cs="Times New Roman"/>
          <w:szCs w:val="19"/>
          <w:lang w:eastAsia="pl-PL"/>
        </w:rPr>
        <w:t>079 w rodzinnych domach dziecka. Spośród wszystkich dzieci objętych opieką 1</w:t>
      </w:r>
      <w:r>
        <w:rPr>
          <w:rFonts w:eastAsia="Times New Roman" w:cs="Times New Roman"/>
          <w:szCs w:val="19"/>
          <w:lang w:eastAsia="pl-PL"/>
        </w:rPr>
        <w:t> </w:t>
      </w:r>
      <w:r w:rsidRPr="003476A4">
        <w:rPr>
          <w:rFonts w:eastAsia="Times New Roman" w:cs="Times New Roman"/>
          <w:szCs w:val="19"/>
          <w:lang w:eastAsia="pl-PL"/>
        </w:rPr>
        <w:t>212 posiadało orzeczenie o niepełnosprawności lub o stopniu niepełnosprawności, 341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476A4">
        <w:rPr>
          <w:rFonts w:eastAsia="Times New Roman" w:cs="Times New Roman"/>
          <w:szCs w:val="19"/>
          <w:lang w:eastAsia="pl-PL"/>
        </w:rPr>
        <w:t>było sierotami, a 37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476A4">
        <w:rPr>
          <w:rFonts w:eastAsia="Times New Roman" w:cs="Times New Roman"/>
          <w:szCs w:val="19"/>
          <w:lang w:eastAsia="pl-PL"/>
        </w:rPr>
        <w:t>cudzoziemcami (w tym 34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476A4">
        <w:rPr>
          <w:rFonts w:eastAsia="Times New Roman" w:cs="Times New Roman"/>
          <w:szCs w:val="19"/>
          <w:lang w:eastAsia="pl-PL"/>
        </w:rPr>
        <w:t xml:space="preserve">niepełnoletnimi). </w:t>
      </w:r>
      <w:r w:rsidRPr="003476A4">
        <w:rPr>
          <w:rFonts w:cs="Times New Roman"/>
          <w:szCs w:val="19"/>
        </w:rPr>
        <w:t>Uregulowaną sytuację prawną posiadało 3</w:t>
      </w:r>
      <w:r>
        <w:rPr>
          <w:rFonts w:cs="Times New Roman"/>
          <w:szCs w:val="19"/>
        </w:rPr>
        <w:t xml:space="preserve"> </w:t>
      </w:r>
      <w:r w:rsidRPr="003476A4">
        <w:rPr>
          <w:rFonts w:cs="Times New Roman"/>
          <w:szCs w:val="19"/>
        </w:rPr>
        <w:t>684 dzieci. W rodzinnej pieczy zastępczej przebywały 4</w:t>
      </w:r>
      <w:r>
        <w:rPr>
          <w:rFonts w:cs="Times New Roman"/>
          <w:szCs w:val="19"/>
        </w:rPr>
        <w:t xml:space="preserve"> </w:t>
      </w:r>
      <w:r w:rsidRPr="003476A4">
        <w:rPr>
          <w:rFonts w:cs="Times New Roman"/>
          <w:szCs w:val="19"/>
        </w:rPr>
        <w:t>092 dziewczynki, w tym 8</w:t>
      </w:r>
      <w:r w:rsidR="005241F6">
        <w:rPr>
          <w:rFonts w:cs="Times New Roman"/>
          <w:szCs w:val="19"/>
        </w:rPr>
        <w:t> </w:t>
      </w:r>
      <w:r w:rsidRPr="003476A4">
        <w:rPr>
          <w:rFonts w:cs="Times New Roman"/>
          <w:szCs w:val="19"/>
        </w:rPr>
        <w:t>małoletnich matek.</w:t>
      </w:r>
    </w:p>
    <w:p w14:paraId="24DEA9E0" w14:textId="15F3165E" w:rsidR="00591BE6" w:rsidRPr="00964D03" w:rsidRDefault="00591BE6" w:rsidP="00591BE6">
      <w:pPr>
        <w:rPr>
          <w:rFonts w:eastAsia="Times New Roman" w:cs="Times New Roman"/>
          <w:szCs w:val="19"/>
          <w:lang w:eastAsia="pl-PL"/>
        </w:rPr>
      </w:pPr>
      <w:r w:rsidRPr="003476A4">
        <w:rPr>
          <w:rFonts w:cs="Times New Roman"/>
          <w:szCs w:val="19"/>
        </w:rPr>
        <w:t>Zarówno w rodzinach zastępczych, jak i w rodzinnych domach dziecka, najliczniejszą grupę stanowiły dzieci w wieku 7–13 lat (łącznie 2</w:t>
      </w:r>
      <w:r>
        <w:rPr>
          <w:rFonts w:cs="Times New Roman"/>
          <w:szCs w:val="19"/>
        </w:rPr>
        <w:t xml:space="preserve"> </w:t>
      </w:r>
      <w:r w:rsidRPr="003476A4">
        <w:rPr>
          <w:rFonts w:cs="Times New Roman"/>
          <w:szCs w:val="19"/>
        </w:rPr>
        <w:t>825), natomiast najmniej było niemowląt do</w:t>
      </w:r>
      <w:r w:rsidR="005241F6">
        <w:rPr>
          <w:rFonts w:cs="Times New Roman"/>
          <w:szCs w:val="19"/>
        </w:rPr>
        <w:t> </w:t>
      </w:r>
      <w:r w:rsidRPr="003476A4">
        <w:rPr>
          <w:rFonts w:cs="Times New Roman"/>
          <w:szCs w:val="19"/>
        </w:rPr>
        <w:t>1.</w:t>
      </w:r>
      <w:r w:rsidR="005241F6">
        <w:t> </w:t>
      </w:r>
      <w:r w:rsidRPr="003476A4">
        <w:rPr>
          <w:rFonts w:cs="Times New Roman"/>
          <w:szCs w:val="19"/>
        </w:rPr>
        <w:t>roku życia (159). Ponadto w rodzinnej pieczy zastępczej przebywały 1</w:t>
      </w:r>
      <w:r>
        <w:rPr>
          <w:rFonts w:cs="Times New Roman"/>
          <w:szCs w:val="19"/>
        </w:rPr>
        <w:t xml:space="preserve"> </w:t>
      </w:r>
      <w:r w:rsidRPr="003476A4">
        <w:rPr>
          <w:rFonts w:cs="Times New Roman"/>
          <w:szCs w:val="19"/>
        </w:rPr>
        <w:t>244 osoby pełnoletnie.</w:t>
      </w:r>
    </w:p>
    <w:p w14:paraId="0D27C368" w14:textId="0D093D32" w:rsidR="00591BE6" w:rsidRPr="003476A4" w:rsidRDefault="00591BE6" w:rsidP="00591BE6">
      <w:pPr>
        <w:rPr>
          <w:rFonts w:cs="Times New Roman"/>
          <w:szCs w:val="19"/>
        </w:rPr>
      </w:pPr>
      <w:r w:rsidRPr="003476A4">
        <w:rPr>
          <w:rFonts w:cs="Times New Roman"/>
          <w:szCs w:val="19"/>
        </w:rPr>
        <w:t>W 2025 r. do rodzinnej pieczy zastępczej po raz pierwszy przyjęto 1</w:t>
      </w:r>
      <w:r w:rsidR="005241F6">
        <w:rPr>
          <w:rFonts w:cs="Times New Roman"/>
          <w:szCs w:val="19"/>
        </w:rPr>
        <w:t> </w:t>
      </w:r>
      <w:r w:rsidRPr="003476A4">
        <w:rPr>
          <w:rFonts w:cs="Times New Roman"/>
          <w:szCs w:val="19"/>
        </w:rPr>
        <w:t>469 dzieci, z czego 1</w:t>
      </w:r>
      <w:r>
        <w:rPr>
          <w:rFonts w:cs="Times New Roman"/>
          <w:szCs w:val="19"/>
        </w:rPr>
        <w:t> </w:t>
      </w:r>
      <w:r w:rsidRPr="003476A4">
        <w:rPr>
          <w:rFonts w:cs="Times New Roman"/>
          <w:szCs w:val="19"/>
        </w:rPr>
        <w:t>303 umieszczono w rodzinach zastępczych, a 166 w rodzinnych domach dziecka.</w:t>
      </w:r>
    </w:p>
    <w:p w14:paraId="498015C4" w14:textId="006D29E1" w:rsidR="00591BE6" w:rsidRPr="003476A4" w:rsidRDefault="00591BE6" w:rsidP="00591BE6">
      <w:pPr>
        <w:rPr>
          <w:rFonts w:cs="Times New Roman"/>
          <w:szCs w:val="19"/>
        </w:rPr>
      </w:pPr>
      <w:r w:rsidRPr="003476A4">
        <w:rPr>
          <w:rFonts w:cs="Times New Roman"/>
          <w:szCs w:val="19"/>
        </w:rPr>
        <w:t>W tym samym roku rodzinną pieczę zastępczą opuściło 1</w:t>
      </w:r>
      <w:r>
        <w:rPr>
          <w:rFonts w:cs="Times New Roman"/>
          <w:szCs w:val="19"/>
        </w:rPr>
        <w:t xml:space="preserve"> </w:t>
      </w:r>
      <w:r w:rsidRPr="003476A4">
        <w:rPr>
          <w:rFonts w:cs="Times New Roman"/>
          <w:szCs w:val="19"/>
        </w:rPr>
        <w:t>238 dzieci w wieku do 18 lat. Najwięcej z nich (427) zostało przeniesionych do innej rodziny zastępczej lub rodzinnego domu dziecka. Do rodziny naturalnej powróciło 363 wychowanków, a 207 dzieci trafiło do</w:t>
      </w:r>
      <w:r w:rsidR="005241F6">
        <w:rPr>
          <w:rFonts w:cs="Times New Roman"/>
          <w:szCs w:val="19"/>
        </w:rPr>
        <w:t> </w:t>
      </w:r>
      <w:r w:rsidRPr="003476A4">
        <w:rPr>
          <w:rFonts w:cs="Times New Roman"/>
          <w:szCs w:val="19"/>
        </w:rPr>
        <w:t>adopcji. Z kolei 135 dzieci opuściło system z powodu przeniesienia do instytucjonalnej pieczy zastępczej, natomiast 99 – z innych przyczyn.</w:t>
      </w:r>
    </w:p>
    <w:p w14:paraId="51CFE7C1" w14:textId="0A8BA9F4" w:rsidR="00591BE6" w:rsidRPr="003476A4" w:rsidRDefault="00591BE6" w:rsidP="00591BE6">
      <w:pPr>
        <w:rPr>
          <w:rFonts w:cs="Times New Roman"/>
          <w:szCs w:val="19"/>
        </w:rPr>
      </w:pPr>
      <w:r w:rsidRPr="003476A4">
        <w:rPr>
          <w:rFonts w:cs="Times New Roman"/>
          <w:szCs w:val="19"/>
        </w:rPr>
        <w:t xml:space="preserve">Wśród 556 pełnoletnich wychowanków, którzy w 2025 r. opuścili rodzinną pieczę zastępczą, 303 założyło własne gospodarstwo domowe, 18 powróciło do rodzin naturalnych lub </w:t>
      </w:r>
      <w:r w:rsidRPr="003476A4">
        <w:rPr>
          <w:rFonts w:cs="Times New Roman"/>
          <w:szCs w:val="19"/>
        </w:rPr>
        <w:lastRenderedPageBreak/>
        <w:t>krewnych, a 49 usamodzielniło się w inny sposób. Jednocześnie 186 wychowanków, którzy opuścili system po ukończeniu 18. roku życia, nadal pozostawało nieusamodzielnionych.</w:t>
      </w:r>
    </w:p>
    <w:p w14:paraId="1E237A42" w14:textId="78C92173" w:rsidR="00EB5CD4" w:rsidRDefault="00275346" w:rsidP="00EB5CD4">
      <w:pPr>
        <w:pStyle w:val="33Tytutablicywykresumapy"/>
        <w:spacing w:after="0"/>
        <w:rPr>
          <w:color w:val="auto"/>
        </w:rPr>
      </w:pPr>
      <w:r>
        <w:t>Wykres</w:t>
      </w:r>
      <w:r w:rsidR="00DE5360" w:rsidRPr="00BC5918">
        <w:t xml:space="preserve"> </w:t>
      </w:r>
      <w:r>
        <w:t>1</w:t>
      </w:r>
      <w:r w:rsidR="00DE5360" w:rsidRPr="00BC5918">
        <w:t xml:space="preserve">. </w:t>
      </w:r>
      <w:r w:rsidR="00EB5CD4">
        <w:rPr>
          <w:color w:val="auto"/>
        </w:rPr>
        <w:t>D</w:t>
      </w:r>
      <w:r w:rsidRPr="00275346">
        <w:rPr>
          <w:color w:val="auto"/>
        </w:rPr>
        <w:t>zieci przebywając</w:t>
      </w:r>
      <w:r w:rsidR="00591BE6">
        <w:rPr>
          <w:color w:val="auto"/>
        </w:rPr>
        <w:t>e w rodzinnej pieczy zastępczej według grup wieku w 2025 r.</w:t>
      </w:r>
      <w:r w:rsidR="00591BE6">
        <w:rPr>
          <w:color w:val="auto"/>
        </w:rPr>
        <w:br/>
      </w:r>
      <w:r w:rsidR="00EB5CD4" w:rsidRPr="00591BE6">
        <w:rPr>
          <w:b w:val="0"/>
          <w:bCs w:val="0"/>
          <w:color w:val="auto"/>
        </w:rPr>
        <w:t>Stan w dniu 31 gr</w:t>
      </w:r>
      <w:r w:rsidR="00CB0066">
        <w:rPr>
          <w:b w:val="0"/>
          <w:bCs w:val="0"/>
          <w:color w:val="auto"/>
        </w:rPr>
        <w:t>udnia</w:t>
      </w:r>
    </w:p>
    <w:p w14:paraId="0FB9A9E0" w14:textId="59E12A67" w:rsidR="00737CE4" w:rsidRDefault="00737CE4" w:rsidP="001B71C2">
      <w:pPr>
        <w:pStyle w:val="33Tytutablicywykresumapy"/>
        <w:spacing w:after="0"/>
      </w:pPr>
      <w:r>
        <w:drawing>
          <wp:inline distT="0" distB="0" distL="0" distR="0" wp14:anchorId="2E248E41" wp14:editId="3182D0AD">
            <wp:extent cx="5044450" cy="2310389"/>
            <wp:effectExtent l="0" t="0" r="0" b="0"/>
            <wp:docPr id="2" name="Obraz 2" descr="Wykres kołowy przedstawia dzieci przebywające w rodzinnej pieczy zastępczej według grup wieku w 2025 r. Stan w dniu 31 grudnia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kołowy przedstawia dzieci przebywające w rodzinnej pieczy zastępczej według grup wieku w 2025 r. Stan w dniu 31 grudnia.&#10;Dane do wykresu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50" cy="231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25C4B" w14:textId="300D77CC" w:rsidR="00726447" w:rsidRPr="00EE47B7" w:rsidRDefault="00726447" w:rsidP="00EE47B7">
      <w:pPr>
        <w:pStyle w:val="32tyturozdziau"/>
        <w:rPr>
          <w:bCs/>
        </w:rPr>
      </w:pPr>
      <w:r w:rsidRPr="00EE47B7">
        <w:t>Placówki instytucjonalnej pieczy zastępczej</w:t>
      </w:r>
    </w:p>
    <w:p w14:paraId="3F4501DF" w14:textId="6D1EB214" w:rsidR="00EE47B7" w:rsidRDefault="00726447" w:rsidP="00726447">
      <w:pPr>
        <w:rPr>
          <w:szCs w:val="19"/>
        </w:rPr>
      </w:pPr>
      <w:r w:rsidRPr="00661FFE">
        <w:rPr>
          <w:szCs w:val="19"/>
        </w:rPr>
        <w:t xml:space="preserve">Na koniec 2025 r. w województwie śląskim działało 179 placówek instytucjonalnej pieczy zastępczej, z tego 173 placówek opiekuńczo-wychowawczych, 5 regionalnych placówek opiekuńczo-terapeutycznych oraz 1 interwencyjny ośrodek </w:t>
      </w:r>
      <w:proofErr w:type="spellStart"/>
      <w:r w:rsidRPr="00661FFE">
        <w:rPr>
          <w:szCs w:val="19"/>
        </w:rPr>
        <w:t>preadopcyjny</w:t>
      </w:r>
      <w:proofErr w:type="spellEnd"/>
      <w:r w:rsidRPr="00661FFE">
        <w:rPr>
          <w:szCs w:val="19"/>
        </w:rPr>
        <w:t>. Do placówek opiekuńczo-wychowawczych zaliczane są placówki socjalizacyjne (153), placówki łączące zadania (13), rodzinne (5) oraz interwencyjne (2). Najwięcej placówek instytucjonalnej pieczy zastępczej znajdowało się w Katowicach (22), Częstochowie (13) oraz Bytomiu (12).</w:t>
      </w:r>
    </w:p>
    <w:p w14:paraId="0C7F2059" w14:textId="77777777" w:rsidR="00EE47B7" w:rsidRPr="00EE47B7" w:rsidRDefault="00EE47B7" w:rsidP="00815771">
      <w:pPr>
        <w:pStyle w:val="32tyturozdziau"/>
      </w:pPr>
      <w:r w:rsidRPr="00EE47B7">
        <w:t>Miejsca w instytucjonalnej pieczy zastępczej</w:t>
      </w:r>
    </w:p>
    <w:p w14:paraId="7FF6EB77" w14:textId="2B36B680" w:rsidR="00315866" w:rsidRPr="00AE06C2" w:rsidRDefault="00AE06C2" w:rsidP="00726447">
      <w:r w:rsidRPr="00AE06C2">
        <w:t>Placówki instytucjonalnej pieczy zastępczej posiadały łącznie 2,4 tys. miejsc.</w:t>
      </w:r>
      <w:r>
        <w:t xml:space="preserve"> </w:t>
      </w:r>
      <w:r w:rsidR="00315866">
        <w:t>Najwięcej miejsc</w:t>
      </w:r>
      <w:r w:rsidR="00EE47B7">
        <w:t xml:space="preserve"> było</w:t>
      </w:r>
      <w:r w:rsidR="00315866">
        <w:t xml:space="preserve"> w placówkach opiekuńczo-wychowawczych typu socjalizacyjnego (1</w:t>
      </w:r>
      <w:r w:rsidR="002A53BB">
        <w:t> </w:t>
      </w:r>
      <w:r w:rsidR="00315866">
        <w:t xml:space="preserve">973), znacznie mniej w placówkach łączących zadania placówek (185) i regionalnych placówkach opiekuńczo-terapeutycznych (124). Najmniej miejsc było w interwencyjnych ośrodkach </w:t>
      </w:r>
      <w:proofErr w:type="spellStart"/>
      <w:r w:rsidR="00315866">
        <w:t>preadopcyjnych</w:t>
      </w:r>
      <w:proofErr w:type="spellEnd"/>
      <w:r w:rsidR="00315866">
        <w:t xml:space="preserve"> (15).</w:t>
      </w:r>
    </w:p>
    <w:p w14:paraId="409D8CA0" w14:textId="3D0E8227" w:rsidR="00296C3B" w:rsidRDefault="00580076" w:rsidP="00EA5536">
      <w:pPr>
        <w:spacing w:before="360"/>
        <w:ind w:left="851" w:hanging="851"/>
        <w:rPr>
          <w:b/>
          <w:bCs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1969536" behindDoc="0" locked="0" layoutInCell="1" allowOverlap="1" wp14:anchorId="1B1C81A1" wp14:editId="10DB1C6B">
            <wp:simplePos x="0" y="0"/>
            <wp:positionH relativeFrom="margin">
              <wp:posOffset>7620</wp:posOffset>
            </wp:positionH>
            <wp:positionV relativeFrom="paragraph">
              <wp:posOffset>815975</wp:posOffset>
            </wp:positionV>
            <wp:extent cx="5114290" cy="2463800"/>
            <wp:effectExtent l="0" t="0" r="0" b="0"/>
            <wp:wrapTopAndBottom/>
            <wp:docPr id="17" name="Obraz 17" descr="Wykres kołowy przedstawia miejsca w placówkach instytucjonalnej pieczy zastępczej według typu placówki w 2025 r. Stan w dniu 31 grudnia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kołowy przedstawia miejsca w placówkach instytucjonalnej pieczy zastępczej według typu placówki w 2025 r. Stan w dniu 31 grudnia.&#10;Dane do wykresu dostępne są w załączonym pliku Excel."/>
                    <pic:cNvPicPr/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26447" w:rsidRPr="00661FFE">
        <w:rPr>
          <w:b/>
          <w:bCs/>
          <w:szCs w:val="19"/>
        </w:rPr>
        <w:t>Wykres</w:t>
      </w:r>
      <w:r w:rsidR="00726447">
        <w:rPr>
          <w:b/>
          <w:bCs/>
          <w:szCs w:val="19"/>
        </w:rPr>
        <w:t xml:space="preserve"> 2</w:t>
      </w:r>
      <w:r w:rsidR="00726447" w:rsidRPr="00661FFE">
        <w:rPr>
          <w:b/>
          <w:bCs/>
          <w:szCs w:val="19"/>
        </w:rPr>
        <w:t>. Miejsca w placówkach instytucjonalnej pieczy zastępczej według typu placówki w</w:t>
      </w:r>
      <w:r w:rsidR="006027E3">
        <w:t> </w:t>
      </w:r>
      <w:r w:rsidR="00726447" w:rsidRPr="00661FFE">
        <w:rPr>
          <w:b/>
          <w:bCs/>
          <w:szCs w:val="19"/>
        </w:rPr>
        <w:t>2025 r.</w:t>
      </w:r>
      <w:r w:rsidR="003E4E72">
        <w:rPr>
          <w:b/>
          <w:bCs/>
          <w:szCs w:val="19"/>
        </w:rPr>
        <w:t xml:space="preserve"> </w:t>
      </w:r>
      <w:r w:rsidR="005241F6">
        <w:rPr>
          <w:b/>
          <w:bCs/>
          <w:szCs w:val="19"/>
        </w:rPr>
        <w:br/>
      </w:r>
      <w:r w:rsidR="003E4E72" w:rsidRPr="00591BE6">
        <w:t>Stan w dniu 31 gr</w:t>
      </w:r>
      <w:r w:rsidR="003E4E72">
        <w:t>udnia</w:t>
      </w:r>
    </w:p>
    <w:p w14:paraId="52D43AB2" w14:textId="3A78A02B" w:rsidR="00726447" w:rsidRPr="00EE47B7" w:rsidRDefault="003E4E72" w:rsidP="00815771">
      <w:pPr>
        <w:spacing w:before="360"/>
        <w:rPr>
          <w:b/>
          <w:bCs/>
          <w:color w:val="001D77"/>
          <w:szCs w:val="19"/>
        </w:rPr>
      </w:pPr>
      <w:r w:rsidRPr="00823593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965440" behindDoc="1" locked="0" layoutInCell="1" allowOverlap="1" wp14:anchorId="20D38C92" wp14:editId="6B8CB4ED">
                <wp:simplePos x="0" y="0"/>
                <wp:positionH relativeFrom="page">
                  <wp:align>right</wp:align>
                </wp:positionH>
                <wp:positionV relativeFrom="paragraph">
                  <wp:posOffset>10079</wp:posOffset>
                </wp:positionV>
                <wp:extent cx="1828800" cy="1212850"/>
                <wp:effectExtent l="0" t="0" r="0" b="6350"/>
                <wp:wrapNone/>
                <wp:docPr id="5" name="Pole tekstowe 5" descr="W 2025 r. placówki instytucjonalnej pieczy zastępczej opuściło 432 dzieci i młodzieży do 18 roku życ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ACDAC" w14:textId="0B440549" w:rsidR="00726447" w:rsidRPr="00BC04B2" w:rsidRDefault="00E242AD" w:rsidP="00FA1359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BC04B2">
                              <w:rPr>
                                <w:lang w:val="pl-PL"/>
                              </w:rPr>
                              <w:t>W 2025 r. placówki instytucjonalnej pieczy zastępczej opuściło 432 dzieci i młodzieży do 18 roku życia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38C92" id="Pole tekstowe 5" o:spid="_x0000_s1029" type="#_x0000_t202" alt="W 2025 r. placówki instytucjonalnej pieczy zastępczej opuściło 432 dzieci i młodzieży do 18 roku życia." style="position:absolute;margin-left:92.8pt;margin-top:.8pt;width:2in;height:95.5pt;z-index:-2513510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" filled="f" stroked="f">
                <v:textbox>
                  <w:txbxContent>
                    <w:p w14:paraId="0B1ACDAC" w14:textId="0B440549" w:rsidR="00726447" w:rsidRPr="00BC04B2" w:rsidRDefault="00E242AD" w:rsidP="00FA1359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BC04B2">
                        <w:rPr>
                          <w:lang w:val="pl-PL"/>
                        </w:rPr>
                        <w:t>W 2025 r. placówki instytucjonalnej pieczy zastępczej opuściło 432 dzieci i młodzieży do 18 roku życia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6447" w:rsidRPr="00EE47B7">
        <w:rPr>
          <w:b/>
          <w:bCs/>
          <w:color w:val="001D77"/>
          <w:szCs w:val="19"/>
        </w:rPr>
        <w:t>Wychowankowie instytucjonalnej pieczy zastępczej</w:t>
      </w:r>
    </w:p>
    <w:p w14:paraId="32DC9788" w14:textId="6C05BCE0" w:rsidR="00726447" w:rsidRPr="00661FFE" w:rsidRDefault="00726447" w:rsidP="00726447">
      <w:pPr>
        <w:rPr>
          <w:szCs w:val="19"/>
        </w:rPr>
      </w:pPr>
      <w:r w:rsidRPr="00661FFE">
        <w:rPr>
          <w:szCs w:val="19"/>
        </w:rPr>
        <w:t>Na koniec 2025 r. w instytucjonalnej pieczy zastępczej przebywało 2,3 tys. dzieci, w tym 1,1</w:t>
      </w:r>
      <w:r>
        <w:rPr>
          <w:szCs w:val="19"/>
        </w:rPr>
        <w:t> </w:t>
      </w:r>
      <w:r w:rsidRPr="00661FFE">
        <w:rPr>
          <w:szCs w:val="19"/>
        </w:rPr>
        <w:t>tys. dziewczynek (48,9%). Najwięcej dzieci przebywało w placówkach w Katowicach (298), Częstochowie i Bytomiu (po 164).</w:t>
      </w:r>
    </w:p>
    <w:p w14:paraId="53AE0037" w14:textId="1502E5CD" w:rsidR="00726447" w:rsidRPr="00661FFE" w:rsidRDefault="00726447" w:rsidP="00726447">
      <w:pPr>
        <w:rPr>
          <w:szCs w:val="19"/>
        </w:rPr>
      </w:pPr>
      <w:r w:rsidRPr="00661FFE">
        <w:rPr>
          <w:szCs w:val="19"/>
        </w:rPr>
        <w:t>Spośród wszystkich dzieci objętych opieką, 1,0 tys. miało uregulowaną sytuację prawną, w</w:t>
      </w:r>
      <w:r>
        <w:rPr>
          <w:szCs w:val="19"/>
        </w:rPr>
        <w:t> </w:t>
      </w:r>
      <w:r w:rsidRPr="00661FFE">
        <w:rPr>
          <w:szCs w:val="19"/>
        </w:rPr>
        <w:t>tym 0,6 tys. było zgłoszonych do ośrodka adopcyjnego. Największą grupę wychowanków instytucjonalnej pieczy zastępczej stanowiły dzieci w wieku 14-17 lat (1</w:t>
      </w:r>
      <w:r w:rsidR="002A53BB">
        <w:t> </w:t>
      </w:r>
      <w:r w:rsidRPr="00661FFE">
        <w:rPr>
          <w:szCs w:val="19"/>
        </w:rPr>
        <w:t>138). Drugą co</w:t>
      </w:r>
      <w:r>
        <w:rPr>
          <w:szCs w:val="19"/>
        </w:rPr>
        <w:t> </w:t>
      </w:r>
      <w:r w:rsidRPr="00661FFE">
        <w:rPr>
          <w:szCs w:val="19"/>
        </w:rPr>
        <w:t>do</w:t>
      </w:r>
      <w:r>
        <w:rPr>
          <w:szCs w:val="19"/>
        </w:rPr>
        <w:t> </w:t>
      </w:r>
      <w:r w:rsidRPr="00661FFE">
        <w:rPr>
          <w:szCs w:val="19"/>
        </w:rPr>
        <w:t>wielkości grupą były dzieci w wieku 10-13 lat (620), a najmniej liczną grupę stanowiły dzieci poniżej roku (17). W placówkach instytucjonalnej pieczy zastępczej przebywało również 0,1</w:t>
      </w:r>
      <w:r>
        <w:rPr>
          <w:szCs w:val="19"/>
        </w:rPr>
        <w:t> </w:t>
      </w:r>
      <w:r w:rsidRPr="00661FFE">
        <w:rPr>
          <w:szCs w:val="19"/>
        </w:rPr>
        <w:t xml:space="preserve">tys. pełnoletnich, uczących się wychowanków. </w:t>
      </w:r>
    </w:p>
    <w:p w14:paraId="4E90DDAD" w14:textId="056BA6BF" w:rsidR="00382670" w:rsidRDefault="00726447" w:rsidP="00726447">
      <w:pPr>
        <w:rPr>
          <w:szCs w:val="19"/>
        </w:rPr>
      </w:pPr>
      <w:r w:rsidRPr="00661FFE">
        <w:rPr>
          <w:szCs w:val="19"/>
        </w:rPr>
        <w:t xml:space="preserve">W instytucjonalnej pieczy zastępczej przebywało 64 sieroty, 392 półsieroty, 423 </w:t>
      </w:r>
      <w:r w:rsidR="003E4E72">
        <w:rPr>
          <w:szCs w:val="19"/>
        </w:rPr>
        <w:t xml:space="preserve">dzieci </w:t>
      </w:r>
      <w:r w:rsidRPr="00661FFE">
        <w:rPr>
          <w:szCs w:val="19"/>
        </w:rPr>
        <w:t xml:space="preserve">przewlekle chorych oraz 366 </w:t>
      </w:r>
      <w:r w:rsidR="003E4E72" w:rsidRPr="003E4E72">
        <w:rPr>
          <w:szCs w:val="19"/>
        </w:rPr>
        <w:t>dzieci posiadających orzeczenie o niepełnosprawności lub o</w:t>
      </w:r>
      <w:r w:rsidR="003E4E72">
        <w:rPr>
          <w:szCs w:val="19"/>
        </w:rPr>
        <w:t> </w:t>
      </w:r>
      <w:r w:rsidR="003E4E72" w:rsidRPr="003E4E72">
        <w:rPr>
          <w:szCs w:val="19"/>
        </w:rPr>
        <w:t>stopniu niepełnosprawności</w:t>
      </w:r>
      <w:r w:rsidRPr="00661FFE">
        <w:rPr>
          <w:szCs w:val="19"/>
        </w:rPr>
        <w:t>.</w:t>
      </w:r>
    </w:p>
    <w:p w14:paraId="3C222B0C" w14:textId="4DB183E0" w:rsidR="0043105B" w:rsidRPr="0043105B" w:rsidRDefault="00455080" w:rsidP="00815771">
      <w:pPr>
        <w:pStyle w:val="33Tytutablicywykresumapy"/>
        <w:sectPr w:rsidR="0043105B" w:rsidRPr="0043105B" w:rsidSect="009E437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>
        <w:drawing>
          <wp:anchor distT="0" distB="0" distL="114300" distR="114300" simplePos="0" relativeHeight="251970560" behindDoc="0" locked="0" layoutInCell="1" allowOverlap="1" wp14:anchorId="669678C1" wp14:editId="52D6ADEC">
            <wp:simplePos x="0" y="0"/>
            <wp:positionH relativeFrom="margin">
              <wp:posOffset>0</wp:posOffset>
            </wp:positionH>
            <wp:positionV relativeFrom="paragraph">
              <wp:posOffset>529027</wp:posOffset>
            </wp:positionV>
            <wp:extent cx="5116830" cy="2430145"/>
            <wp:effectExtent l="0" t="0" r="0" b="0"/>
            <wp:wrapTopAndBottom/>
            <wp:docPr id="18" name="Obraz 18" descr="Wykres kołowy przedstawia wychowanków instytucjonalnej pieczy zastępczej według grup wieku w 2025 r. &#10;Stan w dniu 31 grudnia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przedstawia wychowanków instytucjonalnej pieczy zastępczej według grup wieku w 2025 r. &#10;Stan w dniu 31 grudnia.&#10;Dane do wykresu dostępne są w załączonym pliku Excel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447" w:rsidRPr="00661FFE">
        <w:t>Wykres</w:t>
      </w:r>
      <w:r w:rsidR="00C00318">
        <w:t xml:space="preserve"> 3</w:t>
      </w:r>
      <w:r w:rsidR="00726447" w:rsidRPr="00661FFE">
        <w:t>. Wychowankowie instytucjonalnej pieczy zastępczej według grup wieku w 2025 r.</w:t>
      </w:r>
      <w:r w:rsidR="009D3814">
        <w:t xml:space="preserve"> </w:t>
      </w:r>
      <w:r w:rsidR="009D3814">
        <w:br/>
      </w:r>
      <w:r w:rsidR="009D3814" w:rsidRPr="00591BE6">
        <w:rPr>
          <w:b w:val="0"/>
          <w:bCs w:val="0"/>
          <w:color w:val="auto"/>
        </w:rPr>
        <w:t>Stan w dniu 31 gr</w:t>
      </w:r>
      <w:r w:rsidR="009D3814">
        <w:rPr>
          <w:b w:val="0"/>
          <w:bCs w:val="0"/>
          <w:color w:val="auto"/>
        </w:rPr>
        <w:t>udnia</w:t>
      </w:r>
      <w:r w:rsidR="009D3814">
        <w:t xml:space="preserve"> </w:t>
      </w:r>
      <w:r w:rsidR="002743FD">
        <w:br w:type="page"/>
      </w: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5F0B8CAC" w14:textId="77777777" w:rsidR="004D1C8A" w:rsidRDefault="004D1C8A" w:rsidP="004D1C8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Śląski Ośrodek Badań Regionalnych</w:t>
            </w:r>
          </w:p>
          <w:p w14:paraId="18D9D5AE" w14:textId="1027B9B2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2DE1191D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BF278A" w:rsidP="00967598">
            <w:pPr>
              <w:ind w:left="-113"/>
            </w:pPr>
            <w:hyperlink r:id="rId21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BF278A" w:rsidP="00967598">
            <w:pPr>
              <w:ind w:left="-113"/>
            </w:pPr>
            <w:hyperlink r:id="rId23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BF278A" w:rsidP="00967598">
            <w:pPr>
              <w:ind w:left="-113"/>
            </w:pPr>
            <w:hyperlink r:id="rId25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795CAB3C" w:rsidR="00CB68C5" w:rsidRPr="00C21C88" w:rsidRDefault="008B733B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0B80C524">
                <wp:simplePos x="0" y="0"/>
                <wp:positionH relativeFrom="column">
                  <wp:posOffset>-5787</wp:posOffset>
                </wp:positionH>
                <wp:positionV relativeFrom="paragraph">
                  <wp:posOffset>123833</wp:posOffset>
                </wp:positionV>
                <wp:extent cx="6298388" cy="2760562"/>
                <wp:effectExtent l="0" t="0" r="7620" b="1905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276056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379D6" id="Prostokąt 4" o:spid="_x0000_s1026" alt="&quot;&quot;" style="position:absolute;margin-left:-.45pt;margin-top:9.75pt;width:495.95pt;height:217.35pt;z-index:-2513971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" fillcolor="#f2f2f2" stroked="f" strokeweight="1pt"/>
            </w:pict>
          </mc:Fallback>
        </mc:AlternateContent>
      </w:r>
      <w:r w:rsidR="00CB68C5" w:rsidRPr="00C21C88">
        <w:t>Powiązane opracowania</w:t>
      </w:r>
    </w:p>
    <w:p w14:paraId="48FB639F" w14:textId="3E94BF60" w:rsidR="008B733B" w:rsidRPr="001C7F15" w:rsidRDefault="001C7F15" w:rsidP="008B733B">
      <w:pPr>
        <w:pStyle w:val="64hipercza"/>
        <w:rPr>
          <w:rStyle w:val="Hipercze"/>
          <w:rFonts w:cstheme="minorBidi"/>
        </w:rPr>
      </w:pPr>
      <w:r>
        <w:fldChar w:fldCharType="begin"/>
      </w:r>
      <w:r w:rsidR="00B95A11">
        <w:instrText>HYPERLINK "https://stat.gov.pl/obszary-tematyczne/dzieci-i-rodzina/dzieci/piecza-zastepcza-w-2025-r-,1,10.html" \o "Piecza zastępcza 2025 r."</w:instrText>
      </w:r>
      <w:r>
        <w:fldChar w:fldCharType="separate"/>
      </w:r>
      <w:r w:rsidR="006C5363">
        <w:rPr>
          <w:rStyle w:val="Hipercze"/>
          <w:rFonts w:cstheme="minorBidi"/>
        </w:rPr>
        <w:t xml:space="preserve">Piecza zastępcza </w:t>
      </w:r>
      <w:r w:rsidR="008B733B" w:rsidRPr="001C7F15">
        <w:rPr>
          <w:rStyle w:val="Hipercze"/>
          <w:rFonts w:cstheme="minorBidi"/>
        </w:rPr>
        <w:t xml:space="preserve">2025 </w:t>
      </w:r>
      <w:r w:rsidR="006C5363">
        <w:rPr>
          <w:rStyle w:val="Hipercze"/>
          <w:rFonts w:cstheme="minorBidi"/>
        </w:rPr>
        <w:t>r.</w:t>
      </w:r>
    </w:p>
    <w:p w14:paraId="6F299BD5" w14:textId="612E6A7F" w:rsidR="008B733B" w:rsidRPr="001C7F15" w:rsidRDefault="001C7F15" w:rsidP="008B733B">
      <w:pPr>
        <w:pStyle w:val="64hipercza"/>
        <w:rPr>
          <w:rStyle w:val="Hipercze"/>
          <w:rFonts w:cstheme="minorBidi"/>
        </w:rPr>
      </w:pPr>
      <w:r>
        <w:fldChar w:fldCharType="end"/>
      </w:r>
      <w:r>
        <w:fldChar w:fldCharType="begin"/>
      </w:r>
      <w:r w:rsidR="00B95A11">
        <w:instrText>HYPERLINK "https://katowice.stat.gov.pl/publikacje-i-foldery/roczniki-statystyczne/rocznik-statystyczny-wojewodztwa-slaskiego-2025,4,25.html" \o "Rocznik Statystyczny Województwa Śląskiego 2025"</w:instrText>
      </w:r>
      <w:r>
        <w:fldChar w:fldCharType="separate"/>
      </w:r>
      <w:r w:rsidR="006C5363">
        <w:rPr>
          <w:rStyle w:val="Hipercze"/>
          <w:rFonts w:cstheme="minorBidi"/>
        </w:rPr>
        <w:t>Rocznik Statystyczny Województwa Śląskiego 2025</w:t>
      </w:r>
    </w:p>
    <w:p w14:paraId="23C6D541" w14:textId="349928EA" w:rsidR="00CB68C5" w:rsidRPr="001C212F" w:rsidRDefault="001C7F15" w:rsidP="00047033">
      <w:pPr>
        <w:pStyle w:val="64hipercza"/>
        <w:spacing w:before="360"/>
        <w:rPr>
          <w:b/>
          <w:color w:val="auto"/>
          <w:u w:val="none"/>
        </w:rPr>
      </w:pPr>
      <w:r>
        <w:fldChar w:fldCharType="end"/>
      </w:r>
      <w:r w:rsidR="00CB68C5" w:rsidRPr="001C212F">
        <w:rPr>
          <w:b/>
          <w:color w:val="auto"/>
          <w:u w:val="none"/>
        </w:rPr>
        <w:t>Temat dostępny w bazach danych</w:t>
      </w:r>
    </w:p>
    <w:p w14:paraId="66F4FA3F" w14:textId="741D828F" w:rsidR="008B733B" w:rsidRPr="00B95A11" w:rsidRDefault="00B95A11" w:rsidP="008B733B">
      <w:pPr>
        <w:pStyle w:val="64hipercza"/>
        <w:rPr>
          <w:rStyle w:val="Hipercze"/>
          <w:rFonts w:cstheme="minorBidi"/>
        </w:rPr>
      </w:pPr>
      <w:r>
        <w:fldChar w:fldCharType="begin"/>
      </w:r>
      <w:r>
        <w:instrText>HYPERLINK "https://bdl.stat.gov.pl/BDL/start" \o "Bank Danych Lokalnych"</w:instrText>
      </w:r>
      <w:r>
        <w:fldChar w:fldCharType="separate"/>
      </w:r>
      <w:r w:rsidR="008B733B" w:rsidRPr="00B95A11">
        <w:rPr>
          <w:rStyle w:val="Hipercze"/>
          <w:rFonts w:cstheme="minorBidi"/>
        </w:rPr>
        <w:t>Bank Danych Lokalnych</w:t>
      </w:r>
    </w:p>
    <w:p w14:paraId="7295714D" w14:textId="3EC3583B" w:rsidR="006C5363" w:rsidRDefault="00B95A11" w:rsidP="008B733B">
      <w:pPr>
        <w:pStyle w:val="64hipercza"/>
      </w:pPr>
      <w:r>
        <w:fldChar w:fldCharType="end"/>
      </w:r>
      <w:hyperlink r:id="rId26" w:tooltip="Dziedzinowe Bazy Wiedzy" w:history="1">
        <w:r w:rsidR="006C5363" w:rsidRPr="00B95A11">
          <w:rPr>
            <w:rStyle w:val="Hipercze"/>
            <w:rFonts w:cstheme="minorBidi"/>
          </w:rPr>
          <w:t>Dziedzinowe Bazy Wiedzy</w:t>
        </w:r>
      </w:hyperlink>
    </w:p>
    <w:p w14:paraId="6FF97CBF" w14:textId="146136CD" w:rsidR="006C5363" w:rsidRPr="001C212F" w:rsidRDefault="006C5363" w:rsidP="006C5363">
      <w:pPr>
        <w:pStyle w:val="64hipercza"/>
        <w:spacing w:before="360"/>
        <w:rPr>
          <w:b/>
          <w:color w:val="auto"/>
          <w:u w:val="none"/>
        </w:rPr>
      </w:pPr>
      <w:r>
        <w:rPr>
          <w:b/>
          <w:color w:val="auto"/>
          <w:u w:val="none"/>
        </w:rPr>
        <w:t>Ważniejsze pojęcia dostępne w słowniku</w:t>
      </w:r>
    </w:p>
    <w:p w14:paraId="51339DCD" w14:textId="6A6568AD" w:rsidR="006C5363" w:rsidRPr="00B95A11" w:rsidRDefault="00B95A11" w:rsidP="006C5363">
      <w:pPr>
        <w:pStyle w:val="64hipercza"/>
        <w:rPr>
          <w:rStyle w:val="Hipercze"/>
          <w:rFonts w:cstheme="minorBidi"/>
        </w:rPr>
      </w:pPr>
      <w:r>
        <w:fldChar w:fldCharType="begin"/>
      </w:r>
      <w:r>
        <w:instrText>HYPERLINK "https://stat.gov.pl/metainformacje/slownik-pojec/pojecia-stosowane-w-statystyce-publicznej/3061,pojecie.html" \o "Piecza Zastępcza"</w:instrText>
      </w:r>
      <w:r>
        <w:fldChar w:fldCharType="separate"/>
      </w:r>
      <w:r w:rsidR="006C5363" w:rsidRPr="00B95A11">
        <w:rPr>
          <w:rStyle w:val="Hipercze"/>
          <w:rFonts w:cstheme="minorBidi"/>
        </w:rPr>
        <w:t>Piecza Zastępcza</w:t>
      </w:r>
    </w:p>
    <w:p w14:paraId="4439A966" w14:textId="5AE5BEF7" w:rsidR="006C5363" w:rsidRDefault="00B95A11" w:rsidP="006C5363">
      <w:pPr>
        <w:pStyle w:val="64hipercza"/>
      </w:pPr>
      <w:r>
        <w:fldChar w:fldCharType="end"/>
      </w:r>
      <w:hyperlink r:id="rId27" w:tooltip="Rodzina zastępcza" w:history="1">
        <w:r w:rsidR="006C5363" w:rsidRPr="00B95A11">
          <w:rPr>
            <w:rStyle w:val="Hipercze"/>
            <w:rFonts w:cstheme="minorBidi"/>
          </w:rPr>
          <w:t>Rodzina zastępcza</w:t>
        </w:r>
      </w:hyperlink>
    </w:p>
    <w:p w14:paraId="34CFC6F8" w14:textId="765E8BA2" w:rsidR="006C5363" w:rsidRDefault="00BF278A" w:rsidP="006C5363">
      <w:pPr>
        <w:pStyle w:val="64hipercza"/>
      </w:pPr>
      <w:hyperlink r:id="rId28" w:tooltip="Rodzinny dom dziecka" w:history="1">
        <w:r w:rsidR="006C5363" w:rsidRPr="00B95A11">
          <w:rPr>
            <w:rStyle w:val="Hipercze"/>
            <w:rFonts w:cstheme="minorBidi"/>
          </w:rPr>
          <w:t>Rodzinny dom dziecka</w:t>
        </w:r>
      </w:hyperlink>
    </w:p>
    <w:p w14:paraId="631DAC91" w14:textId="05D76F26" w:rsidR="00412F57" w:rsidRPr="00412F57" w:rsidRDefault="00412F57" w:rsidP="00412F57">
      <w:pPr>
        <w:spacing w:before="720"/>
      </w:pPr>
      <w:r w:rsidRPr="002600C5">
        <w:t>W przypadku cytowania danych Głównego Urzędu Statystycznego prosimy o zamieszczenie informacji: „Źródło danych GUS”, a w przypadku publikowania obliczeń dokonanych na danych opublikowanych przez GUS prosimy o</w:t>
      </w:r>
      <w:r>
        <w:t> </w:t>
      </w:r>
      <w:r w:rsidRPr="002600C5">
        <w:t>zamieszczenie informacji: „Opracowanie własne na podstawie danych GUS”.</w:t>
      </w:r>
    </w:p>
    <w:sectPr w:rsidR="00412F57" w:rsidRPr="00412F57" w:rsidSect="00F1596B">
      <w:headerReference w:type="default" r:id="rId29"/>
      <w:footerReference w:type="default" r:id="rId30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8E25D" w14:textId="77777777" w:rsidR="00225B83" w:rsidRDefault="00225B83" w:rsidP="000662E2">
      <w:pPr>
        <w:spacing w:after="0" w:line="240" w:lineRule="auto"/>
      </w:pPr>
      <w:r>
        <w:separator/>
      </w:r>
    </w:p>
  </w:endnote>
  <w:endnote w:type="continuationSeparator" w:id="0">
    <w:p w14:paraId="7CBF3432" w14:textId="77777777" w:rsidR="00225B83" w:rsidRDefault="00225B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B74C460-4EBE-4825-8936-CDB04B716306}"/>
    <w:embedBold r:id="rId2" w:fontKey="{B19EF679-4255-4E29-AD23-232F8300E1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6733552-54D5-4179-8E26-BEEF8D9B5D0A}"/>
    <w:embedBold r:id="rId4" w:fontKey="{F1EFCAFA-BCD2-45F2-90CA-B2BA5F08CC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7945A9F-87F9-40C4-ABBF-C1B408DFC0F1}"/>
    <w:embedItalic r:id="rId6" w:fontKey="{D387269A-6C90-4FD5-9DE4-01991363976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82C69ACD-2E3A-40D7-8C30-221688AF50FB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24E4F0A6-95A0-44A4-BF0E-C07101080E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5377796-A8EF-4C1C-9D6E-6E373A19DD3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C66A9BB5-5F85-4D93-A547-9F635673F025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E345" w14:textId="77777777" w:rsidR="00225B83" w:rsidRDefault="00225B83" w:rsidP="000662E2">
      <w:pPr>
        <w:spacing w:after="0" w:line="240" w:lineRule="auto"/>
      </w:pPr>
      <w:r>
        <w:separator/>
      </w:r>
    </w:p>
  </w:footnote>
  <w:footnote w:type="continuationSeparator" w:id="0">
    <w:p w14:paraId="1A13A6C8" w14:textId="77777777" w:rsidR="00225B83" w:rsidRDefault="00225B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E000A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06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DCD7E5A" w:rsidR="00F37172" w:rsidRPr="00233E63" w:rsidRDefault="00756F45" w:rsidP="00F049AB">
                          <w:pPr>
                            <w:pStyle w:val="12datainformacjisygnalnej"/>
                          </w:pPr>
                          <w:r>
                            <w:t>06</w:t>
                          </w:r>
                          <w:r w:rsidR="00397C9B">
                            <w:t>.0</w:t>
                          </w:r>
                          <w:r>
                            <w:t>5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1E6292"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– 06.05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DCD7E5A" w:rsidR="00F37172" w:rsidRPr="00233E63" w:rsidRDefault="00756F45" w:rsidP="00F049AB">
                    <w:pPr>
                      <w:pStyle w:val="12datainformacjisygnalnej"/>
                    </w:pPr>
                    <w:r>
                      <w:t>06</w:t>
                    </w:r>
                    <w:r w:rsidR="00397C9B">
                      <w:t>.0</w:t>
                    </w:r>
                    <w:r>
                      <w:t>5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1E6292"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5pt;height:125.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D29"/>
    <w:rsid w:val="00003437"/>
    <w:rsid w:val="00005241"/>
    <w:rsid w:val="000057BA"/>
    <w:rsid w:val="0000709F"/>
    <w:rsid w:val="00007A3B"/>
    <w:rsid w:val="000108B8"/>
    <w:rsid w:val="00013073"/>
    <w:rsid w:val="00013494"/>
    <w:rsid w:val="00013BE7"/>
    <w:rsid w:val="00013EE2"/>
    <w:rsid w:val="000152F5"/>
    <w:rsid w:val="00016C81"/>
    <w:rsid w:val="0002425B"/>
    <w:rsid w:val="00027075"/>
    <w:rsid w:val="0002715B"/>
    <w:rsid w:val="00027608"/>
    <w:rsid w:val="000310C1"/>
    <w:rsid w:val="000317A5"/>
    <w:rsid w:val="0003503F"/>
    <w:rsid w:val="00042444"/>
    <w:rsid w:val="0004582E"/>
    <w:rsid w:val="00046C87"/>
    <w:rsid w:val="00047033"/>
    <w:rsid w:val="000470AA"/>
    <w:rsid w:val="000502D3"/>
    <w:rsid w:val="00051D95"/>
    <w:rsid w:val="00053BF9"/>
    <w:rsid w:val="00053DA6"/>
    <w:rsid w:val="0005700A"/>
    <w:rsid w:val="00057CA1"/>
    <w:rsid w:val="00062329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3415"/>
    <w:rsid w:val="00095D04"/>
    <w:rsid w:val="000976E2"/>
    <w:rsid w:val="00097840"/>
    <w:rsid w:val="00097A18"/>
    <w:rsid w:val="000A0A5D"/>
    <w:rsid w:val="000A42C1"/>
    <w:rsid w:val="000A65ED"/>
    <w:rsid w:val="000A68D3"/>
    <w:rsid w:val="000A7AB6"/>
    <w:rsid w:val="000B0727"/>
    <w:rsid w:val="000B3D75"/>
    <w:rsid w:val="000B4270"/>
    <w:rsid w:val="000B4AA3"/>
    <w:rsid w:val="000B4B67"/>
    <w:rsid w:val="000B6E42"/>
    <w:rsid w:val="000B7021"/>
    <w:rsid w:val="000B7378"/>
    <w:rsid w:val="000C135D"/>
    <w:rsid w:val="000C2857"/>
    <w:rsid w:val="000C3D69"/>
    <w:rsid w:val="000D08FF"/>
    <w:rsid w:val="000D10D0"/>
    <w:rsid w:val="000D1295"/>
    <w:rsid w:val="000D1865"/>
    <w:rsid w:val="000D1D43"/>
    <w:rsid w:val="000D225C"/>
    <w:rsid w:val="000D28F4"/>
    <w:rsid w:val="000D2A5C"/>
    <w:rsid w:val="000D39F0"/>
    <w:rsid w:val="000D487A"/>
    <w:rsid w:val="000E0918"/>
    <w:rsid w:val="000E22A7"/>
    <w:rsid w:val="000E359F"/>
    <w:rsid w:val="000E55C8"/>
    <w:rsid w:val="000E7699"/>
    <w:rsid w:val="000E79A9"/>
    <w:rsid w:val="000E79D9"/>
    <w:rsid w:val="000F02B2"/>
    <w:rsid w:val="000F11CE"/>
    <w:rsid w:val="000F23DD"/>
    <w:rsid w:val="000F525E"/>
    <w:rsid w:val="000F5624"/>
    <w:rsid w:val="000F6DE6"/>
    <w:rsid w:val="000F7440"/>
    <w:rsid w:val="000F7BE5"/>
    <w:rsid w:val="00100421"/>
    <w:rsid w:val="001007DC"/>
    <w:rsid w:val="001011C3"/>
    <w:rsid w:val="00104627"/>
    <w:rsid w:val="00106DA3"/>
    <w:rsid w:val="00107275"/>
    <w:rsid w:val="00110214"/>
    <w:rsid w:val="001106D0"/>
    <w:rsid w:val="001107E6"/>
    <w:rsid w:val="00110D87"/>
    <w:rsid w:val="001116AD"/>
    <w:rsid w:val="0011233F"/>
    <w:rsid w:val="00112399"/>
    <w:rsid w:val="00114DB9"/>
    <w:rsid w:val="00116087"/>
    <w:rsid w:val="00117711"/>
    <w:rsid w:val="001224D5"/>
    <w:rsid w:val="00126F06"/>
    <w:rsid w:val="001278CD"/>
    <w:rsid w:val="00130296"/>
    <w:rsid w:val="00130383"/>
    <w:rsid w:val="001324AE"/>
    <w:rsid w:val="00133768"/>
    <w:rsid w:val="00134145"/>
    <w:rsid w:val="0013573A"/>
    <w:rsid w:val="00136736"/>
    <w:rsid w:val="00136740"/>
    <w:rsid w:val="00136D67"/>
    <w:rsid w:val="001423B6"/>
    <w:rsid w:val="0014299C"/>
    <w:rsid w:val="001448A7"/>
    <w:rsid w:val="0014636A"/>
    <w:rsid w:val="00146621"/>
    <w:rsid w:val="00147D88"/>
    <w:rsid w:val="00152204"/>
    <w:rsid w:val="00156B00"/>
    <w:rsid w:val="00157961"/>
    <w:rsid w:val="00161026"/>
    <w:rsid w:val="001617E3"/>
    <w:rsid w:val="00162325"/>
    <w:rsid w:val="001645BC"/>
    <w:rsid w:val="001650BB"/>
    <w:rsid w:val="00165944"/>
    <w:rsid w:val="00167133"/>
    <w:rsid w:val="001714BE"/>
    <w:rsid w:val="001717D2"/>
    <w:rsid w:val="0017205F"/>
    <w:rsid w:val="00172346"/>
    <w:rsid w:val="00172AD2"/>
    <w:rsid w:val="00173E70"/>
    <w:rsid w:val="001745C2"/>
    <w:rsid w:val="001749F0"/>
    <w:rsid w:val="001771EF"/>
    <w:rsid w:val="00177261"/>
    <w:rsid w:val="00180EC0"/>
    <w:rsid w:val="00180F65"/>
    <w:rsid w:val="00185CF8"/>
    <w:rsid w:val="00186D53"/>
    <w:rsid w:val="001951DA"/>
    <w:rsid w:val="00195C77"/>
    <w:rsid w:val="001A1853"/>
    <w:rsid w:val="001A26B9"/>
    <w:rsid w:val="001A37A2"/>
    <w:rsid w:val="001A49C8"/>
    <w:rsid w:val="001A4A01"/>
    <w:rsid w:val="001A5167"/>
    <w:rsid w:val="001B053D"/>
    <w:rsid w:val="001B194B"/>
    <w:rsid w:val="001B69EB"/>
    <w:rsid w:val="001B6C2C"/>
    <w:rsid w:val="001B71C2"/>
    <w:rsid w:val="001C0F41"/>
    <w:rsid w:val="001C212F"/>
    <w:rsid w:val="001C2536"/>
    <w:rsid w:val="001C3269"/>
    <w:rsid w:val="001C327E"/>
    <w:rsid w:val="001C7F15"/>
    <w:rsid w:val="001D19B6"/>
    <w:rsid w:val="001D1DB4"/>
    <w:rsid w:val="001D23F1"/>
    <w:rsid w:val="001D25F9"/>
    <w:rsid w:val="001D32D0"/>
    <w:rsid w:val="001D3603"/>
    <w:rsid w:val="001D5633"/>
    <w:rsid w:val="001D61ED"/>
    <w:rsid w:val="001D6999"/>
    <w:rsid w:val="001D6D10"/>
    <w:rsid w:val="001D7C11"/>
    <w:rsid w:val="001E0D34"/>
    <w:rsid w:val="001E5717"/>
    <w:rsid w:val="001E5B2D"/>
    <w:rsid w:val="001E6292"/>
    <w:rsid w:val="001E69DA"/>
    <w:rsid w:val="001E6D3A"/>
    <w:rsid w:val="001E7DD7"/>
    <w:rsid w:val="001F4099"/>
    <w:rsid w:val="001F4874"/>
    <w:rsid w:val="001F6C97"/>
    <w:rsid w:val="001F7F23"/>
    <w:rsid w:val="0020156C"/>
    <w:rsid w:val="00202B72"/>
    <w:rsid w:val="002051BF"/>
    <w:rsid w:val="00206659"/>
    <w:rsid w:val="00206AA8"/>
    <w:rsid w:val="00207DEF"/>
    <w:rsid w:val="002122EE"/>
    <w:rsid w:val="00212E21"/>
    <w:rsid w:val="00213EBC"/>
    <w:rsid w:val="002150E5"/>
    <w:rsid w:val="00215645"/>
    <w:rsid w:val="00216634"/>
    <w:rsid w:val="00220672"/>
    <w:rsid w:val="0022288B"/>
    <w:rsid w:val="00222B61"/>
    <w:rsid w:val="00224ED6"/>
    <w:rsid w:val="0022590B"/>
    <w:rsid w:val="00225B83"/>
    <w:rsid w:val="00225C36"/>
    <w:rsid w:val="00227D1C"/>
    <w:rsid w:val="002328D4"/>
    <w:rsid w:val="00233E63"/>
    <w:rsid w:val="00233E77"/>
    <w:rsid w:val="00235A49"/>
    <w:rsid w:val="00236970"/>
    <w:rsid w:val="00240295"/>
    <w:rsid w:val="002402BC"/>
    <w:rsid w:val="00242852"/>
    <w:rsid w:val="00242D31"/>
    <w:rsid w:val="00244AAA"/>
    <w:rsid w:val="00247637"/>
    <w:rsid w:val="00247C37"/>
    <w:rsid w:val="00250B53"/>
    <w:rsid w:val="00253814"/>
    <w:rsid w:val="0025481E"/>
    <w:rsid w:val="00255903"/>
    <w:rsid w:val="002574F9"/>
    <w:rsid w:val="002578B0"/>
    <w:rsid w:val="002600C5"/>
    <w:rsid w:val="00262B61"/>
    <w:rsid w:val="00262CC6"/>
    <w:rsid w:val="00263E08"/>
    <w:rsid w:val="00264947"/>
    <w:rsid w:val="002707F2"/>
    <w:rsid w:val="00272E4B"/>
    <w:rsid w:val="002743FD"/>
    <w:rsid w:val="00275346"/>
    <w:rsid w:val="00275691"/>
    <w:rsid w:val="002765AD"/>
    <w:rsid w:val="00276811"/>
    <w:rsid w:val="00280487"/>
    <w:rsid w:val="00282699"/>
    <w:rsid w:val="00283308"/>
    <w:rsid w:val="00283AE9"/>
    <w:rsid w:val="00285969"/>
    <w:rsid w:val="00286546"/>
    <w:rsid w:val="002910BA"/>
    <w:rsid w:val="002926DF"/>
    <w:rsid w:val="002959F8"/>
    <w:rsid w:val="00295E64"/>
    <w:rsid w:val="00296697"/>
    <w:rsid w:val="00296A04"/>
    <w:rsid w:val="00296C3B"/>
    <w:rsid w:val="002A2813"/>
    <w:rsid w:val="002A4E5B"/>
    <w:rsid w:val="002A53BB"/>
    <w:rsid w:val="002A5C09"/>
    <w:rsid w:val="002A7F74"/>
    <w:rsid w:val="002B0290"/>
    <w:rsid w:val="002B0472"/>
    <w:rsid w:val="002B12C5"/>
    <w:rsid w:val="002B1684"/>
    <w:rsid w:val="002B3DFA"/>
    <w:rsid w:val="002B4F21"/>
    <w:rsid w:val="002B60F1"/>
    <w:rsid w:val="002B61C7"/>
    <w:rsid w:val="002B6B12"/>
    <w:rsid w:val="002B6EAD"/>
    <w:rsid w:val="002C046C"/>
    <w:rsid w:val="002C0709"/>
    <w:rsid w:val="002C138D"/>
    <w:rsid w:val="002C21F0"/>
    <w:rsid w:val="002C2389"/>
    <w:rsid w:val="002C4437"/>
    <w:rsid w:val="002C4B56"/>
    <w:rsid w:val="002C4BFA"/>
    <w:rsid w:val="002D01DF"/>
    <w:rsid w:val="002D14DE"/>
    <w:rsid w:val="002D2828"/>
    <w:rsid w:val="002D2F65"/>
    <w:rsid w:val="002D4236"/>
    <w:rsid w:val="002D551B"/>
    <w:rsid w:val="002D7EF8"/>
    <w:rsid w:val="002E08A1"/>
    <w:rsid w:val="002E11A4"/>
    <w:rsid w:val="002E1344"/>
    <w:rsid w:val="002E2335"/>
    <w:rsid w:val="002E3EB3"/>
    <w:rsid w:val="002E4DCD"/>
    <w:rsid w:val="002E6140"/>
    <w:rsid w:val="002E6985"/>
    <w:rsid w:val="002E6B66"/>
    <w:rsid w:val="002E71B6"/>
    <w:rsid w:val="002E7829"/>
    <w:rsid w:val="002F0241"/>
    <w:rsid w:val="002F21CC"/>
    <w:rsid w:val="002F2859"/>
    <w:rsid w:val="002F35F6"/>
    <w:rsid w:val="002F366E"/>
    <w:rsid w:val="002F4DF4"/>
    <w:rsid w:val="002F77C8"/>
    <w:rsid w:val="00300DC1"/>
    <w:rsid w:val="00301DA2"/>
    <w:rsid w:val="00301E58"/>
    <w:rsid w:val="00302055"/>
    <w:rsid w:val="00304048"/>
    <w:rsid w:val="00304F22"/>
    <w:rsid w:val="00306053"/>
    <w:rsid w:val="0030649A"/>
    <w:rsid w:val="00306C7C"/>
    <w:rsid w:val="003076BA"/>
    <w:rsid w:val="00313E99"/>
    <w:rsid w:val="00314F86"/>
    <w:rsid w:val="00315866"/>
    <w:rsid w:val="00317F4D"/>
    <w:rsid w:val="0032048A"/>
    <w:rsid w:val="00322EDD"/>
    <w:rsid w:val="0032432E"/>
    <w:rsid w:val="00326266"/>
    <w:rsid w:val="003265FC"/>
    <w:rsid w:val="00326C9F"/>
    <w:rsid w:val="003272F7"/>
    <w:rsid w:val="003309FA"/>
    <w:rsid w:val="00331231"/>
    <w:rsid w:val="00332320"/>
    <w:rsid w:val="003365E7"/>
    <w:rsid w:val="00336B79"/>
    <w:rsid w:val="003371D7"/>
    <w:rsid w:val="0033786B"/>
    <w:rsid w:val="00340387"/>
    <w:rsid w:val="0034311E"/>
    <w:rsid w:val="00343ECB"/>
    <w:rsid w:val="00344F2D"/>
    <w:rsid w:val="003450AA"/>
    <w:rsid w:val="00347D72"/>
    <w:rsid w:val="0035004D"/>
    <w:rsid w:val="00351338"/>
    <w:rsid w:val="003513CB"/>
    <w:rsid w:val="003514EE"/>
    <w:rsid w:val="00351585"/>
    <w:rsid w:val="003531C4"/>
    <w:rsid w:val="00353F45"/>
    <w:rsid w:val="0035533E"/>
    <w:rsid w:val="00356554"/>
    <w:rsid w:val="00357611"/>
    <w:rsid w:val="0036432A"/>
    <w:rsid w:val="00364AF9"/>
    <w:rsid w:val="00365749"/>
    <w:rsid w:val="00367237"/>
    <w:rsid w:val="00370190"/>
    <w:rsid w:val="003702DF"/>
    <w:rsid w:val="003703FC"/>
    <w:rsid w:val="0037077F"/>
    <w:rsid w:val="00370C72"/>
    <w:rsid w:val="00372411"/>
    <w:rsid w:val="00373882"/>
    <w:rsid w:val="003811F0"/>
    <w:rsid w:val="003819F1"/>
    <w:rsid w:val="00382670"/>
    <w:rsid w:val="00382EE3"/>
    <w:rsid w:val="003843DB"/>
    <w:rsid w:val="00384AE5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C9B"/>
    <w:rsid w:val="00397D18"/>
    <w:rsid w:val="003A047A"/>
    <w:rsid w:val="003A0AC0"/>
    <w:rsid w:val="003A10BF"/>
    <w:rsid w:val="003A1B36"/>
    <w:rsid w:val="003A3A22"/>
    <w:rsid w:val="003A466A"/>
    <w:rsid w:val="003A4D15"/>
    <w:rsid w:val="003A65DF"/>
    <w:rsid w:val="003A6E7C"/>
    <w:rsid w:val="003B1454"/>
    <w:rsid w:val="003B17EF"/>
    <w:rsid w:val="003B18B6"/>
    <w:rsid w:val="003B35C9"/>
    <w:rsid w:val="003B46EA"/>
    <w:rsid w:val="003B791F"/>
    <w:rsid w:val="003C0327"/>
    <w:rsid w:val="003C037F"/>
    <w:rsid w:val="003C161B"/>
    <w:rsid w:val="003C274C"/>
    <w:rsid w:val="003C3697"/>
    <w:rsid w:val="003C59E0"/>
    <w:rsid w:val="003C5DA3"/>
    <w:rsid w:val="003C6C8D"/>
    <w:rsid w:val="003C78F6"/>
    <w:rsid w:val="003D17D6"/>
    <w:rsid w:val="003D2656"/>
    <w:rsid w:val="003D2917"/>
    <w:rsid w:val="003D44D6"/>
    <w:rsid w:val="003D460D"/>
    <w:rsid w:val="003D4D94"/>
    <w:rsid w:val="003D4F95"/>
    <w:rsid w:val="003D5F42"/>
    <w:rsid w:val="003D60A9"/>
    <w:rsid w:val="003D7A18"/>
    <w:rsid w:val="003D7BAE"/>
    <w:rsid w:val="003D7F4B"/>
    <w:rsid w:val="003E2874"/>
    <w:rsid w:val="003E4367"/>
    <w:rsid w:val="003E4891"/>
    <w:rsid w:val="003E4E72"/>
    <w:rsid w:val="003E63AF"/>
    <w:rsid w:val="003E6F38"/>
    <w:rsid w:val="003F1B3D"/>
    <w:rsid w:val="003F3451"/>
    <w:rsid w:val="003F4BB7"/>
    <w:rsid w:val="003F4C97"/>
    <w:rsid w:val="003F5383"/>
    <w:rsid w:val="003F5638"/>
    <w:rsid w:val="003F58A0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4BE7"/>
    <w:rsid w:val="00405D7B"/>
    <w:rsid w:val="0040635B"/>
    <w:rsid w:val="004125E3"/>
    <w:rsid w:val="00412D28"/>
    <w:rsid w:val="00412F57"/>
    <w:rsid w:val="00414401"/>
    <w:rsid w:val="0041559F"/>
    <w:rsid w:val="00416EAF"/>
    <w:rsid w:val="00417078"/>
    <w:rsid w:val="004203DC"/>
    <w:rsid w:val="00420DB2"/>
    <w:rsid w:val="004212E7"/>
    <w:rsid w:val="004236B3"/>
    <w:rsid w:val="00423C88"/>
    <w:rsid w:val="004241C0"/>
    <w:rsid w:val="0042446D"/>
    <w:rsid w:val="00424C64"/>
    <w:rsid w:val="00426023"/>
    <w:rsid w:val="00427AA5"/>
    <w:rsid w:val="00427BF8"/>
    <w:rsid w:val="0043105B"/>
    <w:rsid w:val="00431C02"/>
    <w:rsid w:val="00433C08"/>
    <w:rsid w:val="00433D0C"/>
    <w:rsid w:val="00433E38"/>
    <w:rsid w:val="00434B0F"/>
    <w:rsid w:val="00437395"/>
    <w:rsid w:val="0044041F"/>
    <w:rsid w:val="00440E34"/>
    <w:rsid w:val="00442FEE"/>
    <w:rsid w:val="00443E64"/>
    <w:rsid w:val="00443FCB"/>
    <w:rsid w:val="00445047"/>
    <w:rsid w:val="00446749"/>
    <w:rsid w:val="00447754"/>
    <w:rsid w:val="004502C2"/>
    <w:rsid w:val="00450873"/>
    <w:rsid w:val="00450A84"/>
    <w:rsid w:val="0045152F"/>
    <w:rsid w:val="00453EB7"/>
    <w:rsid w:val="00454716"/>
    <w:rsid w:val="00455080"/>
    <w:rsid w:val="00455932"/>
    <w:rsid w:val="004562B7"/>
    <w:rsid w:val="004578EC"/>
    <w:rsid w:val="0046284E"/>
    <w:rsid w:val="00463E39"/>
    <w:rsid w:val="004657FC"/>
    <w:rsid w:val="004677FA"/>
    <w:rsid w:val="00467B13"/>
    <w:rsid w:val="00467B40"/>
    <w:rsid w:val="004733F6"/>
    <w:rsid w:val="00474E69"/>
    <w:rsid w:val="00483B43"/>
    <w:rsid w:val="00483E9F"/>
    <w:rsid w:val="0048417F"/>
    <w:rsid w:val="00484F8A"/>
    <w:rsid w:val="00485A2C"/>
    <w:rsid w:val="00490BBE"/>
    <w:rsid w:val="0049621B"/>
    <w:rsid w:val="004975AA"/>
    <w:rsid w:val="004A0817"/>
    <w:rsid w:val="004A14EA"/>
    <w:rsid w:val="004A1D19"/>
    <w:rsid w:val="004A4A9F"/>
    <w:rsid w:val="004B20AA"/>
    <w:rsid w:val="004B4599"/>
    <w:rsid w:val="004C07E0"/>
    <w:rsid w:val="004C1895"/>
    <w:rsid w:val="004C42A1"/>
    <w:rsid w:val="004C502C"/>
    <w:rsid w:val="004C5E8C"/>
    <w:rsid w:val="004C6D40"/>
    <w:rsid w:val="004D1C8A"/>
    <w:rsid w:val="004D21F8"/>
    <w:rsid w:val="004D2D0A"/>
    <w:rsid w:val="004D6D1B"/>
    <w:rsid w:val="004D7B1A"/>
    <w:rsid w:val="004D7DC1"/>
    <w:rsid w:val="004E1C97"/>
    <w:rsid w:val="004E6AA8"/>
    <w:rsid w:val="004F0C3C"/>
    <w:rsid w:val="004F2280"/>
    <w:rsid w:val="004F23BB"/>
    <w:rsid w:val="004F291A"/>
    <w:rsid w:val="004F48B9"/>
    <w:rsid w:val="004F500E"/>
    <w:rsid w:val="004F61B0"/>
    <w:rsid w:val="004F63FC"/>
    <w:rsid w:val="004F780D"/>
    <w:rsid w:val="00501872"/>
    <w:rsid w:val="00502AF5"/>
    <w:rsid w:val="0050378D"/>
    <w:rsid w:val="00505A92"/>
    <w:rsid w:val="005061F1"/>
    <w:rsid w:val="00506551"/>
    <w:rsid w:val="0051653F"/>
    <w:rsid w:val="005203F1"/>
    <w:rsid w:val="0052040E"/>
    <w:rsid w:val="005206A0"/>
    <w:rsid w:val="00521BC3"/>
    <w:rsid w:val="005241F6"/>
    <w:rsid w:val="005251D1"/>
    <w:rsid w:val="00530EF1"/>
    <w:rsid w:val="00530F6D"/>
    <w:rsid w:val="0053185B"/>
    <w:rsid w:val="00531873"/>
    <w:rsid w:val="00532F52"/>
    <w:rsid w:val="00533632"/>
    <w:rsid w:val="005336D5"/>
    <w:rsid w:val="00534013"/>
    <w:rsid w:val="00540C5C"/>
    <w:rsid w:val="00541E6E"/>
    <w:rsid w:val="0054251F"/>
    <w:rsid w:val="00542791"/>
    <w:rsid w:val="00543588"/>
    <w:rsid w:val="00543D18"/>
    <w:rsid w:val="0054781B"/>
    <w:rsid w:val="00547C87"/>
    <w:rsid w:val="00550225"/>
    <w:rsid w:val="005511E0"/>
    <w:rsid w:val="0055141A"/>
    <w:rsid w:val="00551B02"/>
    <w:rsid w:val="00551CC0"/>
    <w:rsid w:val="005520D8"/>
    <w:rsid w:val="00555CFB"/>
    <w:rsid w:val="00556803"/>
    <w:rsid w:val="00556ADB"/>
    <w:rsid w:val="00556CF1"/>
    <w:rsid w:val="005603E5"/>
    <w:rsid w:val="00560888"/>
    <w:rsid w:val="005646D6"/>
    <w:rsid w:val="00566202"/>
    <w:rsid w:val="005703F0"/>
    <w:rsid w:val="00573B3D"/>
    <w:rsid w:val="00574E0D"/>
    <w:rsid w:val="005762A7"/>
    <w:rsid w:val="00577053"/>
    <w:rsid w:val="00580076"/>
    <w:rsid w:val="00581887"/>
    <w:rsid w:val="00581A06"/>
    <w:rsid w:val="00581A6C"/>
    <w:rsid w:val="0058386D"/>
    <w:rsid w:val="00587CEE"/>
    <w:rsid w:val="00590EA9"/>
    <w:rsid w:val="005916D7"/>
    <w:rsid w:val="00591BE6"/>
    <w:rsid w:val="00591C99"/>
    <w:rsid w:val="0059380B"/>
    <w:rsid w:val="0059427F"/>
    <w:rsid w:val="00597E19"/>
    <w:rsid w:val="005A1001"/>
    <w:rsid w:val="005A17AE"/>
    <w:rsid w:val="005A4438"/>
    <w:rsid w:val="005A698C"/>
    <w:rsid w:val="005A71BF"/>
    <w:rsid w:val="005A7E2B"/>
    <w:rsid w:val="005B1ECB"/>
    <w:rsid w:val="005B20ED"/>
    <w:rsid w:val="005B2275"/>
    <w:rsid w:val="005B3C07"/>
    <w:rsid w:val="005B4BFB"/>
    <w:rsid w:val="005B6119"/>
    <w:rsid w:val="005C0CAC"/>
    <w:rsid w:val="005C116F"/>
    <w:rsid w:val="005C3986"/>
    <w:rsid w:val="005C4E0D"/>
    <w:rsid w:val="005D062E"/>
    <w:rsid w:val="005D0709"/>
    <w:rsid w:val="005D1CB2"/>
    <w:rsid w:val="005D2F6B"/>
    <w:rsid w:val="005D4E69"/>
    <w:rsid w:val="005D6DC3"/>
    <w:rsid w:val="005D745D"/>
    <w:rsid w:val="005D7C16"/>
    <w:rsid w:val="005D7FE8"/>
    <w:rsid w:val="005E0799"/>
    <w:rsid w:val="005E10F9"/>
    <w:rsid w:val="005E1200"/>
    <w:rsid w:val="005E2BF3"/>
    <w:rsid w:val="005E6B63"/>
    <w:rsid w:val="005E6D49"/>
    <w:rsid w:val="005E6EED"/>
    <w:rsid w:val="005E7815"/>
    <w:rsid w:val="005F0486"/>
    <w:rsid w:val="005F0950"/>
    <w:rsid w:val="005F1076"/>
    <w:rsid w:val="005F18F1"/>
    <w:rsid w:val="005F1C1E"/>
    <w:rsid w:val="005F45EE"/>
    <w:rsid w:val="005F587D"/>
    <w:rsid w:val="005F5A80"/>
    <w:rsid w:val="005F62F7"/>
    <w:rsid w:val="005F6F7D"/>
    <w:rsid w:val="006027E3"/>
    <w:rsid w:val="006044FF"/>
    <w:rsid w:val="00607CC5"/>
    <w:rsid w:val="0061179B"/>
    <w:rsid w:val="006125F9"/>
    <w:rsid w:val="00612B79"/>
    <w:rsid w:val="006133BD"/>
    <w:rsid w:val="00613E3F"/>
    <w:rsid w:val="0062397F"/>
    <w:rsid w:val="0062419E"/>
    <w:rsid w:val="00626C0C"/>
    <w:rsid w:val="0062725E"/>
    <w:rsid w:val="006302FD"/>
    <w:rsid w:val="00631C3F"/>
    <w:rsid w:val="00633014"/>
    <w:rsid w:val="0063437B"/>
    <w:rsid w:val="00635A1E"/>
    <w:rsid w:val="0063715D"/>
    <w:rsid w:val="00637554"/>
    <w:rsid w:val="0064017E"/>
    <w:rsid w:val="0064368D"/>
    <w:rsid w:val="0064598F"/>
    <w:rsid w:val="00647881"/>
    <w:rsid w:val="00647C0C"/>
    <w:rsid w:val="00647CA8"/>
    <w:rsid w:val="00651C69"/>
    <w:rsid w:val="00652DFC"/>
    <w:rsid w:val="00654BB6"/>
    <w:rsid w:val="00654C47"/>
    <w:rsid w:val="00655CB9"/>
    <w:rsid w:val="0065653E"/>
    <w:rsid w:val="006569C2"/>
    <w:rsid w:val="00660518"/>
    <w:rsid w:val="0066215A"/>
    <w:rsid w:val="00663571"/>
    <w:rsid w:val="00663899"/>
    <w:rsid w:val="006648CC"/>
    <w:rsid w:val="00665BD9"/>
    <w:rsid w:val="006673CA"/>
    <w:rsid w:val="006707C6"/>
    <w:rsid w:val="006707FA"/>
    <w:rsid w:val="006715E3"/>
    <w:rsid w:val="006716AC"/>
    <w:rsid w:val="0067252F"/>
    <w:rsid w:val="00673C26"/>
    <w:rsid w:val="00673FD4"/>
    <w:rsid w:val="00674DE5"/>
    <w:rsid w:val="00675C7E"/>
    <w:rsid w:val="00677ACA"/>
    <w:rsid w:val="00681294"/>
    <w:rsid w:val="006812AF"/>
    <w:rsid w:val="0068327D"/>
    <w:rsid w:val="00684220"/>
    <w:rsid w:val="00684D9E"/>
    <w:rsid w:val="00690926"/>
    <w:rsid w:val="00690CF2"/>
    <w:rsid w:val="00691534"/>
    <w:rsid w:val="006918F0"/>
    <w:rsid w:val="00693880"/>
    <w:rsid w:val="006947A2"/>
    <w:rsid w:val="00694AF0"/>
    <w:rsid w:val="00695341"/>
    <w:rsid w:val="006A1EEA"/>
    <w:rsid w:val="006A4686"/>
    <w:rsid w:val="006A69C7"/>
    <w:rsid w:val="006A712D"/>
    <w:rsid w:val="006A7890"/>
    <w:rsid w:val="006B0E9E"/>
    <w:rsid w:val="006B486D"/>
    <w:rsid w:val="006B5AE4"/>
    <w:rsid w:val="006B5C69"/>
    <w:rsid w:val="006C0298"/>
    <w:rsid w:val="006C0F30"/>
    <w:rsid w:val="006C41AD"/>
    <w:rsid w:val="006C4FAA"/>
    <w:rsid w:val="006C5363"/>
    <w:rsid w:val="006C54C4"/>
    <w:rsid w:val="006C5627"/>
    <w:rsid w:val="006D1507"/>
    <w:rsid w:val="006D21C8"/>
    <w:rsid w:val="006D4054"/>
    <w:rsid w:val="006D48C8"/>
    <w:rsid w:val="006D5D34"/>
    <w:rsid w:val="006D76E4"/>
    <w:rsid w:val="006D7B10"/>
    <w:rsid w:val="006D7EC6"/>
    <w:rsid w:val="006E02EC"/>
    <w:rsid w:val="006E1052"/>
    <w:rsid w:val="006E3685"/>
    <w:rsid w:val="006E3C4F"/>
    <w:rsid w:val="006E4597"/>
    <w:rsid w:val="006E6F41"/>
    <w:rsid w:val="006E73E6"/>
    <w:rsid w:val="006F08A2"/>
    <w:rsid w:val="006F18C2"/>
    <w:rsid w:val="006F4F9B"/>
    <w:rsid w:val="006F7663"/>
    <w:rsid w:val="006F7794"/>
    <w:rsid w:val="00701EF1"/>
    <w:rsid w:val="007037CA"/>
    <w:rsid w:val="00705B42"/>
    <w:rsid w:val="007067F8"/>
    <w:rsid w:val="0070689F"/>
    <w:rsid w:val="00706A49"/>
    <w:rsid w:val="0070791F"/>
    <w:rsid w:val="007112A5"/>
    <w:rsid w:val="0071185B"/>
    <w:rsid w:val="007153D0"/>
    <w:rsid w:val="00715988"/>
    <w:rsid w:val="00715F38"/>
    <w:rsid w:val="00716595"/>
    <w:rsid w:val="007211B1"/>
    <w:rsid w:val="00725936"/>
    <w:rsid w:val="00726447"/>
    <w:rsid w:val="007277DA"/>
    <w:rsid w:val="00731D27"/>
    <w:rsid w:val="0073247F"/>
    <w:rsid w:val="00734A17"/>
    <w:rsid w:val="00734C3E"/>
    <w:rsid w:val="00736660"/>
    <w:rsid w:val="00737CE4"/>
    <w:rsid w:val="00740409"/>
    <w:rsid w:val="00746187"/>
    <w:rsid w:val="00751940"/>
    <w:rsid w:val="00752D83"/>
    <w:rsid w:val="007538A4"/>
    <w:rsid w:val="00753FB7"/>
    <w:rsid w:val="00755135"/>
    <w:rsid w:val="0075550E"/>
    <w:rsid w:val="0075569D"/>
    <w:rsid w:val="00755CB5"/>
    <w:rsid w:val="0075604F"/>
    <w:rsid w:val="00756F45"/>
    <w:rsid w:val="007608D0"/>
    <w:rsid w:val="0076254F"/>
    <w:rsid w:val="007631C7"/>
    <w:rsid w:val="00765225"/>
    <w:rsid w:val="0076536D"/>
    <w:rsid w:val="00765FE5"/>
    <w:rsid w:val="007671DE"/>
    <w:rsid w:val="007673C6"/>
    <w:rsid w:val="007678DD"/>
    <w:rsid w:val="007701D2"/>
    <w:rsid w:val="007707EC"/>
    <w:rsid w:val="00771399"/>
    <w:rsid w:val="007727B3"/>
    <w:rsid w:val="00776410"/>
    <w:rsid w:val="00776C79"/>
    <w:rsid w:val="0077704B"/>
    <w:rsid w:val="007801F5"/>
    <w:rsid w:val="00780F72"/>
    <w:rsid w:val="00783CA4"/>
    <w:rsid w:val="007842FB"/>
    <w:rsid w:val="00784766"/>
    <w:rsid w:val="007848EB"/>
    <w:rsid w:val="00786124"/>
    <w:rsid w:val="0079126D"/>
    <w:rsid w:val="0079198E"/>
    <w:rsid w:val="00792A4E"/>
    <w:rsid w:val="0079514B"/>
    <w:rsid w:val="00795252"/>
    <w:rsid w:val="00796C55"/>
    <w:rsid w:val="00797474"/>
    <w:rsid w:val="0079756E"/>
    <w:rsid w:val="007A0BD1"/>
    <w:rsid w:val="007A1E4A"/>
    <w:rsid w:val="007A2DC1"/>
    <w:rsid w:val="007B0921"/>
    <w:rsid w:val="007B1407"/>
    <w:rsid w:val="007B6498"/>
    <w:rsid w:val="007B7C8A"/>
    <w:rsid w:val="007C2933"/>
    <w:rsid w:val="007C353E"/>
    <w:rsid w:val="007C5F7F"/>
    <w:rsid w:val="007C72BE"/>
    <w:rsid w:val="007C7D79"/>
    <w:rsid w:val="007D018E"/>
    <w:rsid w:val="007D0869"/>
    <w:rsid w:val="007D0A51"/>
    <w:rsid w:val="007D14C4"/>
    <w:rsid w:val="007D3319"/>
    <w:rsid w:val="007D335D"/>
    <w:rsid w:val="007D3EC9"/>
    <w:rsid w:val="007D4F16"/>
    <w:rsid w:val="007D605C"/>
    <w:rsid w:val="007E30EA"/>
    <w:rsid w:val="007E3314"/>
    <w:rsid w:val="007E3514"/>
    <w:rsid w:val="007E4B03"/>
    <w:rsid w:val="007E5556"/>
    <w:rsid w:val="007E5FDD"/>
    <w:rsid w:val="007E729C"/>
    <w:rsid w:val="007F13B2"/>
    <w:rsid w:val="007F21D5"/>
    <w:rsid w:val="007F324B"/>
    <w:rsid w:val="007F558F"/>
    <w:rsid w:val="007F61F7"/>
    <w:rsid w:val="007F7282"/>
    <w:rsid w:val="008018B2"/>
    <w:rsid w:val="00803332"/>
    <w:rsid w:val="0080553C"/>
    <w:rsid w:val="00805818"/>
    <w:rsid w:val="00805B46"/>
    <w:rsid w:val="00805DB4"/>
    <w:rsid w:val="00812067"/>
    <w:rsid w:val="00812E73"/>
    <w:rsid w:val="008138DE"/>
    <w:rsid w:val="008139B8"/>
    <w:rsid w:val="00815771"/>
    <w:rsid w:val="008166FC"/>
    <w:rsid w:val="00821B5E"/>
    <w:rsid w:val="008227FB"/>
    <w:rsid w:val="00823593"/>
    <w:rsid w:val="00825DC2"/>
    <w:rsid w:val="00826CE5"/>
    <w:rsid w:val="0082756D"/>
    <w:rsid w:val="008307BF"/>
    <w:rsid w:val="0083257A"/>
    <w:rsid w:val="00834AD3"/>
    <w:rsid w:val="00835E81"/>
    <w:rsid w:val="008377C2"/>
    <w:rsid w:val="00841DF6"/>
    <w:rsid w:val="0084338D"/>
    <w:rsid w:val="00843795"/>
    <w:rsid w:val="00845828"/>
    <w:rsid w:val="00847F0F"/>
    <w:rsid w:val="00850643"/>
    <w:rsid w:val="00852448"/>
    <w:rsid w:val="00852976"/>
    <w:rsid w:val="008542D6"/>
    <w:rsid w:val="00855C28"/>
    <w:rsid w:val="008568BE"/>
    <w:rsid w:val="008600D5"/>
    <w:rsid w:val="00860908"/>
    <w:rsid w:val="00860C45"/>
    <w:rsid w:val="00860D69"/>
    <w:rsid w:val="0086676C"/>
    <w:rsid w:val="00871458"/>
    <w:rsid w:val="00872271"/>
    <w:rsid w:val="00873504"/>
    <w:rsid w:val="0087481F"/>
    <w:rsid w:val="00874F38"/>
    <w:rsid w:val="0087745F"/>
    <w:rsid w:val="00877E10"/>
    <w:rsid w:val="00877F6C"/>
    <w:rsid w:val="008807D4"/>
    <w:rsid w:val="008807EF"/>
    <w:rsid w:val="008813C6"/>
    <w:rsid w:val="008824BD"/>
    <w:rsid w:val="0088258A"/>
    <w:rsid w:val="008843AD"/>
    <w:rsid w:val="0088469B"/>
    <w:rsid w:val="0088577E"/>
    <w:rsid w:val="00886332"/>
    <w:rsid w:val="008925F0"/>
    <w:rsid w:val="00893509"/>
    <w:rsid w:val="0089448A"/>
    <w:rsid w:val="008961B1"/>
    <w:rsid w:val="00896BD1"/>
    <w:rsid w:val="00896E6E"/>
    <w:rsid w:val="00897877"/>
    <w:rsid w:val="008A26D9"/>
    <w:rsid w:val="008A5252"/>
    <w:rsid w:val="008A673E"/>
    <w:rsid w:val="008A7B5B"/>
    <w:rsid w:val="008B0982"/>
    <w:rsid w:val="008B12D2"/>
    <w:rsid w:val="008B172B"/>
    <w:rsid w:val="008B247C"/>
    <w:rsid w:val="008B2B2B"/>
    <w:rsid w:val="008B3B0A"/>
    <w:rsid w:val="008B451C"/>
    <w:rsid w:val="008B5380"/>
    <w:rsid w:val="008B733B"/>
    <w:rsid w:val="008C0C29"/>
    <w:rsid w:val="008C16B9"/>
    <w:rsid w:val="008C1C5F"/>
    <w:rsid w:val="008C4F83"/>
    <w:rsid w:val="008C58F7"/>
    <w:rsid w:val="008D02DA"/>
    <w:rsid w:val="008D12F3"/>
    <w:rsid w:val="008D3DAA"/>
    <w:rsid w:val="008D4891"/>
    <w:rsid w:val="008D70EA"/>
    <w:rsid w:val="008D76BC"/>
    <w:rsid w:val="008D78F0"/>
    <w:rsid w:val="008E09CA"/>
    <w:rsid w:val="008E0BEB"/>
    <w:rsid w:val="008E4BD1"/>
    <w:rsid w:val="008E5FE4"/>
    <w:rsid w:val="008E7DBA"/>
    <w:rsid w:val="008F0666"/>
    <w:rsid w:val="008F0829"/>
    <w:rsid w:val="008F3638"/>
    <w:rsid w:val="008F4441"/>
    <w:rsid w:val="008F4B51"/>
    <w:rsid w:val="008F5A3C"/>
    <w:rsid w:val="008F6B20"/>
    <w:rsid w:val="008F6CC9"/>
    <w:rsid w:val="008F6F31"/>
    <w:rsid w:val="008F74DF"/>
    <w:rsid w:val="008F75FA"/>
    <w:rsid w:val="009017E9"/>
    <w:rsid w:val="00902274"/>
    <w:rsid w:val="00902FF3"/>
    <w:rsid w:val="009034E1"/>
    <w:rsid w:val="00907093"/>
    <w:rsid w:val="009127BA"/>
    <w:rsid w:val="009179F0"/>
    <w:rsid w:val="00920AAE"/>
    <w:rsid w:val="009223CD"/>
    <w:rsid w:val="009227A6"/>
    <w:rsid w:val="00923CFF"/>
    <w:rsid w:val="00924A67"/>
    <w:rsid w:val="00924C07"/>
    <w:rsid w:val="009304B0"/>
    <w:rsid w:val="00931EC9"/>
    <w:rsid w:val="00933EC1"/>
    <w:rsid w:val="00934FE8"/>
    <w:rsid w:val="00937C6B"/>
    <w:rsid w:val="00941729"/>
    <w:rsid w:val="009426E8"/>
    <w:rsid w:val="009446AD"/>
    <w:rsid w:val="00945937"/>
    <w:rsid w:val="0095049D"/>
    <w:rsid w:val="009530DB"/>
    <w:rsid w:val="00953676"/>
    <w:rsid w:val="00954621"/>
    <w:rsid w:val="00956F30"/>
    <w:rsid w:val="009570C7"/>
    <w:rsid w:val="00960C1B"/>
    <w:rsid w:val="00964540"/>
    <w:rsid w:val="0096509C"/>
    <w:rsid w:val="00966737"/>
    <w:rsid w:val="00966C9A"/>
    <w:rsid w:val="009672FF"/>
    <w:rsid w:val="00967598"/>
    <w:rsid w:val="009679D6"/>
    <w:rsid w:val="009702DF"/>
    <w:rsid w:val="009705EE"/>
    <w:rsid w:val="00970D88"/>
    <w:rsid w:val="0097187B"/>
    <w:rsid w:val="009718BB"/>
    <w:rsid w:val="009720F4"/>
    <w:rsid w:val="0097227A"/>
    <w:rsid w:val="00976817"/>
    <w:rsid w:val="00977927"/>
    <w:rsid w:val="00980011"/>
    <w:rsid w:val="00980179"/>
    <w:rsid w:val="0098135C"/>
    <w:rsid w:val="0098156A"/>
    <w:rsid w:val="00982583"/>
    <w:rsid w:val="0098516D"/>
    <w:rsid w:val="009904C3"/>
    <w:rsid w:val="00991BAC"/>
    <w:rsid w:val="009948D3"/>
    <w:rsid w:val="0099571F"/>
    <w:rsid w:val="0099757D"/>
    <w:rsid w:val="00997CCC"/>
    <w:rsid w:val="009A020F"/>
    <w:rsid w:val="009A02FB"/>
    <w:rsid w:val="009A62AD"/>
    <w:rsid w:val="009A6363"/>
    <w:rsid w:val="009A6EA0"/>
    <w:rsid w:val="009B18E3"/>
    <w:rsid w:val="009B26DE"/>
    <w:rsid w:val="009B3051"/>
    <w:rsid w:val="009B3599"/>
    <w:rsid w:val="009B4838"/>
    <w:rsid w:val="009B7154"/>
    <w:rsid w:val="009B737E"/>
    <w:rsid w:val="009C00DC"/>
    <w:rsid w:val="009C0A0E"/>
    <w:rsid w:val="009C0A25"/>
    <w:rsid w:val="009C0BE5"/>
    <w:rsid w:val="009C1335"/>
    <w:rsid w:val="009C1AB2"/>
    <w:rsid w:val="009C255F"/>
    <w:rsid w:val="009C5965"/>
    <w:rsid w:val="009C7251"/>
    <w:rsid w:val="009D0420"/>
    <w:rsid w:val="009D3814"/>
    <w:rsid w:val="009D5639"/>
    <w:rsid w:val="009D6F7B"/>
    <w:rsid w:val="009D75CD"/>
    <w:rsid w:val="009E2E91"/>
    <w:rsid w:val="009E2F50"/>
    <w:rsid w:val="009E3D15"/>
    <w:rsid w:val="009E4370"/>
    <w:rsid w:val="009E4C23"/>
    <w:rsid w:val="009E4F77"/>
    <w:rsid w:val="009E5466"/>
    <w:rsid w:val="009E5ABF"/>
    <w:rsid w:val="009F0F24"/>
    <w:rsid w:val="009F187A"/>
    <w:rsid w:val="009F1A83"/>
    <w:rsid w:val="009F5665"/>
    <w:rsid w:val="009F65E9"/>
    <w:rsid w:val="009F7E91"/>
    <w:rsid w:val="009F7EBC"/>
    <w:rsid w:val="00A01B40"/>
    <w:rsid w:val="00A030BF"/>
    <w:rsid w:val="00A03A4E"/>
    <w:rsid w:val="00A04E95"/>
    <w:rsid w:val="00A05988"/>
    <w:rsid w:val="00A067EA"/>
    <w:rsid w:val="00A10293"/>
    <w:rsid w:val="00A139F5"/>
    <w:rsid w:val="00A20133"/>
    <w:rsid w:val="00A22C73"/>
    <w:rsid w:val="00A300A7"/>
    <w:rsid w:val="00A31FB4"/>
    <w:rsid w:val="00A32E16"/>
    <w:rsid w:val="00A34EC9"/>
    <w:rsid w:val="00A365F4"/>
    <w:rsid w:val="00A37EE7"/>
    <w:rsid w:val="00A42B58"/>
    <w:rsid w:val="00A432AB"/>
    <w:rsid w:val="00A43435"/>
    <w:rsid w:val="00A46BA4"/>
    <w:rsid w:val="00A46EE2"/>
    <w:rsid w:val="00A47D80"/>
    <w:rsid w:val="00A5251B"/>
    <w:rsid w:val="00A53030"/>
    <w:rsid w:val="00A53132"/>
    <w:rsid w:val="00A551A8"/>
    <w:rsid w:val="00A559E1"/>
    <w:rsid w:val="00A563F2"/>
    <w:rsid w:val="00A566E8"/>
    <w:rsid w:val="00A566FD"/>
    <w:rsid w:val="00A56C42"/>
    <w:rsid w:val="00A57195"/>
    <w:rsid w:val="00A57695"/>
    <w:rsid w:val="00A60026"/>
    <w:rsid w:val="00A601A4"/>
    <w:rsid w:val="00A626D7"/>
    <w:rsid w:val="00A631EC"/>
    <w:rsid w:val="00A66347"/>
    <w:rsid w:val="00A669F7"/>
    <w:rsid w:val="00A67784"/>
    <w:rsid w:val="00A67D5B"/>
    <w:rsid w:val="00A70425"/>
    <w:rsid w:val="00A70684"/>
    <w:rsid w:val="00A761B7"/>
    <w:rsid w:val="00A80A1A"/>
    <w:rsid w:val="00A810F9"/>
    <w:rsid w:val="00A81E56"/>
    <w:rsid w:val="00A82D31"/>
    <w:rsid w:val="00A852C6"/>
    <w:rsid w:val="00A85E7E"/>
    <w:rsid w:val="00A86ECC"/>
    <w:rsid w:val="00A86FCC"/>
    <w:rsid w:val="00A904BB"/>
    <w:rsid w:val="00A90A6D"/>
    <w:rsid w:val="00A92858"/>
    <w:rsid w:val="00A9422E"/>
    <w:rsid w:val="00A942F1"/>
    <w:rsid w:val="00A959E5"/>
    <w:rsid w:val="00A95EA5"/>
    <w:rsid w:val="00A96F51"/>
    <w:rsid w:val="00A971E5"/>
    <w:rsid w:val="00AA1156"/>
    <w:rsid w:val="00AA149E"/>
    <w:rsid w:val="00AA210D"/>
    <w:rsid w:val="00AA24B4"/>
    <w:rsid w:val="00AA460A"/>
    <w:rsid w:val="00AA4C47"/>
    <w:rsid w:val="00AA637C"/>
    <w:rsid w:val="00AA710D"/>
    <w:rsid w:val="00AA740C"/>
    <w:rsid w:val="00AB4F37"/>
    <w:rsid w:val="00AB4F48"/>
    <w:rsid w:val="00AB581E"/>
    <w:rsid w:val="00AB64F3"/>
    <w:rsid w:val="00AB6500"/>
    <w:rsid w:val="00AB6D25"/>
    <w:rsid w:val="00AC0300"/>
    <w:rsid w:val="00AC31BE"/>
    <w:rsid w:val="00AC4DEB"/>
    <w:rsid w:val="00AC7939"/>
    <w:rsid w:val="00AD0E56"/>
    <w:rsid w:val="00AD2065"/>
    <w:rsid w:val="00AD3F06"/>
    <w:rsid w:val="00AD6059"/>
    <w:rsid w:val="00AD6739"/>
    <w:rsid w:val="00AD73E3"/>
    <w:rsid w:val="00AE06C2"/>
    <w:rsid w:val="00AE1630"/>
    <w:rsid w:val="00AE229B"/>
    <w:rsid w:val="00AE23A4"/>
    <w:rsid w:val="00AE2D32"/>
    <w:rsid w:val="00AE2D4B"/>
    <w:rsid w:val="00AE4F08"/>
    <w:rsid w:val="00AE4F4C"/>
    <w:rsid w:val="00AE4F99"/>
    <w:rsid w:val="00AE71AB"/>
    <w:rsid w:val="00AF0596"/>
    <w:rsid w:val="00AF0BC4"/>
    <w:rsid w:val="00AF133A"/>
    <w:rsid w:val="00AF42F9"/>
    <w:rsid w:val="00B023A0"/>
    <w:rsid w:val="00B02D06"/>
    <w:rsid w:val="00B044F1"/>
    <w:rsid w:val="00B070A2"/>
    <w:rsid w:val="00B11B69"/>
    <w:rsid w:val="00B14952"/>
    <w:rsid w:val="00B14A46"/>
    <w:rsid w:val="00B16871"/>
    <w:rsid w:val="00B16C58"/>
    <w:rsid w:val="00B1743F"/>
    <w:rsid w:val="00B17D73"/>
    <w:rsid w:val="00B2063A"/>
    <w:rsid w:val="00B2154B"/>
    <w:rsid w:val="00B21B8C"/>
    <w:rsid w:val="00B229B7"/>
    <w:rsid w:val="00B25394"/>
    <w:rsid w:val="00B25B45"/>
    <w:rsid w:val="00B2621A"/>
    <w:rsid w:val="00B26EE3"/>
    <w:rsid w:val="00B27D2F"/>
    <w:rsid w:val="00B31E5A"/>
    <w:rsid w:val="00B320FF"/>
    <w:rsid w:val="00B35AFF"/>
    <w:rsid w:val="00B404CD"/>
    <w:rsid w:val="00B418BC"/>
    <w:rsid w:val="00B42A0B"/>
    <w:rsid w:val="00B45C12"/>
    <w:rsid w:val="00B47359"/>
    <w:rsid w:val="00B47375"/>
    <w:rsid w:val="00B507FE"/>
    <w:rsid w:val="00B51B7F"/>
    <w:rsid w:val="00B524C5"/>
    <w:rsid w:val="00B5695A"/>
    <w:rsid w:val="00B620CC"/>
    <w:rsid w:val="00B653AB"/>
    <w:rsid w:val="00B65F9E"/>
    <w:rsid w:val="00B667E2"/>
    <w:rsid w:val="00B66B19"/>
    <w:rsid w:val="00B72044"/>
    <w:rsid w:val="00B7287D"/>
    <w:rsid w:val="00B7386E"/>
    <w:rsid w:val="00B73984"/>
    <w:rsid w:val="00B77543"/>
    <w:rsid w:val="00B82C72"/>
    <w:rsid w:val="00B84C43"/>
    <w:rsid w:val="00B8505F"/>
    <w:rsid w:val="00B86476"/>
    <w:rsid w:val="00B914E9"/>
    <w:rsid w:val="00B9169F"/>
    <w:rsid w:val="00B935FA"/>
    <w:rsid w:val="00B956EE"/>
    <w:rsid w:val="00B957CE"/>
    <w:rsid w:val="00B95A11"/>
    <w:rsid w:val="00B9640C"/>
    <w:rsid w:val="00B96AA4"/>
    <w:rsid w:val="00B97D42"/>
    <w:rsid w:val="00BA2BA1"/>
    <w:rsid w:val="00BA3447"/>
    <w:rsid w:val="00BA3562"/>
    <w:rsid w:val="00BA448A"/>
    <w:rsid w:val="00BA4CD5"/>
    <w:rsid w:val="00BA5AB7"/>
    <w:rsid w:val="00BA5B71"/>
    <w:rsid w:val="00BB24DF"/>
    <w:rsid w:val="00BB4691"/>
    <w:rsid w:val="00BB4AF7"/>
    <w:rsid w:val="00BB4F09"/>
    <w:rsid w:val="00BB4F17"/>
    <w:rsid w:val="00BB54B5"/>
    <w:rsid w:val="00BC04B2"/>
    <w:rsid w:val="00BC1C40"/>
    <w:rsid w:val="00BC355A"/>
    <w:rsid w:val="00BC39A0"/>
    <w:rsid w:val="00BC4530"/>
    <w:rsid w:val="00BC5918"/>
    <w:rsid w:val="00BC696F"/>
    <w:rsid w:val="00BD0999"/>
    <w:rsid w:val="00BD3A94"/>
    <w:rsid w:val="00BD3F4F"/>
    <w:rsid w:val="00BD48BA"/>
    <w:rsid w:val="00BD4E33"/>
    <w:rsid w:val="00BE3709"/>
    <w:rsid w:val="00BE4D5D"/>
    <w:rsid w:val="00BE7912"/>
    <w:rsid w:val="00BE79FA"/>
    <w:rsid w:val="00BF0A9B"/>
    <w:rsid w:val="00BF17C6"/>
    <w:rsid w:val="00BF21B3"/>
    <w:rsid w:val="00BF278A"/>
    <w:rsid w:val="00BF6E7E"/>
    <w:rsid w:val="00BF7D9A"/>
    <w:rsid w:val="00C00318"/>
    <w:rsid w:val="00C00D80"/>
    <w:rsid w:val="00C02159"/>
    <w:rsid w:val="00C030DE"/>
    <w:rsid w:val="00C031BD"/>
    <w:rsid w:val="00C051A8"/>
    <w:rsid w:val="00C065AD"/>
    <w:rsid w:val="00C14D17"/>
    <w:rsid w:val="00C165E2"/>
    <w:rsid w:val="00C173BA"/>
    <w:rsid w:val="00C20605"/>
    <w:rsid w:val="00C20CBC"/>
    <w:rsid w:val="00C21434"/>
    <w:rsid w:val="00C217C1"/>
    <w:rsid w:val="00C21C88"/>
    <w:rsid w:val="00C22105"/>
    <w:rsid w:val="00C244B6"/>
    <w:rsid w:val="00C24953"/>
    <w:rsid w:val="00C27BF1"/>
    <w:rsid w:val="00C3068C"/>
    <w:rsid w:val="00C3207B"/>
    <w:rsid w:val="00C32904"/>
    <w:rsid w:val="00C339DA"/>
    <w:rsid w:val="00C33B8E"/>
    <w:rsid w:val="00C34BD8"/>
    <w:rsid w:val="00C35E36"/>
    <w:rsid w:val="00C3702F"/>
    <w:rsid w:val="00C37493"/>
    <w:rsid w:val="00C41D9A"/>
    <w:rsid w:val="00C425C1"/>
    <w:rsid w:val="00C42EB5"/>
    <w:rsid w:val="00C4500A"/>
    <w:rsid w:val="00C470C9"/>
    <w:rsid w:val="00C47404"/>
    <w:rsid w:val="00C54256"/>
    <w:rsid w:val="00C54B86"/>
    <w:rsid w:val="00C60921"/>
    <w:rsid w:val="00C618C2"/>
    <w:rsid w:val="00C61D23"/>
    <w:rsid w:val="00C62238"/>
    <w:rsid w:val="00C64A37"/>
    <w:rsid w:val="00C65815"/>
    <w:rsid w:val="00C65FC4"/>
    <w:rsid w:val="00C70B90"/>
    <w:rsid w:val="00C7158E"/>
    <w:rsid w:val="00C7250B"/>
    <w:rsid w:val="00C727B3"/>
    <w:rsid w:val="00C7346B"/>
    <w:rsid w:val="00C7479A"/>
    <w:rsid w:val="00C762C2"/>
    <w:rsid w:val="00C77319"/>
    <w:rsid w:val="00C77B88"/>
    <w:rsid w:val="00C77C0E"/>
    <w:rsid w:val="00C77C7D"/>
    <w:rsid w:val="00C80551"/>
    <w:rsid w:val="00C80D2A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97A9A"/>
    <w:rsid w:val="00CA107B"/>
    <w:rsid w:val="00CA34ED"/>
    <w:rsid w:val="00CA484D"/>
    <w:rsid w:val="00CA4870"/>
    <w:rsid w:val="00CA4FB6"/>
    <w:rsid w:val="00CA5E9D"/>
    <w:rsid w:val="00CB0066"/>
    <w:rsid w:val="00CB19B0"/>
    <w:rsid w:val="00CB2F6C"/>
    <w:rsid w:val="00CB2F90"/>
    <w:rsid w:val="00CB59E2"/>
    <w:rsid w:val="00CB68C5"/>
    <w:rsid w:val="00CB6AD4"/>
    <w:rsid w:val="00CB6C07"/>
    <w:rsid w:val="00CB74DA"/>
    <w:rsid w:val="00CC4A02"/>
    <w:rsid w:val="00CC4D62"/>
    <w:rsid w:val="00CC739E"/>
    <w:rsid w:val="00CD0EB5"/>
    <w:rsid w:val="00CD0F28"/>
    <w:rsid w:val="00CD1B5B"/>
    <w:rsid w:val="00CD1B79"/>
    <w:rsid w:val="00CD1EBB"/>
    <w:rsid w:val="00CD2864"/>
    <w:rsid w:val="00CD28CF"/>
    <w:rsid w:val="00CD58B7"/>
    <w:rsid w:val="00CD7967"/>
    <w:rsid w:val="00CE1114"/>
    <w:rsid w:val="00CE1557"/>
    <w:rsid w:val="00CE2806"/>
    <w:rsid w:val="00CE2D22"/>
    <w:rsid w:val="00CE2F16"/>
    <w:rsid w:val="00CE4C76"/>
    <w:rsid w:val="00CF0A54"/>
    <w:rsid w:val="00CF18EE"/>
    <w:rsid w:val="00CF2FE4"/>
    <w:rsid w:val="00CF30BD"/>
    <w:rsid w:val="00CF4099"/>
    <w:rsid w:val="00CF46D3"/>
    <w:rsid w:val="00D00796"/>
    <w:rsid w:val="00D02481"/>
    <w:rsid w:val="00D0538F"/>
    <w:rsid w:val="00D0554F"/>
    <w:rsid w:val="00D11EA6"/>
    <w:rsid w:val="00D125D3"/>
    <w:rsid w:val="00D154A8"/>
    <w:rsid w:val="00D20758"/>
    <w:rsid w:val="00D216E0"/>
    <w:rsid w:val="00D24478"/>
    <w:rsid w:val="00D2494F"/>
    <w:rsid w:val="00D25B7D"/>
    <w:rsid w:val="00D261A2"/>
    <w:rsid w:val="00D30DB1"/>
    <w:rsid w:val="00D32895"/>
    <w:rsid w:val="00D3769E"/>
    <w:rsid w:val="00D4070B"/>
    <w:rsid w:val="00D40F7A"/>
    <w:rsid w:val="00D41463"/>
    <w:rsid w:val="00D43088"/>
    <w:rsid w:val="00D433A6"/>
    <w:rsid w:val="00D43709"/>
    <w:rsid w:val="00D43CE6"/>
    <w:rsid w:val="00D46490"/>
    <w:rsid w:val="00D46E45"/>
    <w:rsid w:val="00D506DD"/>
    <w:rsid w:val="00D50B16"/>
    <w:rsid w:val="00D51CBE"/>
    <w:rsid w:val="00D5388B"/>
    <w:rsid w:val="00D5452D"/>
    <w:rsid w:val="00D54593"/>
    <w:rsid w:val="00D55CF2"/>
    <w:rsid w:val="00D56104"/>
    <w:rsid w:val="00D5669B"/>
    <w:rsid w:val="00D606B8"/>
    <w:rsid w:val="00D616D2"/>
    <w:rsid w:val="00D63100"/>
    <w:rsid w:val="00D63B5F"/>
    <w:rsid w:val="00D63C45"/>
    <w:rsid w:val="00D64B7E"/>
    <w:rsid w:val="00D64C78"/>
    <w:rsid w:val="00D66762"/>
    <w:rsid w:val="00D6695D"/>
    <w:rsid w:val="00D70343"/>
    <w:rsid w:val="00D706E5"/>
    <w:rsid w:val="00D70B6B"/>
    <w:rsid w:val="00D70EF7"/>
    <w:rsid w:val="00D73EA0"/>
    <w:rsid w:val="00D76602"/>
    <w:rsid w:val="00D778D4"/>
    <w:rsid w:val="00D77EE2"/>
    <w:rsid w:val="00D77FFC"/>
    <w:rsid w:val="00D816A7"/>
    <w:rsid w:val="00D8397C"/>
    <w:rsid w:val="00D86920"/>
    <w:rsid w:val="00D903E2"/>
    <w:rsid w:val="00D90408"/>
    <w:rsid w:val="00D92353"/>
    <w:rsid w:val="00D94840"/>
    <w:rsid w:val="00D94EED"/>
    <w:rsid w:val="00D96026"/>
    <w:rsid w:val="00D96705"/>
    <w:rsid w:val="00D96C34"/>
    <w:rsid w:val="00D972F6"/>
    <w:rsid w:val="00DA113E"/>
    <w:rsid w:val="00DA1AFC"/>
    <w:rsid w:val="00DA331D"/>
    <w:rsid w:val="00DA3A3E"/>
    <w:rsid w:val="00DA5C20"/>
    <w:rsid w:val="00DA6941"/>
    <w:rsid w:val="00DA7AE5"/>
    <w:rsid w:val="00DA7C1C"/>
    <w:rsid w:val="00DB147A"/>
    <w:rsid w:val="00DB1B7A"/>
    <w:rsid w:val="00DB25EA"/>
    <w:rsid w:val="00DB5406"/>
    <w:rsid w:val="00DB706E"/>
    <w:rsid w:val="00DB7A92"/>
    <w:rsid w:val="00DC02ED"/>
    <w:rsid w:val="00DC1363"/>
    <w:rsid w:val="00DC20AE"/>
    <w:rsid w:val="00DC3B75"/>
    <w:rsid w:val="00DC3CD7"/>
    <w:rsid w:val="00DC64D6"/>
    <w:rsid w:val="00DC6708"/>
    <w:rsid w:val="00DC7887"/>
    <w:rsid w:val="00DD00C1"/>
    <w:rsid w:val="00DD011A"/>
    <w:rsid w:val="00DD3096"/>
    <w:rsid w:val="00DD4BDC"/>
    <w:rsid w:val="00DE2400"/>
    <w:rsid w:val="00DE2DD0"/>
    <w:rsid w:val="00DE4E58"/>
    <w:rsid w:val="00DE5360"/>
    <w:rsid w:val="00DE58F1"/>
    <w:rsid w:val="00DE5CDC"/>
    <w:rsid w:val="00DE6B58"/>
    <w:rsid w:val="00DF1B46"/>
    <w:rsid w:val="00DF403C"/>
    <w:rsid w:val="00DF45AF"/>
    <w:rsid w:val="00DF46EC"/>
    <w:rsid w:val="00DF5E32"/>
    <w:rsid w:val="00E01436"/>
    <w:rsid w:val="00E03E79"/>
    <w:rsid w:val="00E045BD"/>
    <w:rsid w:val="00E04B42"/>
    <w:rsid w:val="00E04D6C"/>
    <w:rsid w:val="00E05DF4"/>
    <w:rsid w:val="00E07238"/>
    <w:rsid w:val="00E07CD9"/>
    <w:rsid w:val="00E1115C"/>
    <w:rsid w:val="00E125A6"/>
    <w:rsid w:val="00E13867"/>
    <w:rsid w:val="00E13BA9"/>
    <w:rsid w:val="00E13F02"/>
    <w:rsid w:val="00E14162"/>
    <w:rsid w:val="00E166C3"/>
    <w:rsid w:val="00E16AD1"/>
    <w:rsid w:val="00E17B77"/>
    <w:rsid w:val="00E21A6C"/>
    <w:rsid w:val="00E22701"/>
    <w:rsid w:val="00E231AB"/>
    <w:rsid w:val="00E23337"/>
    <w:rsid w:val="00E242AD"/>
    <w:rsid w:val="00E259EA"/>
    <w:rsid w:val="00E25B70"/>
    <w:rsid w:val="00E25D33"/>
    <w:rsid w:val="00E32061"/>
    <w:rsid w:val="00E33F48"/>
    <w:rsid w:val="00E34125"/>
    <w:rsid w:val="00E348A0"/>
    <w:rsid w:val="00E34924"/>
    <w:rsid w:val="00E34B51"/>
    <w:rsid w:val="00E35806"/>
    <w:rsid w:val="00E36ACF"/>
    <w:rsid w:val="00E37EE9"/>
    <w:rsid w:val="00E41916"/>
    <w:rsid w:val="00E42FF9"/>
    <w:rsid w:val="00E441AB"/>
    <w:rsid w:val="00E44790"/>
    <w:rsid w:val="00E4714C"/>
    <w:rsid w:val="00E5178D"/>
    <w:rsid w:val="00E51AEB"/>
    <w:rsid w:val="00E51B4C"/>
    <w:rsid w:val="00E522A7"/>
    <w:rsid w:val="00E5349E"/>
    <w:rsid w:val="00E54452"/>
    <w:rsid w:val="00E55B02"/>
    <w:rsid w:val="00E62380"/>
    <w:rsid w:val="00E63B0C"/>
    <w:rsid w:val="00E64A4C"/>
    <w:rsid w:val="00E664C5"/>
    <w:rsid w:val="00E66CCA"/>
    <w:rsid w:val="00E671A2"/>
    <w:rsid w:val="00E70150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4101"/>
    <w:rsid w:val="00E85571"/>
    <w:rsid w:val="00E85DAD"/>
    <w:rsid w:val="00E85EA4"/>
    <w:rsid w:val="00E86703"/>
    <w:rsid w:val="00E874B1"/>
    <w:rsid w:val="00E92D23"/>
    <w:rsid w:val="00E93773"/>
    <w:rsid w:val="00E95036"/>
    <w:rsid w:val="00E9588B"/>
    <w:rsid w:val="00E959BE"/>
    <w:rsid w:val="00E95B8E"/>
    <w:rsid w:val="00E972F5"/>
    <w:rsid w:val="00E97F66"/>
    <w:rsid w:val="00EA03A0"/>
    <w:rsid w:val="00EA1692"/>
    <w:rsid w:val="00EA338F"/>
    <w:rsid w:val="00EA5536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4E3F"/>
    <w:rsid w:val="00EB556D"/>
    <w:rsid w:val="00EB5A2B"/>
    <w:rsid w:val="00EB5A7D"/>
    <w:rsid w:val="00EB5CD4"/>
    <w:rsid w:val="00EC00A4"/>
    <w:rsid w:val="00EC1CFE"/>
    <w:rsid w:val="00EC6C23"/>
    <w:rsid w:val="00EC758B"/>
    <w:rsid w:val="00ED04D0"/>
    <w:rsid w:val="00ED293D"/>
    <w:rsid w:val="00ED3916"/>
    <w:rsid w:val="00ED55C0"/>
    <w:rsid w:val="00ED5763"/>
    <w:rsid w:val="00ED65A3"/>
    <w:rsid w:val="00ED682B"/>
    <w:rsid w:val="00EE12B1"/>
    <w:rsid w:val="00EE163D"/>
    <w:rsid w:val="00EE3736"/>
    <w:rsid w:val="00EE41D5"/>
    <w:rsid w:val="00EE47B7"/>
    <w:rsid w:val="00EE6572"/>
    <w:rsid w:val="00EE713C"/>
    <w:rsid w:val="00EE7B9B"/>
    <w:rsid w:val="00EF17A9"/>
    <w:rsid w:val="00EF1E52"/>
    <w:rsid w:val="00EF3C19"/>
    <w:rsid w:val="00EF4612"/>
    <w:rsid w:val="00F014E2"/>
    <w:rsid w:val="00F0166F"/>
    <w:rsid w:val="00F033B2"/>
    <w:rsid w:val="00F037A4"/>
    <w:rsid w:val="00F039C9"/>
    <w:rsid w:val="00F049AB"/>
    <w:rsid w:val="00F06125"/>
    <w:rsid w:val="00F06B5B"/>
    <w:rsid w:val="00F1001A"/>
    <w:rsid w:val="00F107DB"/>
    <w:rsid w:val="00F11998"/>
    <w:rsid w:val="00F13C90"/>
    <w:rsid w:val="00F142DB"/>
    <w:rsid w:val="00F1576E"/>
    <w:rsid w:val="00F1596B"/>
    <w:rsid w:val="00F16AFE"/>
    <w:rsid w:val="00F170D4"/>
    <w:rsid w:val="00F20151"/>
    <w:rsid w:val="00F2400C"/>
    <w:rsid w:val="00F24064"/>
    <w:rsid w:val="00F27C8F"/>
    <w:rsid w:val="00F32749"/>
    <w:rsid w:val="00F3391A"/>
    <w:rsid w:val="00F34AD8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0D1F"/>
    <w:rsid w:val="00F5252B"/>
    <w:rsid w:val="00F5262B"/>
    <w:rsid w:val="00F53EA1"/>
    <w:rsid w:val="00F54147"/>
    <w:rsid w:val="00F55C72"/>
    <w:rsid w:val="00F55ED1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65B"/>
    <w:rsid w:val="00F8192C"/>
    <w:rsid w:val="00F8259E"/>
    <w:rsid w:val="00F83725"/>
    <w:rsid w:val="00F8492D"/>
    <w:rsid w:val="00F86024"/>
    <w:rsid w:val="00F8611A"/>
    <w:rsid w:val="00F86C6F"/>
    <w:rsid w:val="00F874DD"/>
    <w:rsid w:val="00F908DB"/>
    <w:rsid w:val="00F90E2F"/>
    <w:rsid w:val="00F92983"/>
    <w:rsid w:val="00F944F2"/>
    <w:rsid w:val="00F96306"/>
    <w:rsid w:val="00FA1359"/>
    <w:rsid w:val="00FA1EA2"/>
    <w:rsid w:val="00FA5128"/>
    <w:rsid w:val="00FA73A3"/>
    <w:rsid w:val="00FA7C8A"/>
    <w:rsid w:val="00FB2893"/>
    <w:rsid w:val="00FB3FF8"/>
    <w:rsid w:val="00FB42D4"/>
    <w:rsid w:val="00FB5906"/>
    <w:rsid w:val="00FB7251"/>
    <w:rsid w:val="00FB762F"/>
    <w:rsid w:val="00FB7ACD"/>
    <w:rsid w:val="00FC1F1E"/>
    <w:rsid w:val="00FC218E"/>
    <w:rsid w:val="00FC2AED"/>
    <w:rsid w:val="00FC3AC7"/>
    <w:rsid w:val="00FC4142"/>
    <w:rsid w:val="00FC5CA7"/>
    <w:rsid w:val="00FD08AE"/>
    <w:rsid w:val="00FD307F"/>
    <w:rsid w:val="00FD5EA7"/>
    <w:rsid w:val="00FD6383"/>
    <w:rsid w:val="00FE164E"/>
    <w:rsid w:val="00FE1972"/>
    <w:rsid w:val="00FE3084"/>
    <w:rsid w:val="00FE36CF"/>
    <w:rsid w:val="00FE517A"/>
    <w:rsid w:val="00FE5646"/>
    <w:rsid w:val="00FF0246"/>
    <w:rsid w:val="00FF3B31"/>
    <w:rsid w:val="00FF5846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172AD2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D0A5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0A5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0A5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0A5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D0A5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7D0A51"/>
    <w:rPr>
      <w:rFonts w:ascii="Fira Sans" w:hAnsi="Fira Sans"/>
      <w:color w:val="FFFFFF" w:themeColor="background1"/>
      <w:sz w:val="20"/>
    </w:rPr>
  </w:style>
  <w:style w:type="paragraph" w:customStyle="1" w:styleId="Ramka-ikonawskanika">
    <w:name w:val="Ramka - ikona wskaźnika"/>
    <w:basedOn w:val="Normalny"/>
    <w:link w:val="Ramka-ikonawskanikaZnak"/>
    <w:qFormat/>
    <w:rsid w:val="003E2874"/>
    <w:pPr>
      <w:suppressAutoHyphens w:val="0"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3E2874"/>
    <w:rPr>
      <w:rFonts w:ascii="Fira Sans SemiBold" w:hAnsi="Fira Sans SemiBold"/>
      <w:color w:val="66AFDE"/>
      <w:sz w:val="60"/>
      <w:szCs w:val="60"/>
    </w:rPr>
  </w:style>
  <w:style w:type="paragraph" w:customStyle="1" w:styleId="tekstzboku">
    <w:name w:val="tekst z boku"/>
    <w:basedOn w:val="Normalny"/>
    <w:qFormat/>
    <w:rsid w:val="0035004D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hipercza">
    <w:name w:val="hiperłącza"/>
    <w:link w:val="hiperczaZnak"/>
    <w:qFormat/>
    <w:rsid w:val="00047033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hiperczaZnak">
    <w:name w:val="hiperłącza Znak"/>
    <w:basedOn w:val="Domylnaczcionkaakapitu"/>
    <w:link w:val="hipercza"/>
    <w:rsid w:val="00047033"/>
    <w:rPr>
      <w:rFonts w:ascii="Fira Sans" w:hAnsi="Fira Sans"/>
      <w:color w:val="0000FF"/>
      <w:sz w:val="19"/>
      <w:u w:val="single"/>
    </w:rPr>
  </w:style>
  <w:style w:type="paragraph" w:customStyle="1" w:styleId="Tekstzbokuwramcenaszarympolu">
    <w:name w:val="Tekst z boku w ramce na szarym polu"/>
    <w:basedOn w:val="Normalny"/>
    <w:qFormat/>
    <w:rsid w:val="00726447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s://dbw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katowice.stat.gov.pl/" TargetMode="Externa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hyperlink" Target="https://www.facebook.com/StatKatowic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twitter.com/Katowice_STAT" TargetMode="External"/><Relationship Id="rId28" Type="http://schemas.openxmlformats.org/officeDocument/2006/relationships/hyperlink" Target="https://stat.gov.pl/metainformacje/slownik-pojec/pojecia-stosowane-w-statystyce-publicznej/3060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file:///\\10.5.0.1\OBR_Poligrafia\DRUKOWANIE_2021\INFORMACJE%20SYGNALNE\2026\03%20-%20Rodzinna%20piecza%20zast&#281;pcza\Wykres%202.png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stat.gov.pl/metainformacje/slownik-pojec/pojecia-stosowane-w-statystyce-publicznej/1356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1058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Infografika sygnalna - Piecza zastępcza w woj. śląskim w 2025 r.</vt:lpstr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- Piecza zastępcza w województwie śląskim w 2025 r.</dc:title>
  <dc:subject/>
  <dc:creator>Urząd Statystyczny w Katowicach</dc:creator>
  <cp:keywords/>
  <dc:description/>
  <cp:lastModifiedBy>Słota Jadwiga</cp:lastModifiedBy>
  <cp:revision>4</cp:revision>
  <cp:lastPrinted>2026-04-30T11:57:00Z</cp:lastPrinted>
  <dcterms:created xsi:type="dcterms:W3CDTF">2026-05-05T05:41:00Z</dcterms:created>
  <dcterms:modified xsi:type="dcterms:W3CDTF">2026-05-05T06:07:00Z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