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040CF" w14:textId="77777777" w:rsidR="00A619B7" w:rsidRDefault="004E43BB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Wyniki finansowe przedsiębiorstw niefinansowych </w:t>
      </w:r>
      <w:r>
        <w:rPr>
          <w:shd w:val="clear" w:color="auto" w:fill="FFFFFF"/>
        </w:rPr>
        <w:br/>
        <w:t xml:space="preserve">w województwie zachodniopomorskim w </w:t>
      </w:r>
      <w:r w:rsidR="00FD2691">
        <w:rPr>
          <w:shd w:val="clear" w:color="auto" w:fill="FFFFFF"/>
        </w:rPr>
        <w:t xml:space="preserve">2024 </w:t>
      </w:r>
      <w:r>
        <w:rPr>
          <w:shd w:val="clear" w:color="auto" w:fill="FFFFFF"/>
        </w:rPr>
        <w:t>r</w:t>
      </w:r>
      <w:r w:rsidR="007039A4">
        <w:rPr>
          <w:shd w:val="clear" w:color="auto" w:fill="FFFFFF"/>
        </w:rPr>
        <w:t>.</w:t>
      </w:r>
    </w:p>
    <w:p w14:paraId="7DBD1904" w14:textId="77777777" w:rsidR="00E44E5C" w:rsidRDefault="00E44E5C" w:rsidP="00074DD8">
      <w:pPr>
        <w:pStyle w:val="tytuinformacji"/>
        <w:rPr>
          <w:shd w:val="clear" w:color="auto" w:fill="FFFFFF"/>
        </w:rPr>
      </w:pPr>
    </w:p>
    <w:p w14:paraId="63BC772A" w14:textId="28948CDE" w:rsidR="008826DE" w:rsidRPr="00997E1F" w:rsidRDefault="004558E8" w:rsidP="00BF4C28">
      <w:pPr>
        <w:pStyle w:val="Lead"/>
        <w:spacing w:line="240" w:lineRule="exact"/>
      </w:pPr>
      <w:r w:rsidRPr="007039A4">
        <w:rPr>
          <w:color w:val="FF0000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45E94D3" wp14:editId="077C4A2C">
                <wp:simplePos x="0" y="0"/>
                <wp:positionH relativeFrom="margin">
                  <wp:posOffset>47625</wp:posOffset>
                </wp:positionH>
                <wp:positionV relativeFrom="paragraph">
                  <wp:posOffset>226060</wp:posOffset>
                </wp:positionV>
                <wp:extent cx="2052000" cy="1043940"/>
                <wp:effectExtent l="0" t="0" r="5715" b="3810"/>
                <wp:wrapSquare wrapText="bothSides"/>
                <wp:docPr id="20" name="Pole tekstowe 2" descr="Spadek przychodów ogółem r/r o 4,6%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00" cy="10439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922C8" w14:textId="30A03718" w:rsidR="00A05623" w:rsidRPr="009B2A4A" w:rsidRDefault="00DB2FB0" w:rsidP="004730B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13"/>
                              <w:jc w:val="both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 w:rsidR="00DE0E13" w:rsidRPr="00A979B5">
                              <w:rPr>
                                <w:rStyle w:val="IkonawskanikaZnak"/>
                                <w:color w:val="FFFFFF" w:themeColor="background1"/>
                              </w:rPr>
                              <w:t xml:space="preserve"> </w:t>
                            </w:r>
                            <w:r w:rsidR="00FD791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4,6</w:t>
                            </w:r>
                            <w:r w:rsidR="00A05623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08F83D5C" w14:textId="77777777" w:rsidR="00A05623" w:rsidRPr="007D605C" w:rsidRDefault="00A05623" w:rsidP="004730B3">
                            <w:pPr>
                              <w:pStyle w:val="tekstnaniebieskimtle"/>
                              <w:ind w:left="-113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Spadek </w:t>
                            </w:r>
                            <w:r w:rsidR="00FD791A">
                              <w:t>przychodów ogółem</w:t>
                            </w:r>
                            <w: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E94D3" id="Pole tekstowe 2" o:spid="_x0000_s1026" alt="Tytuł: Opis wskaźnika — opis: Spadek przychodów ogółem r/r o 4,6%" style="position:absolute;margin-left:3.75pt;margin-top:17.8pt;width:161.55pt;height:82.2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" fillcolor="#001d77" stroked="f">
                <v:stroke joinstyle="miter"/>
                <v:textbox>
                  <w:txbxContent>
                    <w:p w14:paraId="763922C8" w14:textId="30A03718" w:rsidR="00A05623" w:rsidRPr="009B2A4A" w:rsidRDefault="00DB2FB0" w:rsidP="004730B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13"/>
                        <w:jc w:val="both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2"/>
                      </w:r>
                      <w:r w:rsidR="00DE0E13" w:rsidRPr="00A979B5">
                        <w:rPr>
                          <w:rStyle w:val="IkonawskanikaZnak"/>
                          <w:color w:val="FFFFFF" w:themeColor="background1"/>
                        </w:rPr>
                        <w:t xml:space="preserve"> </w:t>
                      </w:r>
                      <w:r w:rsidR="00FD791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4,6</w:t>
                      </w:r>
                      <w:r w:rsidR="00A05623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08F83D5C" w14:textId="77777777" w:rsidR="00A05623" w:rsidRPr="007D605C" w:rsidRDefault="00A05623" w:rsidP="004730B3">
                      <w:pPr>
                        <w:pStyle w:val="tekstnaniebieskimtle"/>
                        <w:ind w:left="-113"/>
                        <w:rPr>
                          <w:sz w:val="18"/>
                          <w:szCs w:val="20"/>
                        </w:rPr>
                      </w:pPr>
                      <w:r>
                        <w:t xml:space="preserve">Spadek </w:t>
                      </w:r>
                      <w:r w:rsidR="00FD791A">
                        <w:t>przychodów ogółem</w:t>
                      </w:r>
                      <w: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64834" w:rsidRPr="00B64834">
        <w:t xml:space="preserve">W </w:t>
      </w:r>
      <w:r w:rsidR="00FD2691" w:rsidRPr="00B64834">
        <w:t>202</w:t>
      </w:r>
      <w:r w:rsidR="00FD2691">
        <w:t xml:space="preserve">4 </w:t>
      </w:r>
      <w:r w:rsidR="008A41F1">
        <w:t xml:space="preserve">r. </w:t>
      </w:r>
      <w:r w:rsidR="00FD791A">
        <w:t xml:space="preserve">wyniki finansowe badanych przedsiębiorstw </w:t>
      </w:r>
      <w:r w:rsidR="007376CF">
        <w:t xml:space="preserve">niefinansowych były niższe </w:t>
      </w:r>
      <w:r w:rsidR="004730B3">
        <w:br/>
      </w:r>
      <w:r w:rsidR="007376CF">
        <w:t xml:space="preserve">od uzyskanych rok wcześniej. Odnotowano spadek przychodów ogółem (o 4,6%) i kosztów ogółem </w:t>
      </w:r>
      <w:r w:rsidR="004730B3">
        <w:br/>
      </w:r>
      <w:r w:rsidR="007376CF">
        <w:t>(o 3,6%). Pogorszeniu uległy wskaźniki ekonomiczno-finansowe</w:t>
      </w:r>
      <w:r w:rsidR="008A41F1" w:rsidRPr="003137C3">
        <w:rPr>
          <w:spacing w:val="-4"/>
        </w:rPr>
        <w:t xml:space="preserve">. </w:t>
      </w:r>
      <w:r w:rsidR="008A41F1">
        <w:t xml:space="preserve">Wartość nakładów inwestycyjnych </w:t>
      </w:r>
      <w:r w:rsidR="00C35B7E">
        <w:t>w skali roku zmniejszyła się nie</w:t>
      </w:r>
      <w:r w:rsidR="0036775F">
        <w:t>mal o jedną trzecią.</w:t>
      </w:r>
      <w:r w:rsidR="00FD3CE9">
        <w:t xml:space="preserve"> </w:t>
      </w:r>
    </w:p>
    <w:p w14:paraId="50347440" w14:textId="77777777" w:rsidR="008826DE" w:rsidRDefault="008826DE" w:rsidP="008826DE">
      <w:pPr>
        <w:rPr>
          <w:shd w:val="clear" w:color="auto" w:fill="FFFFFF"/>
        </w:rPr>
      </w:pPr>
    </w:p>
    <w:p w14:paraId="075CADF8" w14:textId="18448562" w:rsidR="00B64834" w:rsidRDefault="0074543D" w:rsidP="00B33788">
      <w:r w:rsidRPr="00E430C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449A0AB" wp14:editId="3992F33F">
                <wp:simplePos x="0" y="0"/>
                <wp:positionH relativeFrom="page">
                  <wp:posOffset>5649595</wp:posOffset>
                </wp:positionH>
                <wp:positionV relativeFrom="paragraph">
                  <wp:posOffset>852805</wp:posOffset>
                </wp:positionV>
                <wp:extent cx="1898650" cy="1501140"/>
                <wp:effectExtent l="0" t="0" r="0" b="3810"/>
                <wp:wrapTight wrapText="bothSides">
                  <wp:wrapPolygon edited="0">
                    <wp:start x="650" y="0"/>
                    <wp:lineTo x="650" y="21381"/>
                    <wp:lineTo x="20805" y="21381"/>
                    <wp:lineTo x="20805" y="0"/>
                    <wp:lineTo x="650" y="0"/>
                  </wp:wrapPolygon>
                </wp:wrapTight>
                <wp:docPr id="11" name="Pole tekstowe 2" descr="Wśród badanych przedsiębiorstw 75,1% przychodów ogółem stanowiły przychody uzyskane przez przedsiębiorstwa prowadzące działalność w zakresie przetwórstwa przemysłowego oraz handlu; napraw pojazdów samochodowych (wobec 79,9% przed rokiem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D50FD" w14:textId="0466C4C2" w:rsidR="00A05623" w:rsidRPr="00C717E2" w:rsidRDefault="00A05623" w:rsidP="00B33788">
                            <w:pPr>
                              <w:pStyle w:val="tekstzboku"/>
                            </w:pPr>
                            <w:r w:rsidRPr="00C717E2">
                              <w:t xml:space="preserve">Wśród badanych przedsiębiorstw </w:t>
                            </w:r>
                            <w:r w:rsidR="00C35B7E">
                              <w:t>75,1</w:t>
                            </w:r>
                            <w:r w:rsidRPr="00C717E2">
                              <w:t xml:space="preserve">% przychodów </w:t>
                            </w:r>
                            <w:r w:rsidR="00215964">
                              <w:br/>
                            </w:r>
                            <w:r w:rsidRPr="00C717E2">
                              <w:t xml:space="preserve">ogółem stanowiły przychody uzyskane przez przedsiębiorstwa prowadzące działalność w zakresie </w:t>
                            </w:r>
                            <w:r w:rsidR="00141EE3" w:rsidRPr="00141EE3">
                              <w:t>przetwórstwa przemysłowego</w:t>
                            </w:r>
                            <w:r w:rsidRPr="00C717E2">
                              <w:t xml:space="preserve"> oraz handlu; </w:t>
                            </w:r>
                            <w:r w:rsidRPr="00B43897">
                              <w:rPr>
                                <w:spacing w:val="-2"/>
                              </w:rPr>
                              <w:t xml:space="preserve">napraw pojazdów samochodowych (wobec </w:t>
                            </w:r>
                            <w:r w:rsidR="00C35B7E">
                              <w:rPr>
                                <w:spacing w:val="-2"/>
                              </w:rPr>
                              <w:t>79,9</w:t>
                            </w:r>
                            <w:r w:rsidRPr="00B43897">
                              <w:rPr>
                                <w:spacing w:val="-2"/>
                              </w:rPr>
                              <w:t>% przed rokiem)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9A0A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śród badanych przedsiębiorstw 75,1% przychodów ogółem stanowiły przychody uzyskane przez przedsiębiorstwa prowadzące działalność w zakresie przetwórstwa przemysłowego oraz handlu; napraw pojazdów samochodowych (wobec 79,9% przed rokiem)&#10;" style="position:absolute;margin-left:444.85pt;margin-top:67.15pt;width:149.5pt;height:118.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" filled="f" stroked="f">
                <v:textbox>
                  <w:txbxContent>
                    <w:p w14:paraId="332D50FD" w14:textId="0466C4C2" w:rsidR="00A05623" w:rsidRPr="00C717E2" w:rsidRDefault="00A05623" w:rsidP="00B33788">
                      <w:pPr>
                        <w:pStyle w:val="tekstzboku"/>
                      </w:pPr>
                      <w:r w:rsidRPr="00C717E2">
                        <w:t xml:space="preserve">Wśród badanych przedsiębiorstw </w:t>
                      </w:r>
                      <w:r w:rsidR="00C35B7E">
                        <w:t>75,1</w:t>
                      </w:r>
                      <w:r w:rsidRPr="00C717E2">
                        <w:t xml:space="preserve">% przychodów </w:t>
                      </w:r>
                      <w:r w:rsidR="00215964">
                        <w:br/>
                      </w:r>
                      <w:r w:rsidRPr="00C717E2">
                        <w:t xml:space="preserve">ogółem stanowiły przychody uzyskane przez przedsiębiorstwa prowadzące działalność w zakresie </w:t>
                      </w:r>
                      <w:r w:rsidR="00141EE3" w:rsidRPr="00141EE3">
                        <w:t>przetwórstwa przemysłowego</w:t>
                      </w:r>
                      <w:r w:rsidRPr="00C717E2">
                        <w:t xml:space="preserve"> oraz handlu; </w:t>
                      </w:r>
                      <w:r w:rsidRPr="00B43897">
                        <w:rPr>
                          <w:spacing w:val="-2"/>
                        </w:rPr>
                        <w:t xml:space="preserve">napraw pojazdów samochodowych (wobec </w:t>
                      </w:r>
                      <w:r w:rsidR="00C35B7E">
                        <w:rPr>
                          <w:spacing w:val="-2"/>
                        </w:rPr>
                        <w:t>79,9</w:t>
                      </w:r>
                      <w:r w:rsidRPr="00B43897">
                        <w:rPr>
                          <w:spacing w:val="-2"/>
                        </w:rPr>
                        <w:t>% przed rokiem)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826DE" w:rsidRPr="00E231AB">
        <w:rPr>
          <w:shd w:val="clear" w:color="auto" w:fill="FFFFFF"/>
        </w:rPr>
        <w:br/>
      </w:r>
      <w:r w:rsidR="00B64834" w:rsidRPr="00B64834">
        <w:t xml:space="preserve">W </w:t>
      </w:r>
      <w:r w:rsidR="00FD2691" w:rsidRPr="00B64834">
        <w:t>202</w:t>
      </w:r>
      <w:r w:rsidR="00FD2691">
        <w:t>4</w:t>
      </w:r>
      <w:r w:rsidR="00FD2691" w:rsidRPr="00B64834">
        <w:t xml:space="preserve"> </w:t>
      </w:r>
      <w:r w:rsidR="00B64834" w:rsidRPr="00B64834">
        <w:t xml:space="preserve">r. badaniem wyników finansowych objęto </w:t>
      </w:r>
      <w:r w:rsidR="00E06AC0">
        <w:t>1 806</w:t>
      </w:r>
      <w:r w:rsidR="000831F3" w:rsidRPr="00B64834">
        <w:t xml:space="preserve"> </w:t>
      </w:r>
      <w:r w:rsidR="00B64834" w:rsidRPr="00B64834">
        <w:t>przedsiębiorstw niefinansowych</w:t>
      </w:r>
      <w:r w:rsidR="007039A4">
        <w:rPr>
          <w:rStyle w:val="Odwoanieprzypisudolnego"/>
        </w:rPr>
        <w:footnoteReference w:id="1"/>
      </w:r>
      <w:r w:rsidR="00B64834" w:rsidRPr="00B64834">
        <w:t xml:space="preserve">, </w:t>
      </w:r>
      <w:r w:rsidR="003137C3">
        <w:br/>
      </w:r>
      <w:r w:rsidR="00B64834" w:rsidRPr="00B64834">
        <w:t>tj. o</w:t>
      </w:r>
      <w:r w:rsidR="003137C3">
        <w:t xml:space="preserve"> </w:t>
      </w:r>
      <w:r w:rsidR="00E06AC0">
        <w:t>13</w:t>
      </w:r>
      <w:r w:rsidR="00E06AC0" w:rsidRPr="00B64834">
        <w:t xml:space="preserve"> </w:t>
      </w:r>
      <w:r w:rsidR="00E06AC0">
        <w:t>mniej</w:t>
      </w:r>
      <w:r w:rsidR="00E06AC0" w:rsidRPr="00B64834">
        <w:t xml:space="preserve"> </w:t>
      </w:r>
      <w:r w:rsidR="00B64834" w:rsidRPr="00B64834">
        <w:t xml:space="preserve">niż w </w:t>
      </w:r>
      <w:r w:rsidR="00E06AC0" w:rsidRPr="00B64834">
        <w:t>202</w:t>
      </w:r>
      <w:r w:rsidR="00E06AC0">
        <w:t>3</w:t>
      </w:r>
      <w:r w:rsidR="00E06AC0" w:rsidRPr="00B64834">
        <w:t xml:space="preserve"> </w:t>
      </w:r>
      <w:r w:rsidR="00B64834" w:rsidRPr="00B64834">
        <w:t xml:space="preserve">r. Wśród podmiotów przeważały jednostki </w:t>
      </w:r>
      <w:r w:rsidR="000831F3">
        <w:t>średnie (o liczbie pracujących 50</w:t>
      </w:r>
      <w:r w:rsidR="00B33788">
        <w:t>–</w:t>
      </w:r>
      <w:r w:rsidR="000831F3">
        <w:t xml:space="preserve">249 osób) </w:t>
      </w:r>
      <w:r w:rsidR="00B64834" w:rsidRPr="00B64834">
        <w:t xml:space="preserve">i stanowiły one </w:t>
      </w:r>
      <w:r w:rsidR="005A3335" w:rsidRPr="00B64834">
        <w:t>6</w:t>
      </w:r>
      <w:r w:rsidR="005A3335">
        <w:t>6</w:t>
      </w:r>
      <w:r w:rsidR="00B64834" w:rsidRPr="00B64834">
        <w:t>,</w:t>
      </w:r>
      <w:r w:rsidR="00FD3E89">
        <w:t>2</w:t>
      </w:r>
      <w:r w:rsidR="00B64834" w:rsidRPr="00B64834">
        <w:t>% badanej grupy. Udz</w:t>
      </w:r>
      <w:r w:rsidR="00B64834">
        <w:t xml:space="preserve">iał podmiotów </w:t>
      </w:r>
      <w:r w:rsidR="000831F3">
        <w:t xml:space="preserve">dużych </w:t>
      </w:r>
      <w:r w:rsidR="00B64834">
        <w:t>o liczbie pracują</w:t>
      </w:r>
      <w:r w:rsidR="00B64834" w:rsidRPr="00B64834">
        <w:t xml:space="preserve">cych </w:t>
      </w:r>
      <w:r w:rsidR="000831F3">
        <w:t>2</w:t>
      </w:r>
      <w:r w:rsidR="00B64834" w:rsidRPr="00B64834">
        <w:t xml:space="preserve">50 osób i więcej wyniósł </w:t>
      </w:r>
      <w:r w:rsidR="005A3335" w:rsidRPr="00B64834">
        <w:t>3</w:t>
      </w:r>
      <w:r w:rsidR="005A3335">
        <w:t>3</w:t>
      </w:r>
      <w:r w:rsidR="00B64834" w:rsidRPr="00B64834">
        <w:t>,</w:t>
      </w:r>
      <w:r w:rsidR="00FD3E89">
        <w:t>8</w:t>
      </w:r>
      <w:r w:rsidR="00B64834" w:rsidRPr="00B64834">
        <w:t>%.</w:t>
      </w:r>
    </w:p>
    <w:p w14:paraId="098ABA18" w14:textId="77777777" w:rsidR="00897258" w:rsidRDefault="00B64834" w:rsidP="00B33788">
      <w:r w:rsidRPr="00B43897">
        <w:rPr>
          <w:spacing w:val="-2"/>
        </w:rPr>
        <w:t xml:space="preserve">Przychody z całokształtu działalności badanych podmiotów w </w:t>
      </w:r>
      <w:r w:rsidR="00FD3E89" w:rsidRPr="00B43897">
        <w:rPr>
          <w:spacing w:val="-2"/>
        </w:rPr>
        <w:t>202</w:t>
      </w:r>
      <w:r w:rsidR="00FD3E89">
        <w:rPr>
          <w:spacing w:val="-2"/>
        </w:rPr>
        <w:t>4</w:t>
      </w:r>
      <w:r w:rsidR="00FD3E89" w:rsidRPr="00B43897">
        <w:rPr>
          <w:spacing w:val="-2"/>
        </w:rPr>
        <w:t xml:space="preserve"> </w:t>
      </w:r>
      <w:r w:rsidRPr="00B43897">
        <w:rPr>
          <w:spacing w:val="-2"/>
        </w:rPr>
        <w:t xml:space="preserve">r. wyniosły </w:t>
      </w:r>
      <w:r w:rsidR="00FD3E89">
        <w:rPr>
          <w:rFonts w:cs="Arial"/>
          <w:color w:val="000000" w:themeColor="text1"/>
          <w:spacing w:val="-2"/>
          <w:szCs w:val="19"/>
        </w:rPr>
        <w:t>114</w:t>
      </w:r>
      <w:r w:rsidR="00A51EFC">
        <w:rPr>
          <w:rFonts w:cs="Arial"/>
          <w:color w:val="000000" w:themeColor="text1"/>
          <w:spacing w:val="-2"/>
          <w:szCs w:val="19"/>
        </w:rPr>
        <w:t xml:space="preserve"> </w:t>
      </w:r>
      <w:r w:rsidR="00FD3E89">
        <w:rPr>
          <w:rFonts w:cs="Arial"/>
          <w:color w:val="000000" w:themeColor="text1"/>
          <w:spacing w:val="-2"/>
          <w:szCs w:val="19"/>
        </w:rPr>
        <w:t>680,9</w:t>
      </w:r>
      <w:r w:rsidR="000C106F" w:rsidRPr="00B43897">
        <w:rPr>
          <w:spacing w:val="-2"/>
        </w:rPr>
        <w:t xml:space="preserve"> </w:t>
      </w:r>
      <w:r w:rsidRPr="00B43897">
        <w:rPr>
          <w:spacing w:val="-2"/>
        </w:rPr>
        <w:t>mln zł</w:t>
      </w:r>
      <w:r>
        <w:t xml:space="preserve"> (o </w:t>
      </w:r>
      <w:r w:rsidR="00FD3E89">
        <w:t>4,6</w:t>
      </w:r>
      <w:r>
        <w:t xml:space="preserve">% </w:t>
      </w:r>
      <w:r w:rsidR="007C0A8F">
        <w:t xml:space="preserve">mniej </w:t>
      </w:r>
      <w:r>
        <w:t xml:space="preserve">niż przed rokiem), a koszty ich uzyskania – </w:t>
      </w:r>
      <w:r w:rsidR="00FD3E89">
        <w:rPr>
          <w:rFonts w:cs="Arial"/>
          <w:color w:val="000000" w:themeColor="text1"/>
          <w:szCs w:val="19"/>
        </w:rPr>
        <w:t>109</w:t>
      </w:r>
      <w:r w:rsidR="00A51EFC">
        <w:rPr>
          <w:rFonts w:cs="Arial"/>
          <w:color w:val="000000" w:themeColor="text1"/>
          <w:szCs w:val="19"/>
        </w:rPr>
        <w:t xml:space="preserve"> </w:t>
      </w:r>
      <w:r w:rsidR="00FD3E89">
        <w:rPr>
          <w:rFonts w:cs="Arial"/>
          <w:color w:val="000000" w:themeColor="text1"/>
          <w:szCs w:val="19"/>
        </w:rPr>
        <w:t>959,5</w:t>
      </w:r>
      <w:r>
        <w:t xml:space="preserve"> mln zł (o </w:t>
      </w:r>
      <w:r w:rsidR="00FD3E89">
        <w:t>3,6</w:t>
      </w:r>
      <w:r>
        <w:t xml:space="preserve">% </w:t>
      </w:r>
      <w:r w:rsidR="007C0A8F">
        <w:t>mniej</w:t>
      </w:r>
      <w:r>
        <w:t xml:space="preserve">). </w:t>
      </w:r>
      <w:r w:rsidR="007C1F4D">
        <w:br/>
      </w:r>
      <w:r>
        <w:t xml:space="preserve">Nieznacznie </w:t>
      </w:r>
      <w:r w:rsidR="000C106F">
        <w:t>zwiększył się</w:t>
      </w:r>
      <w:r>
        <w:t xml:space="preserve"> wskaźnik poziomu kosztów (z </w:t>
      </w:r>
      <w:r w:rsidR="007C0A8F">
        <w:t>94,</w:t>
      </w:r>
      <w:r w:rsidR="00FD3E89">
        <w:t>9</w:t>
      </w:r>
      <w:r>
        <w:t xml:space="preserve">% w </w:t>
      </w:r>
      <w:r w:rsidR="00FD3E89">
        <w:t xml:space="preserve">2023 </w:t>
      </w:r>
      <w:r>
        <w:t xml:space="preserve">r. do </w:t>
      </w:r>
      <w:r w:rsidR="00FD3E89">
        <w:t>95</w:t>
      </w:r>
      <w:r w:rsidR="000C106F">
        <w:t>,</w:t>
      </w:r>
      <w:r w:rsidR="007C0A8F">
        <w:t>9</w:t>
      </w:r>
      <w:r>
        <w:t xml:space="preserve">%). </w:t>
      </w:r>
      <w:r w:rsidR="007C0A8F">
        <w:t xml:space="preserve">Niższe </w:t>
      </w:r>
      <w:r>
        <w:t xml:space="preserve">niż </w:t>
      </w:r>
      <w:r w:rsidRPr="003137C3">
        <w:rPr>
          <w:spacing w:val="-2"/>
        </w:rPr>
        <w:t>przed rokiem były przychody netto ze sprzedaży produktów, towarów i materiałów oraz koszty</w:t>
      </w:r>
      <w:r>
        <w:t xml:space="preserve"> tej działalności (odpowiednio o </w:t>
      </w:r>
      <w:r w:rsidR="00FD3E89">
        <w:t>4,4</w:t>
      </w:r>
      <w:r>
        <w:t xml:space="preserve">% i </w:t>
      </w:r>
      <w:r w:rsidR="00B00AD4">
        <w:t xml:space="preserve">o </w:t>
      </w:r>
      <w:r w:rsidR="00FD3E89">
        <w:t>3,4</w:t>
      </w:r>
      <w:r>
        <w:t xml:space="preserve">%). Poziom przychodów netto ze sprzedaży produktów, towarów i materiałów na eksport był o </w:t>
      </w:r>
      <w:r w:rsidR="0009087D">
        <w:t>7,7</w:t>
      </w:r>
      <w:r>
        <w:t xml:space="preserve">% </w:t>
      </w:r>
      <w:r w:rsidR="00624DD0">
        <w:t xml:space="preserve">niższy </w:t>
      </w:r>
      <w:r>
        <w:t xml:space="preserve">niż w </w:t>
      </w:r>
      <w:r w:rsidR="0009087D">
        <w:t xml:space="preserve">2023 </w:t>
      </w:r>
      <w:r>
        <w:t xml:space="preserve">r. Udział tych </w:t>
      </w:r>
      <w:r w:rsidRPr="00AF59A5">
        <w:rPr>
          <w:spacing w:val="-2"/>
        </w:rPr>
        <w:t>przychodów w przychodach netto ze sprzedaży produktów, towarów i materiałów ogółu badanych</w:t>
      </w:r>
      <w:r>
        <w:t xml:space="preserve"> podmiotów </w:t>
      </w:r>
      <w:r w:rsidR="00575F81">
        <w:t xml:space="preserve">zmniejszył </w:t>
      </w:r>
      <w:r>
        <w:t xml:space="preserve">się z </w:t>
      </w:r>
      <w:r w:rsidR="008B6140">
        <w:t>32,</w:t>
      </w:r>
      <w:r w:rsidR="0009087D">
        <w:t>3</w:t>
      </w:r>
      <w:r>
        <w:t xml:space="preserve">% do </w:t>
      </w:r>
      <w:r w:rsidR="005842E9">
        <w:t>31,0</w:t>
      </w:r>
      <w:r>
        <w:t>%.</w:t>
      </w:r>
    </w:p>
    <w:p w14:paraId="2A11EAA2" w14:textId="27B870BD" w:rsidR="00B64834" w:rsidRDefault="00B33788" w:rsidP="00B33788">
      <w:r w:rsidRPr="00B3378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43BD6A52" wp14:editId="394EBD8E">
                <wp:simplePos x="0" y="0"/>
                <wp:positionH relativeFrom="page">
                  <wp:posOffset>5669915</wp:posOffset>
                </wp:positionH>
                <wp:positionV relativeFrom="paragraph">
                  <wp:posOffset>654685</wp:posOffset>
                </wp:positionV>
                <wp:extent cx="1877695" cy="804545"/>
                <wp:effectExtent l="0" t="0" r="0" b="0"/>
                <wp:wrapTight wrapText="bothSides">
                  <wp:wrapPolygon edited="0">
                    <wp:start x="657" y="0"/>
                    <wp:lineTo x="657" y="20969"/>
                    <wp:lineTo x="20818" y="20969"/>
                    <wp:lineTo x="20818" y="0"/>
                    <wp:lineTo x="657" y="0"/>
                  </wp:wrapPolygon>
                </wp:wrapTight>
                <wp:docPr id="13" name="Pole tekstowe 2" descr="W przetwórstwie przemysłowym zysk netto odnotowało 68,3% jednostek (przed rokiem – 76,6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695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0568" w14:textId="72B875C3" w:rsidR="004F49BF" w:rsidRPr="004F49BF" w:rsidRDefault="004F49BF" w:rsidP="00B33788">
                            <w:pPr>
                              <w:pStyle w:val="tekstzboku"/>
                            </w:pPr>
                            <w:r w:rsidRPr="00B43897">
                              <w:t xml:space="preserve">W przetwórstwie przemysłowym zysk netto </w:t>
                            </w:r>
                            <w:r w:rsidRPr="00B33788">
                              <w:t>odnotowało</w:t>
                            </w:r>
                            <w:r w:rsidRPr="00B43897">
                              <w:t xml:space="preserve"> </w:t>
                            </w:r>
                            <w:r w:rsidR="00864787">
                              <w:t>68,3</w:t>
                            </w:r>
                            <w:r w:rsidRPr="00B43897">
                              <w:t xml:space="preserve">% jednostek (przed rokiem </w:t>
                            </w:r>
                            <w:r w:rsidR="00B33788">
                              <w:br/>
                            </w:r>
                            <w:r w:rsidRPr="00B43897">
                              <w:t xml:space="preserve">– </w:t>
                            </w:r>
                            <w:r w:rsidR="00864787">
                              <w:t>76,6</w:t>
                            </w:r>
                            <w:r w:rsidRPr="00B43897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D6A52" id="_x0000_s1028" type="#_x0000_t202" alt="W przetwórstwie przemysłowym zysk netto odnotowało 68,3% jednostek (przed rokiem – 76,6%)" style="position:absolute;margin-left:446.45pt;margin-top:51.55pt;width:147.85pt;height:63.3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" filled="f" stroked="f">
                <v:textbox>
                  <w:txbxContent>
                    <w:p w14:paraId="57950568" w14:textId="72B875C3" w:rsidR="004F49BF" w:rsidRPr="004F49BF" w:rsidRDefault="004F49BF" w:rsidP="00B33788">
                      <w:pPr>
                        <w:pStyle w:val="tekstzboku"/>
                      </w:pPr>
                      <w:r w:rsidRPr="00B43897">
                        <w:t xml:space="preserve">W przetwórstwie przemysłowym zysk netto </w:t>
                      </w:r>
                      <w:r w:rsidRPr="00B33788">
                        <w:t>odnotowało</w:t>
                      </w:r>
                      <w:r w:rsidRPr="00B43897">
                        <w:t xml:space="preserve"> </w:t>
                      </w:r>
                      <w:r w:rsidR="00864787">
                        <w:t>68,3</w:t>
                      </w:r>
                      <w:r w:rsidRPr="00B43897">
                        <w:t xml:space="preserve">% jednostek (przed rokiem </w:t>
                      </w:r>
                      <w:r w:rsidR="00B33788">
                        <w:br/>
                      </w:r>
                      <w:r w:rsidRPr="00B43897">
                        <w:t xml:space="preserve">– </w:t>
                      </w:r>
                      <w:r w:rsidR="00864787">
                        <w:t>76,6</w:t>
                      </w:r>
                      <w:r w:rsidRPr="00B43897"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64834">
        <w:t xml:space="preserve">Wynik finansowy </w:t>
      </w:r>
      <w:r w:rsidR="00A51EFC">
        <w:t xml:space="preserve">na </w:t>
      </w:r>
      <w:r w:rsidR="00B64834">
        <w:t xml:space="preserve">sprzedaży produktów, towarów i materiałów wyniósł </w:t>
      </w:r>
      <w:r w:rsidR="00F76BCA">
        <w:rPr>
          <w:rFonts w:cs="Arial"/>
          <w:color w:val="000000" w:themeColor="text1"/>
          <w:szCs w:val="19"/>
        </w:rPr>
        <w:t>4</w:t>
      </w:r>
      <w:r w:rsidR="00A51EFC">
        <w:rPr>
          <w:rFonts w:cs="Arial"/>
          <w:color w:val="000000" w:themeColor="text1"/>
          <w:szCs w:val="19"/>
        </w:rPr>
        <w:t xml:space="preserve"> </w:t>
      </w:r>
      <w:r w:rsidR="00F76BCA">
        <w:rPr>
          <w:rFonts w:cs="Arial"/>
          <w:color w:val="000000" w:themeColor="text1"/>
          <w:szCs w:val="19"/>
        </w:rPr>
        <w:t>193,5</w:t>
      </w:r>
      <w:r w:rsidR="00B64834">
        <w:t xml:space="preserve"> mln zł i był </w:t>
      </w:r>
      <w:r w:rsidR="00AF59A5">
        <w:br/>
      </w:r>
      <w:r w:rsidR="00B64834">
        <w:t>o</w:t>
      </w:r>
      <w:r w:rsidR="00AF59A5">
        <w:t xml:space="preserve"> </w:t>
      </w:r>
      <w:r w:rsidR="00CA3DE9">
        <w:t>1</w:t>
      </w:r>
      <w:r w:rsidR="00A51EFC">
        <w:t xml:space="preserve"> </w:t>
      </w:r>
      <w:r w:rsidR="00F76BCA">
        <w:t>304</w:t>
      </w:r>
      <w:r w:rsidR="00CA3DE9">
        <w:t>,</w:t>
      </w:r>
      <w:r w:rsidR="00F76BCA">
        <w:t xml:space="preserve">9 </w:t>
      </w:r>
      <w:r w:rsidR="001352BD">
        <w:t>mln</w:t>
      </w:r>
      <w:r w:rsidR="00B64834">
        <w:t xml:space="preserve"> zł </w:t>
      </w:r>
      <w:r w:rsidR="00CA3DE9">
        <w:t xml:space="preserve">niższy </w:t>
      </w:r>
      <w:r w:rsidR="00B64834">
        <w:t xml:space="preserve">niż w </w:t>
      </w:r>
      <w:r w:rsidR="00F76BCA">
        <w:t xml:space="preserve">2023 </w:t>
      </w:r>
      <w:r w:rsidR="00B64834">
        <w:t xml:space="preserve">r. Wynik finansowy z pozostałej działalności operacyjnej </w:t>
      </w:r>
      <w:r w:rsidR="00AF59A5">
        <w:br/>
      </w:r>
      <w:r w:rsidR="00B64834">
        <w:t>w</w:t>
      </w:r>
      <w:r w:rsidR="00AF59A5">
        <w:t xml:space="preserve"> </w:t>
      </w:r>
      <w:r w:rsidR="00B64834">
        <w:t xml:space="preserve">skali roku </w:t>
      </w:r>
      <w:r w:rsidR="00F76BCA">
        <w:t xml:space="preserve">zwiększył </w:t>
      </w:r>
      <w:r w:rsidR="003F3A5A">
        <w:t>się</w:t>
      </w:r>
      <w:r w:rsidR="00B64834">
        <w:t xml:space="preserve"> o </w:t>
      </w:r>
      <w:r w:rsidR="00F76BCA">
        <w:t>238,4</w:t>
      </w:r>
      <w:r w:rsidR="00B64834">
        <w:t xml:space="preserve"> mln zł do </w:t>
      </w:r>
      <w:r w:rsidR="00F76BCA">
        <w:t>789,4</w:t>
      </w:r>
      <w:r w:rsidR="00B64834">
        <w:t xml:space="preserve"> mln zł</w:t>
      </w:r>
      <w:r w:rsidR="00B64834" w:rsidRPr="00610479">
        <w:t xml:space="preserve">. </w:t>
      </w:r>
      <w:r w:rsidR="00B64834" w:rsidRPr="0074543D">
        <w:t xml:space="preserve">Wynik na operacjach finansowych </w:t>
      </w:r>
      <w:r w:rsidR="00F76BCA">
        <w:t xml:space="preserve">znacznie obniżył się </w:t>
      </w:r>
      <w:r w:rsidR="00B64834" w:rsidRPr="0074543D">
        <w:t xml:space="preserve">do </w:t>
      </w:r>
      <w:r w:rsidR="00F76BCA">
        <w:t>min</w:t>
      </w:r>
      <w:r w:rsidR="00BF577B">
        <w:t>u</w:t>
      </w:r>
      <w:r w:rsidR="00F76BCA">
        <w:t>s 261,5</w:t>
      </w:r>
      <w:r w:rsidR="001352BD" w:rsidRPr="0074543D">
        <w:t xml:space="preserve"> </w:t>
      </w:r>
      <w:r w:rsidR="00B64834" w:rsidRPr="0074543D">
        <w:t xml:space="preserve">mln zł (wobec </w:t>
      </w:r>
      <w:r w:rsidR="00F76BCA">
        <w:t>72</w:t>
      </w:r>
      <w:r w:rsidR="0091761A">
        <w:t>,0</w:t>
      </w:r>
      <w:r w:rsidR="00B64834" w:rsidRPr="0074543D">
        <w:t xml:space="preserve"> mln zł w roku poprzednim</w:t>
      </w:r>
      <w:r w:rsidR="00B64834">
        <w:t>)</w:t>
      </w:r>
      <w:r w:rsidR="00712103">
        <w:t>.</w:t>
      </w:r>
    </w:p>
    <w:p w14:paraId="0C63205F" w14:textId="076E261A" w:rsidR="00B64834" w:rsidRDefault="00B64834">
      <w:r w:rsidRPr="00B33788">
        <w:t xml:space="preserve">Wynik finansowy brutto wyniósł </w:t>
      </w:r>
      <w:r w:rsidR="00BF577B" w:rsidRPr="00B33788">
        <w:t>4</w:t>
      </w:r>
      <w:r w:rsidR="00A51EFC" w:rsidRPr="00B33788">
        <w:t xml:space="preserve"> </w:t>
      </w:r>
      <w:r w:rsidR="00BF577B" w:rsidRPr="00B33788">
        <w:t xml:space="preserve">721,4 </w:t>
      </w:r>
      <w:r w:rsidRPr="00B33788">
        <w:t xml:space="preserve">mln zł (wobec </w:t>
      </w:r>
      <w:r w:rsidR="00BF577B" w:rsidRPr="00B33788">
        <w:t>6 121,4</w:t>
      </w:r>
      <w:r w:rsidRPr="00B33788">
        <w:t xml:space="preserve">mln zł przed rokiem), a jego </w:t>
      </w:r>
      <w:r w:rsidR="007C1F4D" w:rsidRPr="00B33788">
        <w:br/>
      </w:r>
      <w:r w:rsidRPr="00B33788">
        <w:t xml:space="preserve">obciążenia ukształtowały się na poziomie </w:t>
      </w:r>
      <w:r w:rsidR="00BF577B" w:rsidRPr="00B33788">
        <w:t>821,1</w:t>
      </w:r>
      <w:r w:rsidRPr="00B33788">
        <w:t xml:space="preserve"> mln zł (wobec </w:t>
      </w:r>
      <w:r w:rsidR="00BF577B" w:rsidRPr="00B33788">
        <w:t>812,2</w:t>
      </w:r>
      <w:r w:rsidR="00E72110" w:rsidRPr="00B33788">
        <w:t xml:space="preserve"> </w:t>
      </w:r>
      <w:r w:rsidRPr="00B33788">
        <w:t xml:space="preserve">mln zł). Wynik finansowy netto wyniósł </w:t>
      </w:r>
      <w:r w:rsidR="00BF577B" w:rsidRPr="00B33788">
        <w:t>3 900,3</w:t>
      </w:r>
      <w:r w:rsidRPr="00B33788">
        <w:t xml:space="preserve"> mln zł i był o </w:t>
      </w:r>
      <w:r w:rsidR="0044434E" w:rsidRPr="00B33788">
        <w:t>26,5</w:t>
      </w:r>
      <w:r w:rsidRPr="00B33788">
        <w:t xml:space="preserve">% </w:t>
      </w:r>
      <w:r w:rsidR="00E72110" w:rsidRPr="00B33788">
        <w:t xml:space="preserve">niższy </w:t>
      </w:r>
      <w:r w:rsidRPr="00B33788">
        <w:t xml:space="preserve">niż w </w:t>
      </w:r>
      <w:r w:rsidR="0044434E" w:rsidRPr="00B33788">
        <w:t xml:space="preserve">2023 </w:t>
      </w:r>
      <w:r w:rsidRPr="00B33788">
        <w:t xml:space="preserve">r. Zysk netto wyniósł </w:t>
      </w:r>
      <w:r w:rsidR="0044434E" w:rsidRPr="00B33788">
        <w:t>5 410,4</w:t>
      </w:r>
      <w:r w:rsidRPr="00B33788">
        <w:t xml:space="preserve">mln zł, tj. o </w:t>
      </w:r>
      <w:r w:rsidR="0044434E" w:rsidRPr="00B33788">
        <w:t>16,3</w:t>
      </w:r>
      <w:r w:rsidRPr="00B33788">
        <w:t xml:space="preserve">% </w:t>
      </w:r>
      <w:r w:rsidR="00DE68E5" w:rsidRPr="00B33788">
        <w:t xml:space="preserve">mniej </w:t>
      </w:r>
      <w:r w:rsidRPr="00B33788">
        <w:t xml:space="preserve">od uzyskanego w roku poprzednim. Strata netto ukształtowała się na poziomie </w:t>
      </w:r>
      <w:r w:rsidR="0044434E" w:rsidRPr="00B33788">
        <w:t>1 510,0</w:t>
      </w:r>
      <w:r w:rsidRPr="00B33788">
        <w:t xml:space="preserve"> mln zł i zwiększyła się o </w:t>
      </w:r>
      <w:r w:rsidR="0044434E" w:rsidRPr="00B33788">
        <w:t>niemal jedną trzecią.</w:t>
      </w:r>
      <w:r w:rsidRPr="00B33788">
        <w:t xml:space="preserve"> Zysk netto wykazało </w:t>
      </w:r>
      <w:r w:rsidR="00075E0E" w:rsidRPr="00B33788">
        <w:t>74,6</w:t>
      </w:r>
      <w:r w:rsidRPr="00B33788">
        <w:t xml:space="preserve">% ogółu przedsiębiorstw (wobec </w:t>
      </w:r>
      <w:r w:rsidR="00075E0E" w:rsidRPr="00B33788">
        <w:t>78,6</w:t>
      </w:r>
      <w:r w:rsidRPr="00B33788">
        <w:t>% przed rokiem)</w:t>
      </w:r>
      <w:r>
        <w:t xml:space="preserve">. </w:t>
      </w:r>
    </w:p>
    <w:p w14:paraId="51DD95FB" w14:textId="77777777" w:rsidR="007039A4" w:rsidRDefault="007039A4" w:rsidP="00B64834"/>
    <w:p w14:paraId="3CCFA43D" w14:textId="77777777" w:rsidR="00C16F88" w:rsidRPr="00454A82" w:rsidRDefault="008C04BC" w:rsidP="00624F14">
      <w:pPr>
        <w:pStyle w:val="tytuwykresu"/>
      </w:pPr>
      <w:r w:rsidRPr="00454A82">
        <w:lastRenderedPageBreak/>
        <w:t>Tablica 1. Podstawowe dane o badanych podmiotach</w:t>
      </w:r>
      <w:r w:rsidR="009879D6" w:rsidRPr="00454A82">
        <w:t xml:space="preserve"> </w:t>
      </w:r>
    </w:p>
    <w:tbl>
      <w:tblPr>
        <w:tblW w:w="7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odstawowe dane o badanych podmiotach "/>
      </w:tblPr>
      <w:tblGrid>
        <w:gridCol w:w="3860"/>
        <w:gridCol w:w="1320"/>
        <w:gridCol w:w="1320"/>
        <w:gridCol w:w="1480"/>
      </w:tblGrid>
      <w:tr w:rsidR="0014094E" w:rsidRPr="00957F9B" w14:paraId="1060B450" w14:textId="77777777" w:rsidTr="00E108AC">
        <w:trPr>
          <w:trHeight w:val="420"/>
        </w:trPr>
        <w:tc>
          <w:tcPr>
            <w:tcW w:w="386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04DC7AC6" w14:textId="77777777" w:rsidR="0014094E" w:rsidRPr="006E1881" w:rsidRDefault="00454A82" w:rsidP="00EE5BB8">
            <w:pPr>
              <w:pStyle w:val="glowkatablicy"/>
            </w:pPr>
            <w:r w:rsidRPr="006E1881">
              <w:t>Wyszczególnienie</w:t>
            </w:r>
          </w:p>
        </w:tc>
        <w:tc>
          <w:tcPr>
            <w:tcW w:w="132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195EC3C4" w14:textId="77777777" w:rsidR="0014094E" w:rsidRPr="006E1881" w:rsidRDefault="004F7BB9" w:rsidP="00C264F6">
            <w:pPr>
              <w:pStyle w:val="glowkatablicy"/>
            </w:pPr>
            <w:r>
              <w:t xml:space="preserve">01-12 </w:t>
            </w:r>
            <w:r w:rsidR="0014094E" w:rsidRPr="006E1881">
              <w:t>20</w:t>
            </w:r>
            <w:r w:rsidR="00923B5C" w:rsidRPr="006E1881">
              <w:t>2</w:t>
            </w:r>
            <w:r w:rsidR="00C264F6">
              <w:t>3</w:t>
            </w:r>
          </w:p>
        </w:tc>
        <w:tc>
          <w:tcPr>
            <w:tcW w:w="132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vAlign w:val="center"/>
          </w:tcPr>
          <w:p w14:paraId="6388F4C4" w14:textId="77777777" w:rsidR="0014094E" w:rsidRPr="006E1881" w:rsidRDefault="004F7BB9" w:rsidP="00C264F6">
            <w:pPr>
              <w:pStyle w:val="glowkatablicy"/>
            </w:pPr>
            <w:r>
              <w:t xml:space="preserve">01-12 </w:t>
            </w:r>
            <w:r w:rsidR="0014094E" w:rsidRPr="006E1881">
              <w:t>20</w:t>
            </w:r>
            <w:r w:rsidR="001D6288" w:rsidRPr="006E1881">
              <w:t>2</w:t>
            </w:r>
            <w:r w:rsidR="00C264F6">
              <w:t>4</w:t>
            </w:r>
          </w:p>
        </w:tc>
        <w:tc>
          <w:tcPr>
            <w:tcW w:w="1480" w:type="dxa"/>
            <w:vMerge w:val="restart"/>
            <w:tcBorders>
              <w:top w:val="single" w:sz="4" w:space="0" w:color="001D77"/>
              <w:left w:val="single" w:sz="4" w:space="0" w:color="212492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1822F6BF" w14:textId="77777777" w:rsidR="0014094E" w:rsidRPr="006E1881" w:rsidRDefault="004F7BB9" w:rsidP="00C264F6">
            <w:pPr>
              <w:pStyle w:val="glowkatablicy"/>
            </w:pPr>
            <w:r>
              <w:t xml:space="preserve">01-12 </w:t>
            </w:r>
            <w:r w:rsidR="0014094E" w:rsidRPr="006E1881">
              <w:t>20</w:t>
            </w:r>
            <w:r w:rsidR="00923B5C" w:rsidRPr="006E1881">
              <w:t>2</w:t>
            </w:r>
            <w:r w:rsidR="00C264F6">
              <w:t>3</w:t>
            </w:r>
            <w:r w:rsidR="0014094E" w:rsidRPr="006E1881">
              <w:t>=100</w:t>
            </w:r>
          </w:p>
        </w:tc>
      </w:tr>
      <w:tr w:rsidR="0014094E" w:rsidRPr="00957F9B" w14:paraId="59745119" w14:textId="77777777" w:rsidTr="00E108AC">
        <w:trPr>
          <w:trHeight w:val="420"/>
        </w:trPr>
        <w:tc>
          <w:tcPr>
            <w:tcW w:w="386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8F21A01" w14:textId="77777777" w:rsidR="0014094E" w:rsidRPr="00957F9B" w:rsidRDefault="0014094E" w:rsidP="008E5BA8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40" w:type="dxa"/>
            <w:gridSpan w:val="2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ADC9A5E" w14:textId="77777777" w:rsidR="0014094E" w:rsidRPr="00E108AC" w:rsidRDefault="0014094E" w:rsidP="00EE5BB8">
            <w:pPr>
              <w:pStyle w:val="glowkatablicy"/>
            </w:pPr>
            <w:r w:rsidRPr="00E108AC">
              <w:t>w milionach złotych</w:t>
            </w:r>
          </w:p>
        </w:tc>
        <w:tc>
          <w:tcPr>
            <w:tcW w:w="1480" w:type="dxa"/>
            <w:vMerge/>
            <w:tcBorders>
              <w:top w:val="single" w:sz="4" w:space="0" w:color="001D77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6C1AC13E" w14:textId="77777777" w:rsidR="0014094E" w:rsidRDefault="0014094E" w:rsidP="00E47508">
            <w:pPr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</w:tr>
      <w:tr w:rsidR="00DC4264" w:rsidRPr="00957F9B" w14:paraId="02B95DB3" w14:textId="77777777" w:rsidTr="00B33788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E58035F" w14:textId="77777777" w:rsidR="00DC4264" w:rsidRPr="00E108AC" w:rsidRDefault="00DC4264" w:rsidP="00DC4264">
            <w:pPr>
              <w:pStyle w:val="boczek"/>
            </w:pPr>
            <w:r w:rsidRPr="00E108AC">
              <w:t>Przychody z całokształtu działalności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18644CD" w14:textId="77777777" w:rsidR="00DC4264" w:rsidRPr="00B33788" w:rsidRDefault="00DC4264" w:rsidP="00B33788">
            <w:pPr>
              <w:spacing w:before="100" w:after="100"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 w:themeColor="text1"/>
                <w:szCs w:val="19"/>
              </w:rPr>
              <w:t>120 234,9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70A5EE3" w14:textId="77777777" w:rsidR="00DC4264" w:rsidRPr="00B33788" w:rsidRDefault="00DC4264" w:rsidP="00B33788">
            <w:pPr>
              <w:spacing w:before="100" w:after="100"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Calibri"/>
                <w:color w:val="000000"/>
                <w:szCs w:val="19"/>
              </w:rPr>
              <w:t>114 680,9</w:t>
            </w:r>
          </w:p>
        </w:tc>
        <w:tc>
          <w:tcPr>
            <w:tcW w:w="148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73E71263" w14:textId="77777777" w:rsidR="00DC4264" w:rsidRPr="00B33788" w:rsidRDefault="00DC4264" w:rsidP="00B33788">
            <w:pPr>
              <w:spacing w:before="100" w:after="100"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Calibri"/>
                <w:color w:val="000000"/>
                <w:szCs w:val="19"/>
              </w:rPr>
              <w:t>95,4</w:t>
            </w:r>
          </w:p>
        </w:tc>
      </w:tr>
      <w:tr w:rsidR="00DC4264" w:rsidRPr="00957F9B" w14:paraId="44579C26" w14:textId="77777777" w:rsidTr="00B33788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C4C47B7" w14:textId="77777777" w:rsidR="00DC4264" w:rsidRPr="00E108AC" w:rsidRDefault="00DC4264" w:rsidP="00DC4264">
            <w:pPr>
              <w:pStyle w:val="boczek1wciecie"/>
              <w:spacing w:before="120" w:after="120" w:line="240" w:lineRule="exact"/>
            </w:pPr>
            <w:r w:rsidRPr="00E108AC">
              <w:t xml:space="preserve">w tym przychody netto ze sprzedaży </w:t>
            </w:r>
            <w:r>
              <w:br/>
            </w:r>
            <w:r w:rsidRPr="00E108AC">
              <w:t>produktów, towarów i materiałów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567E6FD" w14:textId="77777777" w:rsidR="00DC4264" w:rsidRPr="00B33788" w:rsidRDefault="00DC4264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 w:themeColor="text1"/>
                <w:szCs w:val="19"/>
              </w:rPr>
              <w:t>116 966,6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E154888" w14:textId="77777777" w:rsidR="00DC4264" w:rsidRPr="00B33788" w:rsidRDefault="00DC4264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111 861,3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418C7454" w14:textId="77777777" w:rsidR="00DC4264" w:rsidRPr="00B33788" w:rsidRDefault="00DC4264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95,6</w:t>
            </w:r>
          </w:p>
        </w:tc>
      </w:tr>
      <w:tr w:rsidR="00DC4264" w:rsidRPr="00957F9B" w14:paraId="3C0EB969" w14:textId="77777777" w:rsidTr="00B33788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00E2B47" w14:textId="77777777" w:rsidR="00DC4264" w:rsidRPr="00E108AC" w:rsidRDefault="00DC4264" w:rsidP="00DC4264">
            <w:pPr>
              <w:pStyle w:val="boczek"/>
            </w:pPr>
            <w:r w:rsidRPr="00E108AC">
              <w:t xml:space="preserve">Koszty uzyskania przychodów </w:t>
            </w:r>
            <w:r>
              <w:br/>
            </w:r>
            <w:r w:rsidRPr="00E108AC">
              <w:t>z całokształtu działalności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A9F3BF3" w14:textId="77777777" w:rsidR="00DC4264" w:rsidRPr="00B33788" w:rsidRDefault="00DC4264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 w:themeColor="text1"/>
                <w:szCs w:val="19"/>
              </w:rPr>
              <w:t>114 113,5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9CBCE89" w14:textId="77777777" w:rsidR="00DC4264" w:rsidRPr="00B33788" w:rsidRDefault="00DC4264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109 959,5</w:t>
            </w:r>
          </w:p>
        </w:tc>
        <w:tc>
          <w:tcPr>
            <w:tcW w:w="1480" w:type="dxa"/>
            <w:tcBorders>
              <w:top w:val="nil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1ABF683D" w14:textId="77777777" w:rsidR="00DC4264" w:rsidRPr="00B33788" w:rsidRDefault="00DC4264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96,4</w:t>
            </w:r>
          </w:p>
        </w:tc>
      </w:tr>
      <w:tr w:rsidR="00AF16EF" w:rsidRPr="00957F9B" w14:paraId="61555AB9" w14:textId="77777777" w:rsidTr="00B33788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BEBD567" w14:textId="77777777" w:rsidR="00AF16EF" w:rsidRPr="00E108AC" w:rsidRDefault="00AF16EF" w:rsidP="00AF16EF">
            <w:pPr>
              <w:pStyle w:val="boczek1wciecie"/>
              <w:spacing w:before="120" w:after="120" w:line="240" w:lineRule="exact"/>
            </w:pPr>
            <w:r w:rsidRPr="00E108AC">
              <w:t>w tym koszty sprzedanych produktów, towarów i materiałów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166853E" w14:textId="77777777" w:rsidR="00AF16EF" w:rsidRPr="00B33788" w:rsidRDefault="00AF16EF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 w:themeColor="text1"/>
                <w:szCs w:val="19"/>
              </w:rPr>
              <w:t>111 468,2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512778A" w14:textId="77777777" w:rsidR="00AF16EF" w:rsidRPr="00B33788" w:rsidRDefault="00AF16EF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107 667,8</w:t>
            </w:r>
          </w:p>
        </w:tc>
        <w:tc>
          <w:tcPr>
            <w:tcW w:w="1480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00809EB6" w14:textId="77777777" w:rsidR="00AF16EF" w:rsidRPr="00B33788" w:rsidRDefault="00AF16EF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96,6</w:t>
            </w:r>
          </w:p>
        </w:tc>
      </w:tr>
      <w:tr w:rsidR="00AF16EF" w:rsidRPr="00957F9B" w14:paraId="538E06D4" w14:textId="77777777" w:rsidTr="00B33788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286444D" w14:textId="77777777" w:rsidR="00AF16EF" w:rsidRPr="00E108AC" w:rsidRDefault="00AF16EF" w:rsidP="00AF16EF">
            <w:pPr>
              <w:pStyle w:val="boczek"/>
            </w:pPr>
            <w:r w:rsidRPr="00E108AC">
              <w:t>Wynik finansowy ze sprzedaży produktów, towarów i materiałów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3F6FBCB" w14:textId="77777777" w:rsidR="00AF16EF" w:rsidRPr="00B33788" w:rsidRDefault="00AF16EF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 w:themeColor="text1"/>
                <w:szCs w:val="19"/>
              </w:rPr>
              <w:t>5 498,4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526489B" w14:textId="77777777" w:rsidR="00AF16EF" w:rsidRPr="00B33788" w:rsidRDefault="00AF16EF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4 193,5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28BC1C14" w14:textId="77777777" w:rsidR="00AF16EF" w:rsidRPr="00B33788" w:rsidRDefault="00AF16EF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76,3</w:t>
            </w:r>
          </w:p>
        </w:tc>
      </w:tr>
      <w:tr w:rsidR="00AF16EF" w:rsidRPr="00957F9B" w14:paraId="582085D9" w14:textId="77777777" w:rsidTr="00B33788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AA8CB82" w14:textId="77777777" w:rsidR="00AF16EF" w:rsidRPr="00E108AC" w:rsidRDefault="00AF16EF" w:rsidP="00AF16EF">
            <w:pPr>
              <w:spacing w:line="240" w:lineRule="exac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108AC">
              <w:rPr>
                <w:rFonts w:eastAsia="Times New Roman" w:cs="Calibri"/>
                <w:color w:val="000000"/>
                <w:szCs w:val="19"/>
                <w:lang w:eastAsia="pl-PL"/>
              </w:rPr>
              <w:t>Wynik finansowy brutto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8940190" w14:textId="77777777" w:rsidR="00AF16EF" w:rsidRPr="00B33788" w:rsidRDefault="00AF16EF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 w:themeColor="text1"/>
                <w:szCs w:val="19"/>
              </w:rPr>
              <w:t>6 121,4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10CA1CB" w14:textId="77777777" w:rsidR="00AF16EF" w:rsidRPr="00B33788" w:rsidRDefault="00AF16EF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4 721,4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4CA7B03A" w14:textId="77777777" w:rsidR="00AF16EF" w:rsidRPr="00B33788" w:rsidRDefault="00AF16EF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77,1</w:t>
            </w:r>
          </w:p>
        </w:tc>
      </w:tr>
      <w:tr w:rsidR="00AF16EF" w:rsidRPr="00957F9B" w14:paraId="39A76CF2" w14:textId="77777777" w:rsidTr="00B33788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BBBB6F" w14:textId="77777777" w:rsidR="00AF16EF" w:rsidRPr="00E108AC" w:rsidRDefault="00AF16EF" w:rsidP="00AF16EF">
            <w:pPr>
              <w:spacing w:line="240" w:lineRule="exac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 xml:space="preserve">Wynik finansowy na pozostałej 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br/>
              <w:t>działalności operacyjnej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71276DB" w14:textId="77777777" w:rsidR="00AF16EF" w:rsidRPr="00B33788" w:rsidRDefault="00AF16EF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 w:themeColor="text1"/>
                <w:szCs w:val="19"/>
              </w:rPr>
              <w:t>551,0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A6667D5" w14:textId="77777777" w:rsidR="00AF16EF" w:rsidRPr="00B33788" w:rsidRDefault="00AF16EF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789,4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15AA19AB" w14:textId="77777777" w:rsidR="00AF16EF" w:rsidRPr="00B33788" w:rsidRDefault="00AF16EF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143,3</w:t>
            </w:r>
          </w:p>
        </w:tc>
      </w:tr>
      <w:tr w:rsidR="00AF16EF" w:rsidRPr="00BD3247" w14:paraId="06514F3A" w14:textId="77777777" w:rsidTr="00B33788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B3FC0" w14:textId="77777777" w:rsidR="00AF16EF" w:rsidRPr="00E108AC" w:rsidRDefault="00AF16EF" w:rsidP="00AF16EF">
            <w:pPr>
              <w:spacing w:line="240" w:lineRule="exac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Wynik na operacjach finansowych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5999FAA" w14:textId="77777777" w:rsidR="00AF16EF" w:rsidRPr="00B33788" w:rsidRDefault="00AF16EF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 w:themeColor="text1"/>
                <w:szCs w:val="19"/>
              </w:rPr>
              <w:t>72,0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18EFA59" w14:textId="77777777" w:rsidR="00AF16EF" w:rsidRPr="00B33788" w:rsidRDefault="00AF16EF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-261,5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45270E02" w14:textId="77777777" w:rsidR="00AF16EF" w:rsidRPr="00BD3247" w:rsidRDefault="00AF16EF" w:rsidP="00B33788">
            <w:pPr>
              <w:spacing w:line="240" w:lineRule="exact"/>
              <w:jc w:val="right"/>
              <w:rPr>
                <w:rFonts w:cs="Arial"/>
                <w:bCs/>
                <w:color w:val="000000" w:themeColor="text1"/>
                <w:szCs w:val="19"/>
              </w:rPr>
            </w:pPr>
            <w:r w:rsidRPr="00BD3247">
              <w:rPr>
                <w:rFonts w:cs="Arial"/>
                <w:bCs/>
                <w:color w:val="000000"/>
                <w:szCs w:val="19"/>
              </w:rPr>
              <w:t>.</w:t>
            </w:r>
          </w:p>
        </w:tc>
      </w:tr>
      <w:tr w:rsidR="00267EE4" w:rsidRPr="00957F9B" w14:paraId="229D6ABB" w14:textId="77777777" w:rsidTr="00B33788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8591824" w14:textId="77777777" w:rsidR="00267EE4" w:rsidRPr="00E108AC" w:rsidRDefault="00267EE4" w:rsidP="00267EE4">
            <w:pPr>
              <w:pStyle w:val="boczek"/>
            </w:pPr>
            <w:r w:rsidRPr="00E108AC">
              <w:t>Wynik finansowy netto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D002680" w14:textId="77777777" w:rsidR="00267EE4" w:rsidRPr="00B33788" w:rsidRDefault="00267EE4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 w:themeColor="text1"/>
                <w:szCs w:val="19"/>
              </w:rPr>
              <w:t>5 309,2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9D1B512" w14:textId="77777777" w:rsidR="00267EE4" w:rsidRPr="00B33788" w:rsidRDefault="00267EE4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3 900,3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5D1C52B2" w14:textId="77777777" w:rsidR="00267EE4" w:rsidRPr="00B33788" w:rsidRDefault="00267EE4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73,5</w:t>
            </w:r>
          </w:p>
        </w:tc>
      </w:tr>
      <w:tr w:rsidR="00267EE4" w:rsidRPr="00957F9B" w14:paraId="649BBD26" w14:textId="77777777" w:rsidTr="00B33788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C144946" w14:textId="77777777" w:rsidR="00267EE4" w:rsidRPr="00E108AC" w:rsidRDefault="00267EE4" w:rsidP="00267EE4">
            <w:pPr>
              <w:pStyle w:val="boczek"/>
            </w:pPr>
            <w:r w:rsidRPr="00E108AC">
              <w:t>Zysk netto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14BC4E5" w14:textId="77777777" w:rsidR="00267EE4" w:rsidRPr="00B33788" w:rsidRDefault="00267EE4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 w:themeColor="text1"/>
                <w:szCs w:val="19"/>
              </w:rPr>
              <w:t>6 466,6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CD3D16" w14:textId="77777777" w:rsidR="00267EE4" w:rsidRPr="00B33788" w:rsidRDefault="00267EE4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5 410,4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26AD622A" w14:textId="77777777" w:rsidR="00267EE4" w:rsidRPr="00B33788" w:rsidRDefault="00267EE4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83,7</w:t>
            </w:r>
          </w:p>
        </w:tc>
      </w:tr>
      <w:tr w:rsidR="00267EE4" w:rsidRPr="00957F9B" w14:paraId="437D6F95" w14:textId="77777777" w:rsidTr="00B33788">
        <w:trPr>
          <w:trHeight w:val="504"/>
        </w:trPr>
        <w:tc>
          <w:tcPr>
            <w:tcW w:w="3860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5B4371E" w14:textId="77777777" w:rsidR="00267EE4" w:rsidRPr="00E108AC" w:rsidRDefault="00267EE4" w:rsidP="00267EE4">
            <w:pPr>
              <w:pStyle w:val="boczek"/>
            </w:pPr>
            <w:r w:rsidRPr="00E108AC">
              <w:t>Strata netto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DB34B59" w14:textId="77777777" w:rsidR="00267EE4" w:rsidRPr="00B33788" w:rsidRDefault="00267EE4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 w:themeColor="text1"/>
                <w:szCs w:val="19"/>
              </w:rPr>
              <w:t>1 157,4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5E59D1" w14:textId="77777777" w:rsidR="00267EE4" w:rsidRPr="00B33788" w:rsidRDefault="00267EE4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1 510,0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08A88185" w14:textId="77777777" w:rsidR="00267EE4" w:rsidRPr="00B33788" w:rsidRDefault="00267EE4" w:rsidP="00B33788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130,5</w:t>
            </w:r>
          </w:p>
        </w:tc>
      </w:tr>
    </w:tbl>
    <w:p w14:paraId="3E2E7DAC" w14:textId="725368AD" w:rsidR="0035166E" w:rsidRPr="00C81D21" w:rsidRDefault="0035166E" w:rsidP="00BD3247">
      <w:pPr>
        <w:rPr>
          <w:spacing w:val="-2"/>
        </w:rPr>
      </w:pPr>
      <w:r w:rsidRPr="00C81D21">
        <w:rPr>
          <w:spacing w:val="-4"/>
        </w:rPr>
        <w:t xml:space="preserve">Wskaźnik poziomu kosztów dla ogółu przedsiębiorstw wyniósł </w:t>
      </w:r>
      <w:r w:rsidR="00CC25A1" w:rsidRPr="00C81D21">
        <w:rPr>
          <w:spacing w:val="-4"/>
        </w:rPr>
        <w:t>95</w:t>
      </w:r>
      <w:r w:rsidR="00CD6BBD" w:rsidRPr="00C81D21">
        <w:rPr>
          <w:spacing w:val="-4"/>
        </w:rPr>
        <w:t>,</w:t>
      </w:r>
      <w:r w:rsidR="00FE59F7" w:rsidRPr="00C81D21">
        <w:rPr>
          <w:spacing w:val="-4"/>
        </w:rPr>
        <w:t>9</w:t>
      </w:r>
      <w:r w:rsidRPr="00C81D21">
        <w:rPr>
          <w:spacing w:val="-4"/>
        </w:rPr>
        <w:t xml:space="preserve">% (wobec </w:t>
      </w:r>
      <w:r w:rsidR="00FE59F7" w:rsidRPr="00C81D21">
        <w:rPr>
          <w:spacing w:val="-4"/>
        </w:rPr>
        <w:t>94</w:t>
      </w:r>
      <w:r w:rsidR="00CC25A1" w:rsidRPr="00C81D21">
        <w:rPr>
          <w:spacing w:val="-4"/>
        </w:rPr>
        <w:t>9</w:t>
      </w:r>
      <w:r w:rsidRPr="00C81D21">
        <w:rPr>
          <w:spacing w:val="-4"/>
        </w:rPr>
        <w:t>% przed rokiem).</w:t>
      </w:r>
      <w:r w:rsidRPr="00C81D21">
        <w:rPr>
          <w:spacing w:val="-2"/>
        </w:rPr>
        <w:t xml:space="preserve"> </w:t>
      </w:r>
      <w:r w:rsidR="00FE59F7" w:rsidRPr="00C81D21">
        <w:rPr>
          <w:spacing w:val="-2"/>
        </w:rPr>
        <w:t xml:space="preserve">Zmniejszył </w:t>
      </w:r>
      <w:r w:rsidRPr="00C81D21">
        <w:rPr>
          <w:spacing w:val="-2"/>
        </w:rPr>
        <w:t xml:space="preserve">się wskaźnik rentowności sprzedaży brutto (z </w:t>
      </w:r>
      <w:r w:rsidR="00D72DF6" w:rsidRPr="00C81D21">
        <w:rPr>
          <w:spacing w:val="-2"/>
        </w:rPr>
        <w:t>4,7</w:t>
      </w:r>
      <w:r w:rsidRPr="00C81D21">
        <w:rPr>
          <w:spacing w:val="-2"/>
        </w:rPr>
        <w:t xml:space="preserve">% do </w:t>
      </w:r>
      <w:r w:rsidR="00D72DF6" w:rsidRPr="00C81D21">
        <w:rPr>
          <w:spacing w:val="-2"/>
        </w:rPr>
        <w:t>3</w:t>
      </w:r>
      <w:r w:rsidR="00FE59F7" w:rsidRPr="00C81D21">
        <w:rPr>
          <w:spacing w:val="-2"/>
        </w:rPr>
        <w:t>,7</w:t>
      </w:r>
      <w:r w:rsidRPr="00C81D21">
        <w:rPr>
          <w:spacing w:val="-2"/>
        </w:rPr>
        <w:t xml:space="preserve">%), </w:t>
      </w:r>
      <w:r w:rsidR="00CD6BBD" w:rsidRPr="00C81D21">
        <w:rPr>
          <w:spacing w:val="-2"/>
        </w:rPr>
        <w:t xml:space="preserve">natomiast </w:t>
      </w:r>
      <w:r w:rsidRPr="00C81D21">
        <w:rPr>
          <w:spacing w:val="-2"/>
        </w:rPr>
        <w:t>wskaźnik</w:t>
      </w:r>
      <w:r w:rsidR="00CD6BBD" w:rsidRPr="00C81D21">
        <w:rPr>
          <w:spacing w:val="-2"/>
        </w:rPr>
        <w:t>i</w:t>
      </w:r>
      <w:r w:rsidRPr="00C81D21">
        <w:rPr>
          <w:spacing w:val="-2"/>
        </w:rPr>
        <w:t xml:space="preserve"> rentowności obrotu brutto </w:t>
      </w:r>
      <w:r w:rsidR="00CD6BBD" w:rsidRPr="00C81D21">
        <w:rPr>
          <w:spacing w:val="-2"/>
        </w:rPr>
        <w:t xml:space="preserve">i </w:t>
      </w:r>
      <w:r w:rsidRPr="00C81D21">
        <w:rPr>
          <w:spacing w:val="-2"/>
        </w:rPr>
        <w:t xml:space="preserve">netto </w:t>
      </w:r>
      <w:r w:rsidR="00CD6BBD" w:rsidRPr="00C81D21">
        <w:rPr>
          <w:spacing w:val="-2"/>
        </w:rPr>
        <w:t xml:space="preserve">obniżyły się w skali roku odpowiednio do </w:t>
      </w:r>
      <w:r w:rsidR="00D72DF6" w:rsidRPr="00C81D21">
        <w:rPr>
          <w:spacing w:val="-2"/>
        </w:rPr>
        <w:t>4</w:t>
      </w:r>
      <w:r w:rsidR="00FE59F7" w:rsidRPr="00C81D21">
        <w:rPr>
          <w:spacing w:val="-2"/>
        </w:rPr>
        <w:t>,1</w:t>
      </w:r>
      <w:r w:rsidR="00CD6BBD" w:rsidRPr="00C81D21">
        <w:rPr>
          <w:spacing w:val="-2"/>
        </w:rPr>
        <w:t xml:space="preserve">% i </w:t>
      </w:r>
      <w:r w:rsidR="00D72DF6" w:rsidRPr="00C81D21">
        <w:rPr>
          <w:spacing w:val="-2"/>
        </w:rPr>
        <w:t>3</w:t>
      </w:r>
      <w:r w:rsidR="00FE59F7" w:rsidRPr="00C81D21">
        <w:rPr>
          <w:spacing w:val="-2"/>
        </w:rPr>
        <w:t>,4</w:t>
      </w:r>
      <w:r w:rsidR="00CD6BBD" w:rsidRPr="00C81D21">
        <w:rPr>
          <w:spacing w:val="-2"/>
        </w:rPr>
        <w:t>%</w:t>
      </w:r>
      <w:r w:rsidR="00712103" w:rsidRPr="00C81D21">
        <w:rPr>
          <w:spacing w:val="-2"/>
        </w:rPr>
        <w:t>.</w:t>
      </w:r>
    </w:p>
    <w:p w14:paraId="18980175" w14:textId="77777777" w:rsidR="00895219" w:rsidRDefault="00895219" w:rsidP="00895219">
      <w:pPr>
        <w:pStyle w:val="tytuwykresu"/>
      </w:pPr>
      <w:r w:rsidRPr="00454A82">
        <w:t xml:space="preserve">Tablica </w:t>
      </w:r>
      <w:r>
        <w:t>2</w:t>
      </w:r>
      <w:r w:rsidRPr="00454A82">
        <w:t xml:space="preserve">. </w:t>
      </w:r>
      <w:r w:rsidRPr="00895219">
        <w:t>Podstawowe relacje ekonomiczne</w:t>
      </w:r>
      <w:r w:rsidRPr="00454A82">
        <w:t xml:space="preserve"> </w:t>
      </w:r>
    </w:p>
    <w:tbl>
      <w:tblPr>
        <w:tblW w:w="79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Podstawowe relacje ekonomiczne "/>
      </w:tblPr>
      <w:tblGrid>
        <w:gridCol w:w="3860"/>
        <w:gridCol w:w="2039"/>
        <w:gridCol w:w="2039"/>
      </w:tblGrid>
      <w:tr w:rsidR="00E44E5C" w:rsidRPr="005A6F95" w14:paraId="006E19AC" w14:textId="77777777" w:rsidTr="00E44E5C">
        <w:trPr>
          <w:trHeight w:val="420"/>
        </w:trPr>
        <w:tc>
          <w:tcPr>
            <w:tcW w:w="386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1A7CB468" w14:textId="77777777" w:rsidR="00E44E5C" w:rsidRPr="005A6F95" w:rsidRDefault="00E44E5C" w:rsidP="00895219">
            <w:pPr>
              <w:pStyle w:val="glowkatablicy"/>
            </w:pPr>
            <w:r w:rsidRPr="005A6F95">
              <w:t>Wyszczególnienie</w:t>
            </w:r>
          </w:p>
        </w:tc>
        <w:tc>
          <w:tcPr>
            <w:tcW w:w="203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3D21B786" w14:textId="77777777" w:rsidR="00E44E5C" w:rsidRPr="005A6F95" w:rsidRDefault="00E44E5C" w:rsidP="00C264F6">
            <w:pPr>
              <w:pStyle w:val="glowkatablicy"/>
            </w:pPr>
            <w:r>
              <w:t xml:space="preserve">01-12 </w:t>
            </w:r>
            <w:r w:rsidRPr="005A6F95">
              <w:t>202</w:t>
            </w:r>
            <w:r>
              <w:t>3</w:t>
            </w:r>
          </w:p>
        </w:tc>
        <w:tc>
          <w:tcPr>
            <w:tcW w:w="2039" w:type="dxa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</w:tcPr>
          <w:p w14:paraId="518A5CEE" w14:textId="77777777" w:rsidR="00E44E5C" w:rsidRPr="005A6F95" w:rsidRDefault="00E44E5C" w:rsidP="00C264F6">
            <w:pPr>
              <w:pStyle w:val="glowkatablicy"/>
            </w:pPr>
            <w:r>
              <w:t xml:space="preserve">01-12 </w:t>
            </w:r>
            <w:r w:rsidRPr="005A6F95">
              <w:t>202</w:t>
            </w:r>
            <w:r>
              <w:t>4</w:t>
            </w:r>
          </w:p>
        </w:tc>
      </w:tr>
      <w:tr w:rsidR="00E44E5C" w:rsidRPr="005A6F95" w14:paraId="22478879" w14:textId="77777777" w:rsidTr="00E44E5C">
        <w:trPr>
          <w:trHeight w:val="420"/>
        </w:trPr>
        <w:tc>
          <w:tcPr>
            <w:tcW w:w="386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ADB9123" w14:textId="77777777" w:rsidR="00E44E5C" w:rsidRPr="00B43897" w:rsidRDefault="00E44E5C" w:rsidP="00932FB8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4078" w:type="dxa"/>
            <w:gridSpan w:val="2"/>
            <w:tcBorders>
              <w:top w:val="single" w:sz="4" w:space="0" w:color="001D77"/>
              <w:left w:val="nil"/>
              <w:bottom w:val="single" w:sz="4" w:space="0" w:color="212492"/>
            </w:tcBorders>
            <w:shd w:val="clear" w:color="auto" w:fill="auto"/>
            <w:noWrap/>
            <w:vAlign w:val="center"/>
          </w:tcPr>
          <w:p w14:paraId="745BA149" w14:textId="77777777" w:rsidR="00E44E5C" w:rsidRPr="005A6F95" w:rsidRDefault="00E44E5C" w:rsidP="00895219">
            <w:pPr>
              <w:pStyle w:val="glowkatablicy"/>
            </w:pPr>
            <w:r w:rsidRPr="005A6F95">
              <w:t>w %</w:t>
            </w:r>
          </w:p>
        </w:tc>
      </w:tr>
      <w:tr w:rsidR="00E44E5C" w:rsidRPr="005A6F95" w14:paraId="4A9075CE" w14:textId="77777777" w:rsidTr="00C81D21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D4B5377" w14:textId="77777777" w:rsidR="00E44E5C" w:rsidRPr="00B43897" w:rsidRDefault="00E44E5C" w:rsidP="00615F1C">
            <w:pPr>
              <w:spacing w:before="100" w:after="100" w:line="220" w:lineRule="exact"/>
              <w:rPr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Wskaźnik poziomu kosztów</w:t>
            </w:r>
          </w:p>
        </w:tc>
        <w:tc>
          <w:tcPr>
            <w:tcW w:w="2039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DCDB6FA" w14:textId="77777777" w:rsidR="00E44E5C" w:rsidRPr="00C81D21" w:rsidRDefault="00E44E5C" w:rsidP="00C81D21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C81D21">
              <w:rPr>
                <w:rFonts w:cs="Arial"/>
                <w:color w:val="000000"/>
                <w:szCs w:val="19"/>
              </w:rPr>
              <w:t>94,9</w:t>
            </w:r>
          </w:p>
        </w:tc>
        <w:tc>
          <w:tcPr>
            <w:tcW w:w="2039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7F157E2" w14:textId="77777777" w:rsidR="00E44E5C" w:rsidRPr="00C81D21" w:rsidRDefault="00E44E5C" w:rsidP="00C81D21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C81D21">
              <w:rPr>
                <w:rFonts w:cs="Arial"/>
                <w:color w:val="000000"/>
                <w:szCs w:val="19"/>
              </w:rPr>
              <w:t>95,9</w:t>
            </w:r>
          </w:p>
        </w:tc>
      </w:tr>
      <w:tr w:rsidR="00E44E5C" w:rsidRPr="005A6F95" w14:paraId="14CCCF77" w14:textId="77777777" w:rsidTr="00C81D21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3042F43" w14:textId="77777777" w:rsidR="00E44E5C" w:rsidRPr="00B43897" w:rsidRDefault="00E44E5C" w:rsidP="00615F1C">
            <w:pPr>
              <w:spacing w:before="100" w:after="100" w:line="22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Wskaźnik rentowności sprzedaży brutto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295E57E" w14:textId="77777777" w:rsidR="00E44E5C" w:rsidRPr="00C81D21" w:rsidRDefault="00E44E5C" w:rsidP="00C81D21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C81D21">
              <w:rPr>
                <w:rFonts w:cs="Arial"/>
                <w:color w:val="000000"/>
                <w:szCs w:val="19"/>
              </w:rPr>
              <w:t>4,7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B920FE6" w14:textId="77777777" w:rsidR="00E44E5C" w:rsidRPr="00C81D21" w:rsidRDefault="00E44E5C" w:rsidP="00C81D21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C81D21">
              <w:rPr>
                <w:rFonts w:cs="Arial"/>
                <w:color w:val="000000"/>
                <w:szCs w:val="19"/>
              </w:rPr>
              <w:t>3,7</w:t>
            </w:r>
          </w:p>
        </w:tc>
      </w:tr>
      <w:tr w:rsidR="00E44E5C" w:rsidRPr="005A6F95" w14:paraId="50D3F348" w14:textId="77777777" w:rsidTr="00C81D21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03FC5D3" w14:textId="77777777" w:rsidR="00E44E5C" w:rsidRPr="00B43897" w:rsidRDefault="00E44E5C" w:rsidP="00615F1C">
            <w:pPr>
              <w:spacing w:before="100" w:after="100" w:line="22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Wskaźnik rentowności obrotu brutto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994EEF7" w14:textId="77777777" w:rsidR="00E44E5C" w:rsidRPr="00C81D21" w:rsidRDefault="00E44E5C" w:rsidP="00C81D21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C81D21">
              <w:rPr>
                <w:rFonts w:cs="Arial"/>
                <w:color w:val="000000"/>
                <w:szCs w:val="19"/>
              </w:rPr>
              <w:t>5,1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1A0663A" w14:textId="77777777" w:rsidR="00E44E5C" w:rsidRPr="00C81D21" w:rsidRDefault="00E44E5C" w:rsidP="00C81D21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C81D21">
              <w:rPr>
                <w:rFonts w:cs="Arial"/>
                <w:color w:val="000000"/>
                <w:szCs w:val="19"/>
              </w:rPr>
              <w:t>4,1</w:t>
            </w:r>
          </w:p>
        </w:tc>
      </w:tr>
      <w:tr w:rsidR="00E44E5C" w:rsidRPr="005A6F95" w14:paraId="0320483D" w14:textId="77777777" w:rsidTr="00C81D21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E28EFF0" w14:textId="77777777" w:rsidR="00E44E5C" w:rsidRPr="00B43897" w:rsidRDefault="00E44E5C" w:rsidP="00615F1C">
            <w:pPr>
              <w:spacing w:before="100" w:after="100" w:line="22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Wskaźnik rentowności obrotu netto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389C1C6" w14:textId="77777777" w:rsidR="00E44E5C" w:rsidRPr="00C81D21" w:rsidRDefault="00E44E5C" w:rsidP="00C81D21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C81D21">
              <w:rPr>
                <w:rFonts w:cs="Arial"/>
                <w:color w:val="000000"/>
                <w:szCs w:val="19"/>
              </w:rPr>
              <w:t>4,4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6DB9EDF" w14:textId="77777777" w:rsidR="00E44E5C" w:rsidRPr="00C81D21" w:rsidRDefault="00E44E5C" w:rsidP="00C81D21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C81D21">
              <w:rPr>
                <w:rFonts w:cs="Arial"/>
                <w:color w:val="000000"/>
                <w:szCs w:val="19"/>
              </w:rPr>
              <w:t>3,4</w:t>
            </w:r>
          </w:p>
        </w:tc>
      </w:tr>
      <w:tr w:rsidR="00E44E5C" w:rsidRPr="005A6F95" w14:paraId="58C9951D" w14:textId="77777777" w:rsidTr="00C81D21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88006FC" w14:textId="77777777" w:rsidR="00E44E5C" w:rsidRPr="00B43897" w:rsidRDefault="00E44E5C" w:rsidP="00615F1C">
            <w:pPr>
              <w:spacing w:before="100" w:after="100" w:line="22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Wskaźnik płynności finansowej I stopnia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2989537" w14:textId="77777777" w:rsidR="00E44E5C" w:rsidRPr="00C81D21" w:rsidRDefault="00E44E5C" w:rsidP="00C81D21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C81D21">
              <w:rPr>
                <w:rFonts w:cs="Arial"/>
                <w:color w:val="000000"/>
                <w:szCs w:val="19"/>
              </w:rPr>
              <w:t>40,3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2A13B23" w14:textId="77777777" w:rsidR="00E44E5C" w:rsidRPr="00C81D21" w:rsidRDefault="00E44E5C" w:rsidP="00C81D21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C81D21">
              <w:rPr>
                <w:rFonts w:cs="Arial"/>
                <w:color w:val="000000"/>
                <w:szCs w:val="19"/>
              </w:rPr>
              <w:t>39,0</w:t>
            </w:r>
          </w:p>
        </w:tc>
      </w:tr>
      <w:tr w:rsidR="00E44E5C" w:rsidRPr="005A6F95" w14:paraId="27F30F8E" w14:textId="77777777" w:rsidTr="00C81D21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86A6133" w14:textId="77777777" w:rsidR="00E44E5C" w:rsidRPr="00B43897" w:rsidRDefault="00E44E5C" w:rsidP="00615F1C">
            <w:pPr>
              <w:spacing w:before="100" w:after="100" w:line="22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Wskaźnik płynności finansowej II stopnia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41FB3A6" w14:textId="77777777" w:rsidR="00E44E5C" w:rsidRPr="00C81D21" w:rsidRDefault="00E44E5C" w:rsidP="00C81D21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C81D21">
              <w:rPr>
                <w:rFonts w:cs="Arial"/>
                <w:color w:val="000000"/>
                <w:szCs w:val="19"/>
              </w:rPr>
              <w:t>89,0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F3BC424" w14:textId="77777777" w:rsidR="00E44E5C" w:rsidRPr="00C81D21" w:rsidRDefault="00E44E5C" w:rsidP="00C81D21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C81D21">
              <w:rPr>
                <w:rFonts w:cs="Arial"/>
                <w:color w:val="000000"/>
                <w:szCs w:val="19"/>
              </w:rPr>
              <w:t>85,8</w:t>
            </w:r>
          </w:p>
        </w:tc>
      </w:tr>
      <w:tr w:rsidR="00E44E5C" w:rsidRPr="005A6F95" w14:paraId="3B0563BD" w14:textId="77777777" w:rsidTr="00E44E5C">
        <w:trPr>
          <w:trHeight w:val="504"/>
        </w:trPr>
        <w:tc>
          <w:tcPr>
            <w:tcW w:w="3860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2A87182" w14:textId="77777777" w:rsidR="00E44E5C" w:rsidRPr="00B43897" w:rsidRDefault="00E44E5C" w:rsidP="00615F1C">
            <w:pPr>
              <w:spacing w:before="100" w:after="100" w:line="22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Wskaźnik płynności finansowej III stopnia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317678A" w14:textId="77777777" w:rsidR="00E44E5C" w:rsidRPr="005A6F95" w:rsidRDefault="00E44E5C" w:rsidP="00615F1C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5A6F95">
              <w:rPr>
                <w:rFonts w:cs="Arial"/>
                <w:color w:val="000000"/>
                <w:szCs w:val="19"/>
              </w:rPr>
              <w:t>146,7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bottom"/>
          </w:tcPr>
          <w:p w14:paraId="33EBCE68" w14:textId="77777777" w:rsidR="00E44E5C" w:rsidRPr="005A6F95" w:rsidRDefault="00E44E5C" w:rsidP="00615F1C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138,4</w:t>
            </w:r>
          </w:p>
        </w:tc>
      </w:tr>
    </w:tbl>
    <w:p w14:paraId="58D017CF" w14:textId="77777777" w:rsidR="00EE4057" w:rsidRDefault="00EE4057" w:rsidP="003D2F53">
      <w:pPr>
        <w:pStyle w:val="tytuwykresu"/>
        <w:rPr>
          <w:szCs w:val="18"/>
        </w:rPr>
      </w:pPr>
      <w:r>
        <w:br w:type="page"/>
      </w:r>
      <w:r w:rsidRPr="00F52524">
        <w:lastRenderedPageBreak/>
        <w:t xml:space="preserve">Wykres </w:t>
      </w:r>
      <w:r>
        <w:t>1</w:t>
      </w:r>
      <w:r w:rsidRPr="00F52524">
        <w:t xml:space="preserve">. </w:t>
      </w:r>
      <w:r>
        <w:rPr>
          <w:szCs w:val="18"/>
        </w:rPr>
        <w:t>Wskaźniki rentowności</w:t>
      </w:r>
      <w:r w:rsidR="00DD5224">
        <w:rPr>
          <w:szCs w:val="18"/>
        </w:rPr>
        <w:t xml:space="preserve"> </w:t>
      </w:r>
    </w:p>
    <w:p w14:paraId="4DE11299" w14:textId="53F1F4C5" w:rsidR="00575331" w:rsidRDefault="00575331" w:rsidP="00575331">
      <w:pPr>
        <w:pStyle w:val="Brakstyluakapitowego"/>
      </w:pPr>
      <w:r>
        <w:rPr>
          <w:noProof/>
        </w:rPr>
        <w:drawing>
          <wp:inline distT="0" distB="0" distL="0" distR="0" wp14:anchorId="04481910" wp14:editId="236171F4">
            <wp:extent cx="3779528" cy="1982728"/>
            <wp:effectExtent l="0" t="0" r="0" b="0"/>
            <wp:docPr id="3" name="Obraz 3" descr="Wykres słupkowy prezentujący wskaźniki rentowności w latach 2024 i 2023. Wskaźnik rentowności sprzedaży brutto w 2024 r. wyniósł 3,7% (wobec 4,7% w 2023 r.), wskaźnik rentowności obrotu brutto – 4,1% (wobec 5,1%), a wskaźnik rentowności obrotu netto – 3,4% (wobec 4,4%)." title="Wykres 1.  Wskaźniki rento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9528" cy="198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D656F" w14:textId="7D31D43C" w:rsidR="0035166E" w:rsidRDefault="00EC1555" w:rsidP="001328A5">
      <w:r w:rsidRPr="00B43897">
        <w:t xml:space="preserve">Pogorszenie </w:t>
      </w:r>
      <w:r w:rsidR="0035166E" w:rsidRPr="00B43897">
        <w:t xml:space="preserve">wskaźnika rentowności obrotu netto odnotowano </w:t>
      </w:r>
      <w:r w:rsidR="0083786A" w:rsidRPr="0083786A">
        <w:t>w jednostkach prowadzących działalność związaną</w:t>
      </w:r>
      <w:r w:rsidR="0083786A">
        <w:t xml:space="preserve"> </w:t>
      </w:r>
      <w:r w:rsidRPr="00B43897">
        <w:t>z kulturą, rozrywką i rekreacją</w:t>
      </w:r>
      <w:r w:rsidR="0035166E" w:rsidRPr="00B43897">
        <w:t xml:space="preserve"> (</w:t>
      </w:r>
      <w:r w:rsidR="00ED7BCF">
        <w:t>z minus 29,1%</w:t>
      </w:r>
      <w:r w:rsidR="00B05C7B" w:rsidRPr="00B43897">
        <w:t xml:space="preserve"> </w:t>
      </w:r>
      <w:r w:rsidR="0035166E" w:rsidRPr="00B43897">
        <w:t xml:space="preserve">do </w:t>
      </w:r>
      <w:r w:rsidRPr="00B43897">
        <w:t xml:space="preserve">minus </w:t>
      </w:r>
      <w:r w:rsidR="000F70E2">
        <w:t>50</w:t>
      </w:r>
      <w:r w:rsidRPr="00B43897">
        <w:t>,1</w:t>
      </w:r>
      <w:r w:rsidR="0035166E" w:rsidRPr="00B43897">
        <w:t>%)</w:t>
      </w:r>
      <w:r w:rsidR="00B05C7B" w:rsidRPr="00B43897">
        <w:t>,</w:t>
      </w:r>
      <w:r w:rsidR="0035166E" w:rsidRPr="00B43897">
        <w:t xml:space="preserve"> </w:t>
      </w:r>
      <w:r w:rsidR="000F70E2">
        <w:t>obsługą rynku nieruchomości</w:t>
      </w:r>
      <w:r w:rsidR="0035166E" w:rsidRPr="00B43897">
        <w:t xml:space="preserve"> (</w:t>
      </w:r>
      <w:r w:rsidR="00135800">
        <w:t>z 13,8%</w:t>
      </w:r>
      <w:r w:rsidR="00B05C7B" w:rsidRPr="00B43897">
        <w:t xml:space="preserve"> do </w:t>
      </w:r>
      <w:r w:rsidR="000F70E2">
        <w:t>minus 2,3%</w:t>
      </w:r>
      <w:r w:rsidR="0035166E" w:rsidRPr="00B43897">
        <w:t>)</w:t>
      </w:r>
      <w:r w:rsidR="0097147D">
        <w:t>.</w:t>
      </w:r>
      <w:r w:rsidR="00B05C7B">
        <w:t xml:space="preserve"> </w:t>
      </w:r>
      <w:r w:rsidR="0097147D">
        <w:t xml:space="preserve">Spadek omawianego wskaźnika odnotowano </w:t>
      </w:r>
      <w:r w:rsidR="00135800">
        <w:t>również</w:t>
      </w:r>
      <w:r w:rsidR="00632503">
        <w:t xml:space="preserve"> </w:t>
      </w:r>
      <w:r w:rsidR="0097147D">
        <w:t xml:space="preserve">w </w:t>
      </w:r>
      <w:r w:rsidR="00CF4418">
        <w:t>budownictw</w:t>
      </w:r>
      <w:r w:rsidR="0097147D">
        <w:t>ie</w:t>
      </w:r>
      <w:r w:rsidR="00CF4418">
        <w:t xml:space="preserve"> (</w:t>
      </w:r>
      <w:r w:rsidR="00135800">
        <w:t>z 15,3%</w:t>
      </w:r>
      <w:r w:rsidR="00CF4418">
        <w:t xml:space="preserve"> do 7,5%), górnictw</w:t>
      </w:r>
      <w:r w:rsidR="0097147D">
        <w:t>ie</w:t>
      </w:r>
      <w:r w:rsidR="00CF4418">
        <w:t xml:space="preserve"> i wydobywani</w:t>
      </w:r>
      <w:r w:rsidR="0097147D">
        <w:t>u</w:t>
      </w:r>
      <w:r w:rsidR="00CF4418">
        <w:t xml:space="preserve"> (</w:t>
      </w:r>
      <w:r w:rsidR="00135800">
        <w:t>z 8,4%</w:t>
      </w:r>
      <w:r w:rsidR="00CF4418">
        <w:t xml:space="preserve"> do 2,5%), </w:t>
      </w:r>
      <w:r w:rsidR="0097147D">
        <w:t xml:space="preserve">działalności </w:t>
      </w:r>
      <w:r w:rsidR="00CF4418">
        <w:t>profesjonaln</w:t>
      </w:r>
      <w:r w:rsidR="0097147D">
        <w:t>ej</w:t>
      </w:r>
      <w:r w:rsidR="00CF4418">
        <w:t>, naukow</w:t>
      </w:r>
      <w:r w:rsidR="0097147D">
        <w:t>ej</w:t>
      </w:r>
      <w:r w:rsidR="00CF4418">
        <w:t xml:space="preserve"> i techniczn</w:t>
      </w:r>
      <w:r w:rsidR="0097147D">
        <w:t>ej</w:t>
      </w:r>
      <w:r w:rsidR="00CF4418">
        <w:t xml:space="preserve"> (</w:t>
      </w:r>
      <w:r w:rsidR="00135800">
        <w:t>z 9,3%</w:t>
      </w:r>
      <w:r w:rsidR="00CF4418">
        <w:t xml:space="preserve"> do </w:t>
      </w:r>
      <w:r w:rsidR="0097147D">
        <w:t>6,1%), transporcie i gospodarce magazynowej (</w:t>
      </w:r>
      <w:r w:rsidR="00135800">
        <w:t>z 5,9%</w:t>
      </w:r>
      <w:r w:rsidR="0097147D">
        <w:t xml:space="preserve"> do 3,4%)</w:t>
      </w:r>
      <w:r w:rsidR="00632503">
        <w:t>, administrowaniu i działalności wspierającej</w:t>
      </w:r>
      <w:r w:rsidR="00ED7BCF">
        <w:t xml:space="preserve"> (</w:t>
      </w:r>
      <w:r w:rsidR="00A91DD7">
        <w:t xml:space="preserve">z </w:t>
      </w:r>
      <w:r w:rsidR="00135800">
        <w:t>8,1%</w:t>
      </w:r>
      <w:r w:rsidR="00ED7BCF">
        <w:t xml:space="preserve"> do 6,9%), opiece zdrow</w:t>
      </w:r>
      <w:r w:rsidR="00135800">
        <w:t>o</w:t>
      </w:r>
      <w:r w:rsidR="00ED7BCF">
        <w:t xml:space="preserve">tnej i pomocy społecznej </w:t>
      </w:r>
      <w:r w:rsidR="00135800">
        <w:t>(z 4,2% do 3,2%), edukacji (z 9,6% do 8,7%), przetw</w:t>
      </w:r>
      <w:r w:rsidR="002E7F54">
        <w:t>ó</w:t>
      </w:r>
      <w:r w:rsidR="00135800">
        <w:t xml:space="preserve">rstwie przemysłowym (z 4,1% do 3,6%), </w:t>
      </w:r>
      <w:r w:rsidR="00632503">
        <w:t xml:space="preserve">przy czym warto zauważyć, że w tej grupie wymienionych sekcji </w:t>
      </w:r>
      <w:r w:rsidR="00135800">
        <w:t xml:space="preserve">w 2024 r. </w:t>
      </w:r>
      <w:r w:rsidR="00632503">
        <w:t>koszty działalności były niższe niż przychody i jednostki nadal generowały zysk.</w:t>
      </w:r>
      <w:r w:rsidR="0035166E" w:rsidRPr="0035166E">
        <w:t xml:space="preserve"> </w:t>
      </w:r>
      <w:r w:rsidR="00B05C7B">
        <w:t>W pozostałych sekcjach wskaźnik rentowności</w:t>
      </w:r>
      <w:r w:rsidR="00F677E2">
        <w:t xml:space="preserve"> obrotu</w:t>
      </w:r>
      <w:r w:rsidR="00B05C7B">
        <w:t xml:space="preserve"> netto</w:t>
      </w:r>
      <w:r w:rsidR="00F677E2">
        <w:t xml:space="preserve"> </w:t>
      </w:r>
      <w:r w:rsidR="00F20251">
        <w:t>wzrósł</w:t>
      </w:r>
      <w:r w:rsidR="00F677E2">
        <w:t xml:space="preserve"> w skali roku</w:t>
      </w:r>
      <w:r w:rsidR="00B05C7B">
        <w:t xml:space="preserve">, </w:t>
      </w:r>
      <w:r w:rsidR="001328A5">
        <w:br/>
      </w:r>
      <w:r w:rsidR="00B05C7B">
        <w:t xml:space="preserve">w tym </w:t>
      </w:r>
      <w:r w:rsidR="00F20251">
        <w:t xml:space="preserve">najwyższy wzrost </w:t>
      </w:r>
      <w:r w:rsidR="00F20251" w:rsidRPr="0083786A">
        <w:t xml:space="preserve">odnotowano wśród przedsiębiorstw zajmujących się </w:t>
      </w:r>
      <w:r w:rsidR="002E7F54">
        <w:t xml:space="preserve">wytwarzaniem </w:t>
      </w:r>
      <w:r w:rsidR="001328A5">
        <w:br/>
      </w:r>
      <w:r w:rsidR="002E7F54">
        <w:t>i zaopatrywaniem w energię elektryczną, gaz, parę wodną i gorącą wodę</w:t>
      </w:r>
      <w:r w:rsidR="00F20251" w:rsidRPr="0083786A">
        <w:t xml:space="preserve"> (</w:t>
      </w:r>
      <w:r w:rsidR="0035166E" w:rsidRPr="0083786A">
        <w:t xml:space="preserve">z </w:t>
      </w:r>
      <w:r w:rsidR="002E7F54">
        <w:t>4,9%</w:t>
      </w:r>
      <w:r w:rsidR="0035166E" w:rsidRPr="0035166E">
        <w:t xml:space="preserve"> do </w:t>
      </w:r>
      <w:r w:rsidR="002E7F54">
        <w:t>8,0</w:t>
      </w:r>
      <w:r w:rsidR="0035166E">
        <w:t>%</w:t>
      </w:r>
      <w:r w:rsidR="00F20251">
        <w:t>)</w:t>
      </w:r>
      <w:r w:rsidR="0035166E">
        <w:t xml:space="preserve">. </w:t>
      </w:r>
    </w:p>
    <w:p w14:paraId="6DF90D77" w14:textId="63139C02" w:rsidR="00DD5224" w:rsidRDefault="00B41FAA" w:rsidP="008C04BC">
      <w:pPr>
        <w:pStyle w:val="tytuwykresu"/>
      </w:pP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43B2C971" wp14:editId="412BA4CF">
                <wp:simplePos x="0" y="0"/>
                <wp:positionH relativeFrom="column">
                  <wp:posOffset>5232400</wp:posOffset>
                </wp:positionH>
                <wp:positionV relativeFrom="paragraph">
                  <wp:posOffset>114935</wp:posOffset>
                </wp:positionV>
                <wp:extent cx="1835785" cy="1060450"/>
                <wp:effectExtent l="0" t="0" r="0" b="6350"/>
                <wp:wrapSquare wrapText="bothSides"/>
                <wp:docPr id="6" name="Pole tekstowe 5" descr="W skali roku największą poprawę wskaźnika rentowności obrotu netto odnotowano w sekcji wytwarzanie i zaopatrywanie w energię elektryczną, gaz, parę i gorącą wodę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785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E7367" w14:textId="783F47EB" w:rsidR="00A05623" w:rsidRPr="00960051" w:rsidRDefault="002E7F54" w:rsidP="00BF4404">
                            <w:pPr>
                              <w:pStyle w:val="tekstzboku"/>
                            </w:pPr>
                            <w:r>
                              <w:t>W skali roku n</w:t>
                            </w:r>
                            <w:r w:rsidR="00A05623" w:rsidRPr="00BF4404">
                              <w:t>ajwiększą</w:t>
                            </w:r>
                            <w:r w:rsidR="00A05623" w:rsidRPr="004C2063">
                              <w:t xml:space="preserve"> poprawę</w:t>
                            </w:r>
                            <w:r w:rsidR="00A05623">
                              <w:t xml:space="preserve"> </w:t>
                            </w:r>
                            <w:r w:rsidR="00A05623" w:rsidRPr="0035166E">
                              <w:t xml:space="preserve">wskaźnika rentowności obrotu netto odnotowano </w:t>
                            </w:r>
                            <w:r w:rsidR="001328A5">
                              <w:br/>
                            </w:r>
                            <w:r w:rsidR="00A05623" w:rsidRPr="0035166E">
                              <w:t xml:space="preserve">w </w:t>
                            </w:r>
                            <w:r>
                              <w:t xml:space="preserve">sekcji wytwarzanie i zaopatrywanie w energię elektryczną, gaz, parę i gorącą wodę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2C971" id="Pole tekstowe 5" o:spid="_x0000_s1029" type="#_x0000_t202" alt="W skali roku największą poprawę wskaźnika rentowności obrotu netto odnotowano w sekcji wytwarzanie i zaopatrywanie w energię elektryczną, gaz, parę i gorącą wodę &#10;" style="position:absolute;margin-left:412pt;margin-top:9.05pt;width:144.55pt;height:83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" filled="f" stroked="f">
                <v:textbox>
                  <w:txbxContent>
                    <w:p w14:paraId="2F6E7367" w14:textId="783F47EB" w:rsidR="00A05623" w:rsidRPr="00960051" w:rsidRDefault="002E7F54" w:rsidP="00BF4404">
                      <w:pPr>
                        <w:pStyle w:val="tekstzboku"/>
                      </w:pPr>
                      <w:r>
                        <w:t>W skali roku n</w:t>
                      </w:r>
                      <w:r w:rsidR="00A05623" w:rsidRPr="00BF4404">
                        <w:t>ajwiększą</w:t>
                      </w:r>
                      <w:r w:rsidR="00A05623" w:rsidRPr="004C2063">
                        <w:t xml:space="preserve"> poprawę</w:t>
                      </w:r>
                      <w:r w:rsidR="00A05623">
                        <w:t xml:space="preserve"> </w:t>
                      </w:r>
                      <w:r w:rsidR="00A05623" w:rsidRPr="0035166E">
                        <w:t xml:space="preserve">wskaźnika rentowności obrotu netto odnotowano </w:t>
                      </w:r>
                      <w:r w:rsidR="001328A5">
                        <w:br/>
                      </w:r>
                      <w:r w:rsidR="00A05623" w:rsidRPr="0035166E">
                        <w:t xml:space="preserve">w </w:t>
                      </w:r>
                      <w:r>
                        <w:t xml:space="preserve">sekcji wytwarzanie i zaopatrywanie w energię elektryczną, gaz, parę i gorącą wodę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04BC">
        <w:t>Wykres 2. Wskaźnik rentowności obrotu netto według sekcji PKD</w:t>
      </w:r>
      <w:r w:rsidR="00DD5224">
        <w:t xml:space="preserve"> </w:t>
      </w:r>
    </w:p>
    <w:p w14:paraId="0851FC60" w14:textId="4E29AA17" w:rsidR="00C02B94" w:rsidRPr="00C02B94" w:rsidRDefault="00C02B94" w:rsidP="00C02B94">
      <w:pPr>
        <w:pStyle w:val="Brakstyluakapitowego"/>
      </w:pPr>
      <w:r>
        <w:rPr>
          <w:noProof/>
        </w:rPr>
        <w:drawing>
          <wp:inline distT="0" distB="0" distL="0" distR="0" wp14:anchorId="2F6F141D" wp14:editId="0DBE41C5">
            <wp:extent cx="4206201" cy="4320000"/>
            <wp:effectExtent l="0" t="0" r="4445" b="4445"/>
            <wp:docPr id="19" name="Obraz 19" descr="Wykres 2. Wskaźniki rentowności obrotu netto według sekcji PKD&#10;&#10;Wykres słupkowy prezentujący wskaźniki rentowności obrotu netto według sekcji PKD w latach 2024 i 2023. Dane opisane w tekśc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2. Wskaźniki rentowności obrotu netto według sekcji PKD&#10;&#10;Wykres słupkowy prezentujący wskaźniki rentowności obrotu netto według sekcji PKD w latach 2024 i 2023. Dane opisane w tekście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620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0D2C" w14:textId="5019150F" w:rsidR="0097667C" w:rsidRPr="00B43897" w:rsidRDefault="00F02A94" w:rsidP="00380175">
      <w:r w:rsidRPr="00B43897">
        <w:rPr>
          <w:noProof/>
          <w:sz w:val="18"/>
          <w:szCs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73522525" wp14:editId="327E38FA">
                <wp:simplePos x="0" y="0"/>
                <wp:positionH relativeFrom="column">
                  <wp:posOffset>5238750</wp:posOffset>
                </wp:positionH>
                <wp:positionV relativeFrom="paragraph">
                  <wp:posOffset>532765</wp:posOffset>
                </wp:positionV>
                <wp:extent cx="1798955" cy="457200"/>
                <wp:effectExtent l="0" t="0" r="0" b="0"/>
                <wp:wrapSquare wrapText="bothSides"/>
                <wp:docPr id="12" name="Pole tekstowe 5" descr="W porównaniu z 2023 r. aktywa obrotowe wzrosły o 0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95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6E0CF" w14:textId="77777777" w:rsidR="00A05623" w:rsidRPr="00960051" w:rsidRDefault="00A05623">
                            <w:pPr>
                              <w:pStyle w:val="tekstzboku"/>
                            </w:pPr>
                            <w:r w:rsidRPr="00C50B58">
                              <w:t xml:space="preserve">W </w:t>
                            </w:r>
                            <w:r w:rsidRPr="005A6F95">
                              <w:t>porównaniu</w:t>
                            </w:r>
                            <w:r w:rsidRPr="00C50B58">
                              <w:t xml:space="preserve"> </w:t>
                            </w:r>
                            <w:r w:rsidRPr="005A6F95">
                              <w:t xml:space="preserve">z </w:t>
                            </w:r>
                            <w:r w:rsidR="004D37A3" w:rsidRPr="005A6F95">
                              <w:t>202</w:t>
                            </w:r>
                            <w:r w:rsidR="004D37A3">
                              <w:t>3</w:t>
                            </w:r>
                            <w:r w:rsidR="004D37A3" w:rsidRPr="005A6F95">
                              <w:t xml:space="preserve"> </w:t>
                            </w:r>
                            <w:r w:rsidRPr="005A6F95">
                              <w:t>r. aktywa obrotowe wzrosły</w:t>
                            </w:r>
                            <w:r w:rsidRPr="00C50B58">
                              <w:t xml:space="preserve"> o </w:t>
                            </w:r>
                            <w:r w:rsidR="004D37A3">
                              <w:t>0,2</w:t>
                            </w:r>
                            <w:r w:rsidRPr="00C50B58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22525" id="_x0000_s1030" type="#_x0000_t202" alt="W porównaniu z 2023 r. aktywa obrotowe wzrosły o 0,2%" style="position:absolute;margin-left:412.5pt;margin-top:41.95pt;width:141.65pt;height:36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" filled="f" stroked="f">
                <v:textbox>
                  <w:txbxContent>
                    <w:p w14:paraId="3A76E0CF" w14:textId="77777777" w:rsidR="00A05623" w:rsidRPr="00960051" w:rsidRDefault="00A05623">
                      <w:pPr>
                        <w:pStyle w:val="tekstzboku"/>
                      </w:pPr>
                      <w:r w:rsidRPr="00C50B58">
                        <w:t xml:space="preserve">W </w:t>
                      </w:r>
                      <w:r w:rsidRPr="005A6F95">
                        <w:t>porównaniu</w:t>
                      </w:r>
                      <w:r w:rsidRPr="00C50B58">
                        <w:t xml:space="preserve"> </w:t>
                      </w:r>
                      <w:r w:rsidRPr="005A6F95">
                        <w:t xml:space="preserve">z </w:t>
                      </w:r>
                      <w:r w:rsidR="004D37A3" w:rsidRPr="005A6F95">
                        <w:t>202</w:t>
                      </w:r>
                      <w:r w:rsidR="004D37A3">
                        <w:t>3</w:t>
                      </w:r>
                      <w:r w:rsidR="004D37A3" w:rsidRPr="005A6F95">
                        <w:t xml:space="preserve"> </w:t>
                      </w:r>
                      <w:r w:rsidRPr="005A6F95">
                        <w:t>r. aktywa obrotowe wzrosły</w:t>
                      </w:r>
                      <w:r w:rsidRPr="00C50B58">
                        <w:t xml:space="preserve"> o </w:t>
                      </w:r>
                      <w:r w:rsidR="004D37A3">
                        <w:t>0,2</w:t>
                      </w:r>
                      <w:r w:rsidRPr="00C50B58"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166E" w:rsidRPr="00B43897">
        <w:t xml:space="preserve">Wskaźnik płynności finansowej I stopnia wyniósł </w:t>
      </w:r>
      <w:r w:rsidR="00051663">
        <w:t>39,0</w:t>
      </w:r>
      <w:r w:rsidR="0035166E" w:rsidRPr="00B43897">
        <w:t xml:space="preserve">% (wobec </w:t>
      </w:r>
      <w:r w:rsidR="00051663">
        <w:t>40,3</w:t>
      </w:r>
      <w:r w:rsidR="0035166E" w:rsidRPr="00B43897">
        <w:t xml:space="preserve">% przed rokiem), płynności finansowej II stopnia – </w:t>
      </w:r>
      <w:r w:rsidR="004D37A3">
        <w:t>85,8</w:t>
      </w:r>
      <w:r w:rsidR="0035166E" w:rsidRPr="00B43897">
        <w:t xml:space="preserve">% (wobec </w:t>
      </w:r>
      <w:r w:rsidR="004D37A3">
        <w:t>89,0</w:t>
      </w:r>
      <w:r w:rsidR="0035166E" w:rsidRPr="00B43897">
        <w:t>%)</w:t>
      </w:r>
      <w:r w:rsidR="00834A23" w:rsidRPr="00B43897">
        <w:t xml:space="preserve">, a płynności finansowej III </w:t>
      </w:r>
      <w:r w:rsidR="004D37A3">
        <w:t>stopnia</w:t>
      </w:r>
      <w:r w:rsidR="00FC394F">
        <w:t xml:space="preserve"> </w:t>
      </w:r>
      <w:r w:rsidR="00834A23" w:rsidRPr="00B43897">
        <w:t xml:space="preserve">– </w:t>
      </w:r>
      <w:r w:rsidR="004D37A3">
        <w:t>138,4</w:t>
      </w:r>
      <w:r w:rsidR="00834A23" w:rsidRPr="00B43897">
        <w:t xml:space="preserve">% (wobec </w:t>
      </w:r>
      <w:r w:rsidR="004D37A3">
        <w:t>146,7</w:t>
      </w:r>
      <w:r w:rsidR="00834A23" w:rsidRPr="00B43897">
        <w:t>%)</w:t>
      </w:r>
      <w:r w:rsidR="0035166E" w:rsidRPr="00B43897">
        <w:t xml:space="preserve">. </w:t>
      </w:r>
    </w:p>
    <w:p w14:paraId="65DC4785" w14:textId="3EDE8D2E" w:rsidR="0043227A" w:rsidRDefault="0043227A" w:rsidP="00380175">
      <w:r w:rsidRPr="005A6F95">
        <w:rPr>
          <w:spacing w:val="-2"/>
        </w:rPr>
        <w:t xml:space="preserve">Wartość aktywów obrotowych według stanu na dzień 31 grudnia </w:t>
      </w:r>
      <w:r w:rsidR="00BD3642" w:rsidRPr="005A6F95">
        <w:rPr>
          <w:spacing w:val="-2"/>
        </w:rPr>
        <w:t>202</w:t>
      </w:r>
      <w:r w:rsidR="00FC394F">
        <w:rPr>
          <w:spacing w:val="-2"/>
        </w:rPr>
        <w:t>4</w:t>
      </w:r>
      <w:r w:rsidR="00BD3642" w:rsidRPr="005A6F95">
        <w:rPr>
          <w:spacing w:val="-2"/>
        </w:rPr>
        <w:t xml:space="preserve"> </w:t>
      </w:r>
      <w:r w:rsidRPr="005A6F95">
        <w:rPr>
          <w:spacing w:val="-2"/>
        </w:rPr>
        <w:t xml:space="preserve">r. wyniosła </w:t>
      </w:r>
      <w:r w:rsidR="00BD3642" w:rsidRPr="00B43897">
        <w:rPr>
          <w:rFonts w:cs="Arial"/>
          <w:color w:val="000000"/>
          <w:spacing w:val="-2"/>
        </w:rPr>
        <w:t xml:space="preserve">44 </w:t>
      </w:r>
      <w:r w:rsidR="004D37A3">
        <w:rPr>
          <w:rFonts w:cs="Arial"/>
          <w:color w:val="000000"/>
          <w:spacing w:val="-2"/>
        </w:rPr>
        <w:t>942,2</w:t>
      </w:r>
      <w:r w:rsidRPr="005A6F95">
        <w:rPr>
          <w:spacing w:val="-2"/>
        </w:rPr>
        <w:t xml:space="preserve"> mln zł</w:t>
      </w:r>
      <w:r w:rsidR="00BD3642">
        <w:t xml:space="preserve"> </w:t>
      </w:r>
      <w:r>
        <w:t xml:space="preserve">i w porównaniu z rokiem poprzednim </w:t>
      </w:r>
      <w:r w:rsidR="004D37A3">
        <w:t xml:space="preserve">nieznacznie </w:t>
      </w:r>
      <w:r>
        <w:t xml:space="preserve">zwiększyła się o </w:t>
      </w:r>
      <w:r w:rsidR="004D37A3">
        <w:t>0,2</w:t>
      </w:r>
      <w:r>
        <w:t xml:space="preserve">%. W rzeczowej strukturze aktywów największy udział miały </w:t>
      </w:r>
      <w:r w:rsidR="004D37A3">
        <w:t>należności krótkoterminowe</w:t>
      </w:r>
      <w:r>
        <w:t xml:space="preserve"> (</w:t>
      </w:r>
      <w:r w:rsidR="00D74B53">
        <w:t>33,</w:t>
      </w:r>
      <w:r w:rsidR="004D37A3">
        <w:t>8</w:t>
      </w:r>
      <w:r>
        <w:t xml:space="preserve">%) i </w:t>
      </w:r>
      <w:r w:rsidR="004D37A3">
        <w:t>zapasy</w:t>
      </w:r>
      <w:r>
        <w:t xml:space="preserve"> </w:t>
      </w:r>
      <w:r w:rsidR="00932FB8">
        <w:t>(</w:t>
      </w:r>
      <w:r w:rsidR="00513530">
        <w:t>32</w:t>
      </w:r>
      <w:r w:rsidR="00932FB8">
        <w:t>,</w:t>
      </w:r>
      <w:r w:rsidR="004D37A3">
        <w:t>5</w:t>
      </w:r>
      <w:r w:rsidR="00932FB8">
        <w:t>%)</w:t>
      </w:r>
      <w:r>
        <w:t>.</w:t>
      </w:r>
      <w:r w:rsidR="009D7DF4">
        <w:t xml:space="preserve"> </w:t>
      </w:r>
    </w:p>
    <w:p w14:paraId="4EB0A0F1" w14:textId="3C417106" w:rsidR="00B93B53" w:rsidRDefault="00B93B53" w:rsidP="00380175">
      <w:r w:rsidRPr="00162358">
        <w:rPr>
          <w:spacing w:val="-4"/>
        </w:rPr>
        <w:t>Podstawowym źródłem finansowania aktywów obrotowych były zobowiązania krótkoterminowe,</w:t>
      </w:r>
      <w:r>
        <w:t xml:space="preserve"> </w:t>
      </w:r>
      <w:r w:rsidRPr="00162358">
        <w:t xml:space="preserve">które osiągnęły wartość </w:t>
      </w:r>
      <w:r w:rsidR="004D37A3">
        <w:rPr>
          <w:rFonts w:cs="Arial"/>
          <w:color w:val="000000"/>
          <w:szCs w:val="19"/>
        </w:rPr>
        <w:t>32 478,4</w:t>
      </w:r>
      <w:r w:rsidRPr="00162358">
        <w:t xml:space="preserve"> mln zł.</w:t>
      </w:r>
      <w:r>
        <w:t xml:space="preserve"> Wśród nich dominowały zobowiązania z tytułu </w:t>
      </w:r>
      <w:r w:rsidR="00380175">
        <w:br/>
      </w:r>
      <w:r>
        <w:t>dostaw i usług (34,3%) oraz kredytów i pożyczek (</w:t>
      </w:r>
      <w:r w:rsidR="00513530">
        <w:t>25,7</w:t>
      </w:r>
      <w:r>
        <w:t xml:space="preserve">%). </w:t>
      </w:r>
    </w:p>
    <w:p w14:paraId="691B1F68" w14:textId="2214E3D1" w:rsidR="00B93B53" w:rsidRDefault="00B93B53" w:rsidP="00380175">
      <w:r>
        <w:t xml:space="preserve">Zobowiązania długoterminowe w końcu grudnia </w:t>
      </w:r>
      <w:r w:rsidR="00513530">
        <w:t xml:space="preserve">2024 </w:t>
      </w:r>
      <w:r>
        <w:t xml:space="preserve">r. osiągnęły poziom </w:t>
      </w:r>
      <w:r w:rsidR="00FC5A12">
        <w:rPr>
          <w:rFonts w:cs="Arial"/>
          <w:color w:val="000000"/>
          <w:szCs w:val="19"/>
        </w:rPr>
        <w:t>12</w:t>
      </w:r>
      <w:r w:rsidR="00380175">
        <w:rPr>
          <w:rFonts w:cs="Arial"/>
          <w:color w:val="000000"/>
          <w:szCs w:val="19"/>
        </w:rPr>
        <w:t xml:space="preserve"> </w:t>
      </w:r>
      <w:r w:rsidR="00FC5A12">
        <w:rPr>
          <w:rFonts w:cs="Arial"/>
          <w:color w:val="000000"/>
          <w:szCs w:val="19"/>
        </w:rPr>
        <w:t>495,4</w:t>
      </w:r>
      <w:r w:rsidR="00FE031C">
        <w:rPr>
          <w:rFonts w:cs="Arial"/>
          <w:color w:val="000000"/>
          <w:szCs w:val="19"/>
        </w:rPr>
        <w:t xml:space="preserve"> </w:t>
      </w:r>
      <w:r>
        <w:t>mln zł</w:t>
      </w:r>
      <w:r w:rsidR="00FC5A12">
        <w:t xml:space="preserve">, </w:t>
      </w:r>
      <w:r w:rsidR="00380175">
        <w:br/>
      </w:r>
      <w:r w:rsidR="00FC5A12">
        <w:t>w tym n</w:t>
      </w:r>
      <w:r w:rsidRPr="00162358">
        <w:t xml:space="preserve">a kredyty i pożyczki przypadało </w:t>
      </w:r>
      <w:r w:rsidR="00FC5A12">
        <w:t>71,3%</w:t>
      </w:r>
      <w:r>
        <w:t xml:space="preserve"> zobowiązań długoterminowych. </w:t>
      </w:r>
    </w:p>
    <w:p w14:paraId="5090BB29" w14:textId="77777777" w:rsidR="00822F36" w:rsidRPr="00672FE2" w:rsidRDefault="0097667C" w:rsidP="00672FE2">
      <w:pPr>
        <w:pStyle w:val="tytuwykresu"/>
        <w:ind w:left="851" w:hanging="851"/>
        <w:rPr>
          <w:b w:val="0"/>
        </w:rPr>
      </w:pPr>
      <w:r w:rsidRPr="00454A82">
        <w:t xml:space="preserve">Tablica </w:t>
      </w:r>
      <w:r>
        <w:t>3</w:t>
      </w:r>
      <w:r w:rsidRPr="00454A82">
        <w:t xml:space="preserve">. </w:t>
      </w:r>
      <w:r>
        <w:t>Aktywa obrotowe oraz zobowiązania</w:t>
      </w:r>
      <w:r w:rsidRPr="00454A82">
        <w:t xml:space="preserve"> </w:t>
      </w:r>
      <w:r w:rsidR="00672FE2">
        <w:br/>
      </w:r>
      <w:r w:rsidR="00822F36" w:rsidRPr="00672FE2">
        <w:rPr>
          <w:b w:val="0"/>
        </w:rPr>
        <w:t>Stan w dniu 31 grudnia</w:t>
      </w:r>
    </w:p>
    <w:tbl>
      <w:tblPr>
        <w:tblW w:w="80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Aktywa obrotowe oraz zobowiązania "/>
      </w:tblPr>
      <w:tblGrid>
        <w:gridCol w:w="3857"/>
        <w:gridCol w:w="1388"/>
        <w:gridCol w:w="1419"/>
        <w:gridCol w:w="1381"/>
      </w:tblGrid>
      <w:tr w:rsidR="0097667C" w:rsidRPr="00957F9B" w14:paraId="3B19E18A" w14:textId="77777777" w:rsidTr="00380175">
        <w:trPr>
          <w:trHeight w:val="420"/>
        </w:trPr>
        <w:tc>
          <w:tcPr>
            <w:tcW w:w="385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5B6900B0" w14:textId="77777777" w:rsidR="0097667C" w:rsidRPr="005A6F95" w:rsidRDefault="0097667C" w:rsidP="00932FB8">
            <w:pPr>
              <w:pStyle w:val="glowkatablicy"/>
            </w:pPr>
            <w:r w:rsidRPr="005A6F95">
              <w:t>Wyszczególnienie</w:t>
            </w:r>
          </w:p>
        </w:tc>
        <w:tc>
          <w:tcPr>
            <w:tcW w:w="138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664C563F" w14:textId="77777777" w:rsidR="0097667C" w:rsidRPr="005A6F95" w:rsidRDefault="0097667C" w:rsidP="00C264F6">
            <w:pPr>
              <w:pStyle w:val="glowkatablicy"/>
            </w:pPr>
            <w:r w:rsidRPr="005A6F95">
              <w:t>202</w:t>
            </w:r>
            <w:r w:rsidR="00C264F6">
              <w:t>3</w:t>
            </w:r>
          </w:p>
        </w:tc>
        <w:tc>
          <w:tcPr>
            <w:tcW w:w="141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vAlign w:val="center"/>
          </w:tcPr>
          <w:p w14:paraId="1995A7D3" w14:textId="77777777" w:rsidR="0097667C" w:rsidRPr="005A6F95" w:rsidRDefault="0097667C" w:rsidP="00D71C6A">
            <w:pPr>
              <w:pStyle w:val="glowkatablicy"/>
            </w:pPr>
            <w:r w:rsidRPr="005A6F95">
              <w:t>202</w:t>
            </w:r>
            <w:r w:rsidR="00D71C6A">
              <w:t>4</w:t>
            </w:r>
          </w:p>
        </w:tc>
        <w:tc>
          <w:tcPr>
            <w:tcW w:w="1382" w:type="dxa"/>
            <w:vMerge w:val="restart"/>
            <w:tcBorders>
              <w:top w:val="single" w:sz="4" w:space="0" w:color="001D77"/>
              <w:left w:val="single" w:sz="4" w:space="0" w:color="212492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1D540393" w14:textId="77777777" w:rsidR="0097667C" w:rsidRPr="005A6F95" w:rsidRDefault="0097667C" w:rsidP="00C264F6">
            <w:pPr>
              <w:pStyle w:val="glowkatablicy"/>
            </w:pPr>
            <w:r w:rsidRPr="005A6F95">
              <w:t>202</w:t>
            </w:r>
            <w:r w:rsidR="00C264F6">
              <w:t>3</w:t>
            </w:r>
            <w:r w:rsidRPr="005A6F95">
              <w:t>=100</w:t>
            </w:r>
          </w:p>
        </w:tc>
      </w:tr>
      <w:tr w:rsidR="0097667C" w:rsidRPr="00957F9B" w14:paraId="71CFC23F" w14:textId="77777777" w:rsidTr="00380175">
        <w:trPr>
          <w:trHeight w:val="420"/>
        </w:trPr>
        <w:tc>
          <w:tcPr>
            <w:tcW w:w="385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AEE3B61" w14:textId="77777777" w:rsidR="0097667C" w:rsidRPr="00B43897" w:rsidRDefault="0097667C" w:rsidP="00932FB8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2805" w:type="dxa"/>
            <w:gridSpan w:val="2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068E6AF" w14:textId="77777777" w:rsidR="0097667C" w:rsidRPr="005A6F95" w:rsidRDefault="0097667C" w:rsidP="0097667C">
            <w:pPr>
              <w:pStyle w:val="glowkatablicy"/>
            </w:pPr>
            <w:r w:rsidRPr="005A6F95">
              <w:t>w milionach złotych</w:t>
            </w:r>
          </w:p>
        </w:tc>
        <w:tc>
          <w:tcPr>
            <w:tcW w:w="1382" w:type="dxa"/>
            <w:vMerge/>
            <w:tcBorders>
              <w:top w:val="single" w:sz="4" w:space="0" w:color="001D77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63669785" w14:textId="77777777" w:rsidR="0097667C" w:rsidRPr="00B43897" w:rsidRDefault="0097667C" w:rsidP="00932F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</w:p>
        </w:tc>
      </w:tr>
      <w:tr w:rsidR="00AF0314" w:rsidRPr="00957F9B" w14:paraId="24AA277D" w14:textId="77777777" w:rsidTr="00380175">
        <w:trPr>
          <w:trHeight w:val="504"/>
        </w:trPr>
        <w:tc>
          <w:tcPr>
            <w:tcW w:w="385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A5BF188" w14:textId="77777777" w:rsidR="00AF0314" w:rsidRPr="00B43897" w:rsidRDefault="00AF0314" w:rsidP="00AF0314">
            <w:pPr>
              <w:spacing w:line="240" w:lineRule="exact"/>
              <w:rPr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Aktywa obrotowe</w:t>
            </w:r>
          </w:p>
        </w:tc>
        <w:tc>
          <w:tcPr>
            <w:tcW w:w="1389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4DD7FB" w14:textId="77777777" w:rsidR="00AF0314" w:rsidRPr="00380175" w:rsidRDefault="00AF0314" w:rsidP="0038017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44 840,9</w:t>
            </w:r>
          </w:p>
        </w:tc>
        <w:tc>
          <w:tcPr>
            <w:tcW w:w="142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9638F66" w14:textId="77777777" w:rsidR="00AF0314" w:rsidRPr="00380175" w:rsidRDefault="00AF0314" w:rsidP="0038017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44 942,2</w:t>
            </w:r>
          </w:p>
        </w:tc>
        <w:tc>
          <w:tcPr>
            <w:tcW w:w="1378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7B812660" w14:textId="77777777" w:rsidR="00AF0314" w:rsidRPr="00380175" w:rsidRDefault="00AF0314" w:rsidP="0038017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100,2</w:t>
            </w:r>
          </w:p>
        </w:tc>
      </w:tr>
      <w:tr w:rsidR="00AF0314" w:rsidRPr="00957F9B" w14:paraId="0E0D77DE" w14:textId="77777777" w:rsidTr="00380175">
        <w:trPr>
          <w:trHeight w:val="504"/>
        </w:trPr>
        <w:tc>
          <w:tcPr>
            <w:tcW w:w="385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EB9AE91" w14:textId="77777777" w:rsidR="00AF0314" w:rsidRPr="00B43897" w:rsidRDefault="00AF0314" w:rsidP="00AF0314">
            <w:pPr>
              <w:spacing w:line="240" w:lineRule="exact"/>
              <w:ind w:left="176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zapasy</w:t>
            </w:r>
          </w:p>
        </w:tc>
        <w:tc>
          <w:tcPr>
            <w:tcW w:w="13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46AC772" w14:textId="77777777" w:rsidR="00AF0314" w:rsidRPr="00380175" w:rsidRDefault="00AF0314" w:rsidP="0038017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15 094,0</w:t>
            </w:r>
          </w:p>
        </w:tc>
        <w:tc>
          <w:tcPr>
            <w:tcW w:w="14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F7220EE" w14:textId="77777777" w:rsidR="00AF0314" w:rsidRPr="00380175" w:rsidRDefault="00AF0314" w:rsidP="0038017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14 587,6</w:t>
            </w:r>
          </w:p>
        </w:tc>
        <w:tc>
          <w:tcPr>
            <w:tcW w:w="1378" w:type="dxa"/>
            <w:tcBorders>
              <w:top w:val="single" w:sz="4" w:space="0" w:color="001D77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48660CFF" w14:textId="77777777" w:rsidR="00AF0314" w:rsidRPr="00380175" w:rsidRDefault="00AF0314" w:rsidP="0038017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96,6</w:t>
            </w:r>
          </w:p>
        </w:tc>
      </w:tr>
      <w:tr w:rsidR="00AF0314" w:rsidRPr="00957F9B" w14:paraId="6D16B3BA" w14:textId="77777777" w:rsidTr="00380175">
        <w:trPr>
          <w:trHeight w:val="504"/>
        </w:trPr>
        <w:tc>
          <w:tcPr>
            <w:tcW w:w="385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5BC4256" w14:textId="77777777" w:rsidR="00AF0314" w:rsidRPr="00B43897" w:rsidRDefault="00AF0314" w:rsidP="00AF0314">
            <w:pPr>
              <w:spacing w:line="240" w:lineRule="exact"/>
              <w:ind w:left="176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należności krótkoterminowe</w:t>
            </w:r>
          </w:p>
        </w:tc>
        <w:tc>
          <w:tcPr>
            <w:tcW w:w="13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249AA0C" w14:textId="77777777" w:rsidR="00AF0314" w:rsidRPr="00380175" w:rsidRDefault="00AF0314" w:rsidP="0038017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14 866,1</w:t>
            </w:r>
          </w:p>
        </w:tc>
        <w:tc>
          <w:tcPr>
            <w:tcW w:w="14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F0D48CE" w14:textId="77777777" w:rsidR="00AF0314" w:rsidRPr="00380175" w:rsidRDefault="00AF0314" w:rsidP="0038017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15 197,8</w:t>
            </w:r>
          </w:p>
        </w:tc>
        <w:tc>
          <w:tcPr>
            <w:tcW w:w="1378" w:type="dxa"/>
            <w:tcBorders>
              <w:top w:val="nil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2BAED463" w14:textId="77777777" w:rsidR="00AF0314" w:rsidRPr="00380175" w:rsidRDefault="00AF0314" w:rsidP="0038017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102,2</w:t>
            </w:r>
          </w:p>
        </w:tc>
      </w:tr>
      <w:tr w:rsidR="00AF0314" w:rsidRPr="00957F9B" w14:paraId="4655C003" w14:textId="77777777" w:rsidTr="00380175">
        <w:trPr>
          <w:trHeight w:val="504"/>
        </w:trPr>
        <w:tc>
          <w:tcPr>
            <w:tcW w:w="385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AF9D7A4" w14:textId="77777777" w:rsidR="00AF0314" w:rsidRPr="00B43897" w:rsidRDefault="00AF0314" w:rsidP="00AF0314">
            <w:pPr>
              <w:spacing w:line="240" w:lineRule="exact"/>
              <w:ind w:left="176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inwestycje krótkoterminowe</w:t>
            </w:r>
          </w:p>
        </w:tc>
        <w:tc>
          <w:tcPr>
            <w:tcW w:w="13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DD265CC" w14:textId="77777777" w:rsidR="00AF0314" w:rsidRPr="00380175" w:rsidRDefault="00AF0314" w:rsidP="0038017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12 331,4</w:t>
            </w:r>
          </w:p>
        </w:tc>
        <w:tc>
          <w:tcPr>
            <w:tcW w:w="14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B983E4C" w14:textId="77777777" w:rsidR="00AF0314" w:rsidRPr="00380175" w:rsidRDefault="00AF0314" w:rsidP="0038017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12 671,2</w:t>
            </w:r>
          </w:p>
        </w:tc>
        <w:tc>
          <w:tcPr>
            <w:tcW w:w="1378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6A9A8E66" w14:textId="77777777" w:rsidR="00AF0314" w:rsidRPr="00380175" w:rsidRDefault="00AF0314" w:rsidP="0038017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102,8</w:t>
            </w:r>
          </w:p>
        </w:tc>
      </w:tr>
      <w:tr w:rsidR="00AF0314" w:rsidRPr="00957F9B" w14:paraId="1D19211F" w14:textId="77777777" w:rsidTr="00380175">
        <w:trPr>
          <w:trHeight w:val="504"/>
        </w:trPr>
        <w:tc>
          <w:tcPr>
            <w:tcW w:w="385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2B40E93" w14:textId="77777777" w:rsidR="00AF0314" w:rsidRPr="00B43897" w:rsidRDefault="00AF0314" w:rsidP="00AF0314">
            <w:pPr>
              <w:spacing w:line="240" w:lineRule="exact"/>
              <w:ind w:left="176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 xml:space="preserve">krótkoterminowe rozliczenia </w:t>
            </w:r>
            <w:r w:rsidRPr="00B43897">
              <w:rPr>
                <w:rFonts w:cs="Arial"/>
                <w:color w:val="000000"/>
                <w:szCs w:val="19"/>
              </w:rPr>
              <w:br/>
              <w:t>międzyokresowe</w:t>
            </w:r>
          </w:p>
        </w:tc>
        <w:tc>
          <w:tcPr>
            <w:tcW w:w="13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0A0154A" w14:textId="77777777" w:rsidR="00AF0314" w:rsidRPr="00380175" w:rsidRDefault="00AF0314" w:rsidP="0038017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2 549,4</w:t>
            </w:r>
          </w:p>
        </w:tc>
        <w:tc>
          <w:tcPr>
            <w:tcW w:w="14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85D8357" w14:textId="77777777" w:rsidR="00AF0314" w:rsidRPr="00380175" w:rsidRDefault="00AF0314" w:rsidP="0038017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2 485,6</w:t>
            </w:r>
          </w:p>
        </w:tc>
        <w:tc>
          <w:tcPr>
            <w:tcW w:w="13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068450B7" w14:textId="77777777" w:rsidR="00AF0314" w:rsidRPr="00380175" w:rsidRDefault="00AF0314" w:rsidP="0038017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97,5</w:t>
            </w:r>
          </w:p>
        </w:tc>
      </w:tr>
      <w:tr w:rsidR="00AF0314" w:rsidRPr="00957F9B" w14:paraId="1B538759" w14:textId="77777777" w:rsidTr="00380175">
        <w:trPr>
          <w:trHeight w:val="504"/>
        </w:trPr>
        <w:tc>
          <w:tcPr>
            <w:tcW w:w="385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8187548" w14:textId="77777777" w:rsidR="00AF0314" w:rsidRPr="00B43897" w:rsidRDefault="00AF0314" w:rsidP="00AF0314">
            <w:pPr>
              <w:spacing w:line="24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Zobowiązania krótkoterminowe</w:t>
            </w:r>
          </w:p>
        </w:tc>
        <w:tc>
          <w:tcPr>
            <w:tcW w:w="13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D582EE4" w14:textId="77777777" w:rsidR="00AF0314" w:rsidRPr="00380175" w:rsidRDefault="00AF0314" w:rsidP="0038017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30 574,6</w:t>
            </w:r>
          </w:p>
        </w:tc>
        <w:tc>
          <w:tcPr>
            <w:tcW w:w="14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B0B8B3E" w14:textId="77777777" w:rsidR="00AF0314" w:rsidRPr="00380175" w:rsidRDefault="00AF0314" w:rsidP="0038017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32 478,3</w:t>
            </w:r>
          </w:p>
        </w:tc>
        <w:tc>
          <w:tcPr>
            <w:tcW w:w="13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54E975A8" w14:textId="77777777" w:rsidR="00AF0314" w:rsidRPr="00380175" w:rsidRDefault="00AF0314" w:rsidP="0038017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106,2</w:t>
            </w:r>
          </w:p>
        </w:tc>
      </w:tr>
      <w:tr w:rsidR="00AF0314" w:rsidRPr="00957F9B" w14:paraId="5BCB820A" w14:textId="77777777" w:rsidTr="00380175">
        <w:trPr>
          <w:trHeight w:val="504"/>
        </w:trPr>
        <w:tc>
          <w:tcPr>
            <w:tcW w:w="3858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7C2896" w14:textId="77777777" w:rsidR="00AF0314" w:rsidRPr="00B43897" w:rsidRDefault="00AF0314" w:rsidP="00AF0314">
            <w:pPr>
              <w:spacing w:line="24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Zobowiązania długoterminowe</w:t>
            </w:r>
          </w:p>
        </w:tc>
        <w:tc>
          <w:tcPr>
            <w:tcW w:w="138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C2DF8BB" w14:textId="77777777" w:rsidR="00AF0314" w:rsidRPr="00380175" w:rsidRDefault="00AF0314" w:rsidP="0038017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58 688,3</w:t>
            </w:r>
          </w:p>
        </w:tc>
        <w:tc>
          <w:tcPr>
            <w:tcW w:w="142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AABE9AF" w14:textId="77777777" w:rsidR="00AF0314" w:rsidRPr="00380175" w:rsidRDefault="00AF0314" w:rsidP="0038017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12 495,4</w:t>
            </w:r>
          </w:p>
        </w:tc>
        <w:tc>
          <w:tcPr>
            <w:tcW w:w="1378" w:type="dxa"/>
            <w:tcBorders>
              <w:top w:val="single" w:sz="4" w:space="0" w:color="001D77"/>
              <w:left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3030D0EB" w14:textId="77777777" w:rsidR="00AF0314" w:rsidRPr="00380175" w:rsidRDefault="00AF0314" w:rsidP="0038017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21,3</w:t>
            </w:r>
          </w:p>
        </w:tc>
      </w:tr>
    </w:tbl>
    <w:p w14:paraId="29489C17" w14:textId="68518059" w:rsidR="0035166E" w:rsidRDefault="0035166E" w:rsidP="00380175">
      <w:r>
        <w:t xml:space="preserve">W strukturze rodzajowej kosztów ogółem </w:t>
      </w:r>
      <w:r w:rsidR="001819B1">
        <w:t xml:space="preserve">zmniejszył </w:t>
      </w:r>
      <w:r>
        <w:t xml:space="preserve">się udział zużycia materiałów i energii </w:t>
      </w:r>
      <w:r w:rsidR="00FD4F32">
        <w:br/>
      </w:r>
      <w:r>
        <w:t xml:space="preserve">(o </w:t>
      </w:r>
      <w:r w:rsidR="00E35760">
        <w:t>4,0</w:t>
      </w:r>
      <w:r w:rsidR="001819B1" w:rsidRPr="00B43897">
        <w:t xml:space="preserve"> </w:t>
      </w:r>
      <w:r w:rsidRPr="00B43897">
        <w:t>p. proc.)</w:t>
      </w:r>
      <w:r w:rsidR="00E35760">
        <w:t xml:space="preserve"> oraz pozostałych kosztów rodzajowych (o 0,1 p. proc.)</w:t>
      </w:r>
      <w:r w:rsidRPr="00B43897">
        <w:t xml:space="preserve">. </w:t>
      </w:r>
      <w:r w:rsidR="001819B1" w:rsidRPr="00B43897">
        <w:t>W skali roku wzrósł</w:t>
      </w:r>
      <w:r w:rsidRPr="00B43897">
        <w:t xml:space="preserve"> udział </w:t>
      </w:r>
      <w:r w:rsidR="00FD4F32" w:rsidRPr="00B43897">
        <w:t xml:space="preserve">wynagrodzeń (o </w:t>
      </w:r>
      <w:r w:rsidR="001819B1" w:rsidRPr="00B43897">
        <w:t>2,</w:t>
      </w:r>
      <w:r w:rsidR="00E35760">
        <w:t>3</w:t>
      </w:r>
      <w:r w:rsidR="00E35760" w:rsidRPr="00B43897">
        <w:t xml:space="preserve"> </w:t>
      </w:r>
      <w:r w:rsidR="00FD4F32" w:rsidRPr="00B43897">
        <w:t xml:space="preserve">p. </w:t>
      </w:r>
      <w:r w:rsidRPr="00B43897">
        <w:t xml:space="preserve">proc.), </w:t>
      </w:r>
      <w:r w:rsidR="001819B1" w:rsidRPr="00B43897">
        <w:t xml:space="preserve">usług obcych (o </w:t>
      </w:r>
      <w:r w:rsidR="00E35760">
        <w:t>0</w:t>
      </w:r>
      <w:r w:rsidR="001819B1" w:rsidRPr="00B43897">
        <w:t>,6 p. proc.)</w:t>
      </w:r>
      <w:r w:rsidRPr="00B43897">
        <w:t>,</w:t>
      </w:r>
      <w:r w:rsidRPr="00162358">
        <w:t xml:space="preserve"> </w:t>
      </w:r>
      <w:r w:rsidR="001819B1">
        <w:t xml:space="preserve">ubezpieczeń społecznych </w:t>
      </w:r>
      <w:r w:rsidR="00380175">
        <w:br/>
      </w:r>
      <w:r w:rsidR="001819B1">
        <w:t>i innych świadczeń (o 0,5 p. proc.)</w:t>
      </w:r>
      <w:r w:rsidR="00C22A82" w:rsidRPr="00162358">
        <w:t xml:space="preserve">, </w:t>
      </w:r>
      <w:r w:rsidR="001819B1" w:rsidRPr="00162358">
        <w:t xml:space="preserve">amortyzacji </w:t>
      </w:r>
      <w:r w:rsidR="00E35760">
        <w:t xml:space="preserve">oraz </w:t>
      </w:r>
      <w:r w:rsidR="00E35760" w:rsidRPr="00162358">
        <w:t xml:space="preserve">podatków i opłat </w:t>
      </w:r>
      <w:r w:rsidR="001819B1" w:rsidRPr="00162358">
        <w:t>(</w:t>
      </w:r>
      <w:r w:rsidR="00E35760">
        <w:t>p</w:t>
      </w:r>
      <w:r w:rsidR="001819B1" w:rsidRPr="00162358">
        <w:t>o 0,</w:t>
      </w:r>
      <w:r w:rsidR="00E35760">
        <w:t>3</w:t>
      </w:r>
      <w:r w:rsidR="00E35760" w:rsidRPr="00162358">
        <w:t xml:space="preserve"> </w:t>
      </w:r>
      <w:r w:rsidR="001819B1" w:rsidRPr="00162358">
        <w:t>p. proc.)</w:t>
      </w:r>
      <w:r w:rsidR="00380175">
        <w:t>.</w:t>
      </w:r>
      <w:r w:rsidR="001819B1">
        <w:t xml:space="preserve"> </w:t>
      </w:r>
    </w:p>
    <w:p w14:paraId="6198EBC1" w14:textId="77777777" w:rsidR="00CF1957" w:rsidRDefault="008C04BC" w:rsidP="000648CD">
      <w:pPr>
        <w:pStyle w:val="tytuwykresu"/>
      </w:pPr>
      <w:r w:rsidRPr="000648CD">
        <w:t>Wykres 3. Struktura rodzajowa kosztów</w:t>
      </w:r>
      <w:r w:rsidR="00DD5224">
        <w:t xml:space="preserve"> </w:t>
      </w:r>
    </w:p>
    <w:p w14:paraId="635FE97F" w14:textId="25A9ED23" w:rsidR="00575331" w:rsidRDefault="00575331" w:rsidP="00575331">
      <w:pPr>
        <w:pStyle w:val="Brakstyluakapitowego"/>
      </w:pPr>
      <w:r>
        <w:rPr>
          <w:noProof/>
        </w:rPr>
        <w:drawing>
          <wp:inline distT="0" distB="0" distL="0" distR="0" wp14:anchorId="02FB262B" wp14:editId="3D4E7804">
            <wp:extent cx="4099522" cy="2016000"/>
            <wp:effectExtent l="0" t="0" r="0" b="3810"/>
            <wp:docPr id="1" name="Obraz 1" descr="Wykres słupkowy prezentujący strukturę rodzajową kosztów w latach 2024 i 2023. W 2024 r. zużycie materiałów i energii stanowiło 45,4% kosztów ogółem (wobec 49,4% w 2023 r.), usługi obce – 23,5% (wobec 22,9%), wynagrodzenia – 18,7% (wobec 16,4%), amortyzacja – 4,5% (wobec 4,2%), ubezpieczenia społeczne i inne świadczenia – 4,5% (wobec 4,2%), podatki i opłaty – 1,9% (wobec 1,6%), pozostałe koszty – 1,6% (wobec 1,7%)." title="Wykres 3. Struktura rodzajowa kosz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9522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B22EC" w14:textId="12F8CF26" w:rsidR="002F4B59" w:rsidRPr="00380175" w:rsidRDefault="00267749" w:rsidP="00380175">
      <w:r w:rsidRPr="007B6335">
        <w:rPr>
          <w:noProof/>
          <w:highlight w:val="yellow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7522E105" wp14:editId="44D90423">
                <wp:simplePos x="0" y="0"/>
                <wp:positionH relativeFrom="page">
                  <wp:posOffset>5636260</wp:posOffset>
                </wp:positionH>
                <wp:positionV relativeFrom="paragraph">
                  <wp:posOffset>635</wp:posOffset>
                </wp:positionV>
                <wp:extent cx="1924050" cy="1002665"/>
                <wp:effectExtent l="0" t="0" r="0" b="0"/>
                <wp:wrapSquare wrapText="bothSides"/>
                <wp:docPr id="14" name="Pole tekstowe 2" descr="W 2024 r. nakłady poniesione przez przedsiębiorstwa województwa zachodniopomorskiego stanowiły 1,9% nakładów krajowych (wobec 2,5% przed rokiem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002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3524F" w14:textId="5D5BCE61" w:rsidR="00A05623" w:rsidRPr="005D7E31" w:rsidRDefault="00A05623" w:rsidP="00380175">
                            <w:pPr>
                              <w:pStyle w:val="tekstzboku"/>
                            </w:pPr>
                            <w:r w:rsidRPr="00A24E32">
                              <w:t xml:space="preserve">W </w:t>
                            </w:r>
                            <w:r w:rsidR="00F117B2" w:rsidRPr="00A24E32">
                              <w:t>202</w:t>
                            </w:r>
                            <w:r w:rsidR="00F117B2">
                              <w:t>4</w:t>
                            </w:r>
                            <w:r w:rsidR="00F117B2" w:rsidRPr="00A24E32">
                              <w:t xml:space="preserve"> </w:t>
                            </w:r>
                            <w:r w:rsidRPr="00A24E32">
                              <w:t xml:space="preserve">r. nakłady poniesione przez </w:t>
                            </w:r>
                            <w:r w:rsidRPr="00380175">
                              <w:t>przedsiębiorstwa</w:t>
                            </w:r>
                            <w:r w:rsidRPr="00A24E32">
                              <w:t xml:space="preserve"> województwa zachodniopomorskiego stanowiły </w:t>
                            </w:r>
                            <w:r w:rsidR="00F117B2">
                              <w:t>1,9</w:t>
                            </w:r>
                            <w:r w:rsidRPr="00A24E32">
                              <w:t>% nakładów krajowych</w:t>
                            </w:r>
                            <w:r w:rsidR="00A06E7B">
                              <w:t xml:space="preserve"> (wobec 2,5% przed rokiem)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2E105" id="_x0000_s1031" type="#_x0000_t202" alt="W 2024 r. nakłady poniesione przez przedsiębiorstwa województwa zachodniopomorskiego stanowiły 1,9% nakładów krajowych (wobec 2,5% przed rokiem)" style="position:absolute;margin-left:443.8pt;margin-top:.05pt;width:151.5pt;height:78.9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" filled="f" stroked="f">
                <v:textbox>
                  <w:txbxContent>
                    <w:p w14:paraId="4533524F" w14:textId="5D5BCE61" w:rsidR="00A05623" w:rsidRPr="005D7E31" w:rsidRDefault="00A05623" w:rsidP="00380175">
                      <w:pPr>
                        <w:pStyle w:val="tekstzboku"/>
                      </w:pPr>
                      <w:r w:rsidRPr="00A24E32">
                        <w:t xml:space="preserve">W </w:t>
                      </w:r>
                      <w:r w:rsidR="00F117B2" w:rsidRPr="00A24E32">
                        <w:t>202</w:t>
                      </w:r>
                      <w:r w:rsidR="00F117B2">
                        <w:t>4</w:t>
                      </w:r>
                      <w:r w:rsidR="00F117B2" w:rsidRPr="00A24E32">
                        <w:t xml:space="preserve"> </w:t>
                      </w:r>
                      <w:r w:rsidRPr="00A24E32">
                        <w:t xml:space="preserve">r. nakłady poniesione przez </w:t>
                      </w:r>
                      <w:r w:rsidRPr="00380175">
                        <w:t>przedsiębiorstwa</w:t>
                      </w:r>
                      <w:r w:rsidRPr="00A24E32">
                        <w:t xml:space="preserve"> województwa zachodniopomorskiego stanowiły </w:t>
                      </w:r>
                      <w:r w:rsidR="00F117B2">
                        <w:t>1,9</w:t>
                      </w:r>
                      <w:r w:rsidRPr="00A24E32">
                        <w:t>% nakładów krajowych</w:t>
                      </w:r>
                      <w:r w:rsidR="00A06E7B">
                        <w:t xml:space="preserve"> (wobec 2,5% przed rokiem)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F4B59" w:rsidRPr="007B6335">
        <w:t xml:space="preserve">Nakłady inwestycyjne badanych przedsiębiorstw w 2024 r. wyniosły 4 180,7 mln zł i były </w:t>
      </w:r>
      <w:r w:rsidR="007B6335">
        <w:br/>
      </w:r>
      <w:r w:rsidR="002F4B59" w:rsidRPr="007B6335">
        <w:t xml:space="preserve">(w cenach </w:t>
      </w:r>
      <w:r w:rsidR="00460EC6" w:rsidRPr="00460EC6">
        <w:t>bieżących</w:t>
      </w:r>
      <w:r w:rsidR="002F4B59" w:rsidRPr="007B6335">
        <w:t xml:space="preserve">) o </w:t>
      </w:r>
      <w:r w:rsidR="00501457" w:rsidRPr="007B6335">
        <w:t>31,6</w:t>
      </w:r>
      <w:r w:rsidR="002F4B59" w:rsidRPr="007B6335">
        <w:t xml:space="preserve">% niższe niż rok wcześniej (kiedy notowano wzrost o </w:t>
      </w:r>
      <w:r w:rsidR="00501457" w:rsidRPr="007B6335">
        <w:t>1,4</w:t>
      </w:r>
      <w:r w:rsidR="002F4B59" w:rsidRPr="007B6335">
        <w:t xml:space="preserve">%). </w:t>
      </w:r>
      <w:r w:rsidR="00460EC6">
        <w:br/>
      </w:r>
      <w:r w:rsidR="002F4B59" w:rsidRPr="007B6335">
        <w:t>Nakłady na zakupy maszyn, urządze</w:t>
      </w:r>
      <w:r w:rsidR="00501457" w:rsidRPr="007B6335">
        <w:t>ń</w:t>
      </w:r>
      <w:r w:rsidR="002F4B59" w:rsidRPr="007B6335">
        <w:t xml:space="preserve"> techniczn</w:t>
      </w:r>
      <w:r w:rsidR="00501457" w:rsidRPr="007B6335">
        <w:t>ych</w:t>
      </w:r>
      <w:r w:rsidR="002F4B59" w:rsidRPr="007B6335">
        <w:t xml:space="preserve"> i narzędzi </w:t>
      </w:r>
      <w:r w:rsidR="00501457" w:rsidRPr="007B6335">
        <w:t>obniżyły się</w:t>
      </w:r>
      <w:r w:rsidR="002F4B59" w:rsidRPr="007B6335">
        <w:t xml:space="preserve"> o </w:t>
      </w:r>
      <w:r w:rsidR="00501457" w:rsidRPr="007B6335">
        <w:t>46,6</w:t>
      </w:r>
      <w:r w:rsidR="002F4B59" w:rsidRPr="007B6335">
        <w:t xml:space="preserve">% (wobec wzrostu o </w:t>
      </w:r>
      <w:r w:rsidR="00501457" w:rsidRPr="007B6335">
        <w:t>2,7</w:t>
      </w:r>
      <w:r w:rsidR="002F4B59" w:rsidRPr="007B6335">
        <w:t xml:space="preserve">%), </w:t>
      </w:r>
      <w:r w:rsidR="00D25E56" w:rsidRPr="007B6335">
        <w:t>na budynki i budowle zmniejszyły się o 16,3% (wobec wzrostu przed rokiem o 1,7%),</w:t>
      </w:r>
      <w:r w:rsidR="00E67080" w:rsidRPr="007B6335">
        <w:t xml:space="preserve"> </w:t>
      </w:r>
      <w:r w:rsidR="002F4B59" w:rsidRPr="007B6335">
        <w:t xml:space="preserve">a na środki transportu – o </w:t>
      </w:r>
      <w:r w:rsidR="00D25E56" w:rsidRPr="007B6335">
        <w:t>7</w:t>
      </w:r>
      <w:r w:rsidR="00501457" w:rsidRPr="007B6335">
        <w:t>,6</w:t>
      </w:r>
      <w:r w:rsidR="002F4B59" w:rsidRPr="007B6335">
        <w:t xml:space="preserve">% (wobec </w:t>
      </w:r>
      <w:r w:rsidR="00501457" w:rsidRPr="007B6335">
        <w:t xml:space="preserve">spadku </w:t>
      </w:r>
      <w:r w:rsidR="002F4B59" w:rsidRPr="007B6335">
        <w:t xml:space="preserve">o </w:t>
      </w:r>
      <w:r w:rsidR="00501457" w:rsidRPr="007B6335">
        <w:t>1,9</w:t>
      </w:r>
      <w:r w:rsidR="002F4B59" w:rsidRPr="007B6335">
        <w:t>%</w:t>
      </w:r>
      <w:r w:rsidR="002F4B59">
        <w:t>).</w:t>
      </w:r>
    </w:p>
    <w:p w14:paraId="7FEB10D2" w14:textId="32FCAE9C" w:rsidR="00C50B58" w:rsidRDefault="00F90EBB" w:rsidP="00575331">
      <w:pPr>
        <w:pStyle w:val="tytuwykresu"/>
        <w:ind w:left="851" w:hanging="851"/>
      </w:pPr>
      <w:r w:rsidRPr="000648CD">
        <w:t xml:space="preserve">Wykres 4. </w:t>
      </w:r>
      <w:r w:rsidR="00EA08F7" w:rsidRPr="004F4B83">
        <w:t xml:space="preserve">Nakłady inwestycyjne </w:t>
      </w:r>
      <w:r w:rsidR="00E04AFB">
        <w:t xml:space="preserve">według rodzajów </w:t>
      </w:r>
      <w:r w:rsidR="00EA08F7" w:rsidRPr="004F4B83">
        <w:t>– zmiana w stosunku do analogicznego okresu roku poprzedniego</w:t>
      </w:r>
      <w:r w:rsidR="00575331">
        <w:t xml:space="preserve"> </w:t>
      </w:r>
    </w:p>
    <w:p w14:paraId="04792E60" w14:textId="1980DE94" w:rsidR="00575331" w:rsidRDefault="00575331" w:rsidP="00575331">
      <w:pPr>
        <w:pStyle w:val="Brakstyluakapitowego"/>
      </w:pPr>
      <w:r>
        <w:rPr>
          <w:noProof/>
        </w:rPr>
        <w:drawing>
          <wp:inline distT="0" distB="0" distL="0" distR="0" wp14:anchorId="7FE7A56F" wp14:editId="15CB8EC1">
            <wp:extent cx="3746939" cy="2160000"/>
            <wp:effectExtent l="0" t="0" r="6350" b="0"/>
            <wp:docPr id="7" name="Obraz 7" descr="Wykres słupkowy prezentujący zmiany nakładów inwestycyjnych według rodzajów w 2024 r. w stosunku do analogicznego okresu poprzedniego roku. Dane opisane w tekście." title="Wykres 4. Nakłady inwestycyjne według rodzajów – zmiana w stosunku do analogicznego okresu roku poprzednie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69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4B7C" w14:textId="489A7179" w:rsidR="00CF1957" w:rsidRDefault="00CF1957" w:rsidP="00575331"/>
    <w:p w14:paraId="7EE9D658" w14:textId="390A16E8" w:rsidR="006E5C48" w:rsidRDefault="00E67080" w:rsidP="007B6335">
      <w:r>
        <w:t xml:space="preserve">Spadek nakładów inwestycyjnych odnotowano w większości sekcji, przy czym największy </w:t>
      </w:r>
      <w:r w:rsidR="007B6335">
        <w:br/>
      </w:r>
      <w:r>
        <w:t xml:space="preserve">dotyczył </w:t>
      </w:r>
      <w:r w:rsidR="003B1F2E">
        <w:t xml:space="preserve">jednostek prowadzących </w:t>
      </w:r>
      <w:r>
        <w:t>działalnoś</w:t>
      </w:r>
      <w:r w:rsidR="003B1F2E">
        <w:t>ć</w:t>
      </w:r>
      <w:r>
        <w:t xml:space="preserve"> związan</w:t>
      </w:r>
      <w:r w:rsidR="0015127D">
        <w:t>ą z</w:t>
      </w:r>
      <w:r>
        <w:t xml:space="preserve"> obsługą rynku nieruchomości</w:t>
      </w:r>
      <w:r w:rsidR="0015127D">
        <w:t xml:space="preserve"> </w:t>
      </w:r>
      <w:r w:rsidR="0015127D">
        <w:br/>
        <w:t>(o 72,6)</w:t>
      </w:r>
      <w:r>
        <w:t>. W</w:t>
      </w:r>
      <w:r w:rsidR="006E5C48" w:rsidRPr="005D7E31">
        <w:t xml:space="preserve">zrost nakładów </w:t>
      </w:r>
      <w:r w:rsidR="006E5C48">
        <w:t xml:space="preserve">inwestycyjnych </w:t>
      </w:r>
      <w:r w:rsidR="006E5C48" w:rsidRPr="005D7E31">
        <w:t xml:space="preserve">odnotowano w </w:t>
      </w:r>
      <w:r>
        <w:t>budownictwie (o 32,4%)</w:t>
      </w:r>
      <w:r w:rsidR="003B1F2E">
        <w:t>,</w:t>
      </w:r>
      <w:r>
        <w:t xml:space="preserve"> tran</w:t>
      </w:r>
      <w:r w:rsidR="003B1F2E">
        <w:t>sporcie i gospodarce magazynowej (o 15,8%)</w:t>
      </w:r>
      <w:r>
        <w:t xml:space="preserve"> </w:t>
      </w:r>
      <w:r w:rsidR="0085332A">
        <w:t>oraz</w:t>
      </w:r>
      <w:r>
        <w:t xml:space="preserve"> </w:t>
      </w:r>
      <w:r w:rsidR="003B1F2E">
        <w:t xml:space="preserve">wytwarzaniu </w:t>
      </w:r>
      <w:r w:rsidR="0085332A">
        <w:t>i</w:t>
      </w:r>
      <w:r w:rsidR="003B1F2E">
        <w:t xml:space="preserve"> zaopatrywaniu w energię </w:t>
      </w:r>
      <w:r w:rsidR="003B1F2E" w:rsidRPr="0015127D">
        <w:rPr>
          <w:spacing w:val="-2"/>
        </w:rPr>
        <w:t>elektryczną</w:t>
      </w:r>
      <w:r w:rsidR="003B1F2E">
        <w:t>, gaz, parę i gorącą wodę (o 4,9%)</w:t>
      </w:r>
      <w:r w:rsidR="0015127D">
        <w:t>.</w:t>
      </w:r>
      <w:r w:rsidR="003B1F2E">
        <w:t xml:space="preserve"> </w:t>
      </w:r>
    </w:p>
    <w:p w14:paraId="4B711AEF" w14:textId="77777777" w:rsidR="009B03CE" w:rsidRDefault="009B03CE" w:rsidP="00C8594A">
      <w:pPr>
        <w:rPr>
          <w:szCs w:val="19"/>
        </w:rPr>
      </w:pPr>
    </w:p>
    <w:p w14:paraId="4D2312FF" w14:textId="77777777" w:rsidR="009B03CE" w:rsidRDefault="009B03CE" w:rsidP="00C8594A">
      <w:pPr>
        <w:rPr>
          <w:szCs w:val="19"/>
        </w:rPr>
      </w:pPr>
    </w:p>
    <w:p w14:paraId="559CA81D" w14:textId="77777777" w:rsidR="009B03CE" w:rsidRDefault="009B03CE" w:rsidP="00C8594A">
      <w:pPr>
        <w:rPr>
          <w:szCs w:val="19"/>
        </w:rPr>
      </w:pPr>
    </w:p>
    <w:p w14:paraId="75EA3474" w14:textId="77777777" w:rsidR="009B03CE" w:rsidRDefault="009B03CE" w:rsidP="00C8594A">
      <w:pPr>
        <w:rPr>
          <w:szCs w:val="19"/>
        </w:rPr>
      </w:pPr>
    </w:p>
    <w:p w14:paraId="34EB30C4" w14:textId="77777777" w:rsidR="009B03CE" w:rsidRDefault="009B03CE" w:rsidP="00C8594A">
      <w:pPr>
        <w:rPr>
          <w:szCs w:val="19"/>
        </w:rPr>
      </w:pPr>
    </w:p>
    <w:p w14:paraId="3DBA94F6" w14:textId="77777777" w:rsidR="009B03CE" w:rsidRDefault="009B03CE" w:rsidP="00C8594A">
      <w:pPr>
        <w:rPr>
          <w:szCs w:val="19"/>
        </w:rPr>
      </w:pPr>
    </w:p>
    <w:p w14:paraId="3C7BF8AE" w14:textId="77777777" w:rsidR="00C9122E" w:rsidRDefault="00C9122E" w:rsidP="00C8594A">
      <w:pPr>
        <w:rPr>
          <w:szCs w:val="19"/>
        </w:rPr>
      </w:pPr>
    </w:p>
    <w:p w14:paraId="7B0003C6" w14:textId="77777777" w:rsidR="00C9122E" w:rsidRDefault="00C9122E" w:rsidP="00C8594A">
      <w:pPr>
        <w:rPr>
          <w:szCs w:val="19"/>
        </w:rPr>
      </w:pPr>
    </w:p>
    <w:p w14:paraId="4A9DB798" w14:textId="77777777" w:rsidR="00C9122E" w:rsidRDefault="00C9122E" w:rsidP="00C8594A">
      <w:pPr>
        <w:rPr>
          <w:szCs w:val="19"/>
        </w:rPr>
      </w:pPr>
    </w:p>
    <w:p w14:paraId="1F991504" w14:textId="77777777" w:rsidR="00C9122E" w:rsidRDefault="00C9122E" w:rsidP="00C8594A">
      <w:pPr>
        <w:rPr>
          <w:szCs w:val="19"/>
        </w:rPr>
      </w:pPr>
    </w:p>
    <w:p w14:paraId="39F17F54" w14:textId="77777777" w:rsidR="009B03CE" w:rsidRDefault="009B03CE" w:rsidP="00C8594A">
      <w:pPr>
        <w:rPr>
          <w:szCs w:val="19"/>
        </w:rPr>
      </w:pPr>
    </w:p>
    <w:p w14:paraId="00AE8AD1" w14:textId="77777777" w:rsidR="00C50B58" w:rsidRDefault="00C50B58" w:rsidP="00C8594A">
      <w:pPr>
        <w:rPr>
          <w:szCs w:val="19"/>
        </w:rPr>
      </w:pPr>
    </w:p>
    <w:p w14:paraId="43102A79" w14:textId="77777777" w:rsidR="00C50B58" w:rsidRPr="00961357" w:rsidRDefault="00C50B58" w:rsidP="00C8594A"/>
    <w:p w14:paraId="5E3A46C9" w14:textId="77777777" w:rsidR="00FD4F32" w:rsidRDefault="00FD4F32" w:rsidP="00F90EBB">
      <w:r w:rsidRPr="00454A82">
        <w:t xml:space="preserve">W przypadku cytowania danych Głównego Urzędu Statystycznego prosimy o zamieszczenie informacji: „Źródło danych GUS”, a w przypadku publikowania obliczeń dokonanych </w:t>
      </w:r>
      <w:r w:rsidR="00C50B58">
        <w:br/>
      </w:r>
      <w:r w:rsidRPr="00454A82">
        <w:t>na danych opublikowanych przez GUS prosimy o zamieszczenie informacji: „Opracowanie własne</w:t>
      </w:r>
      <w:r w:rsidRPr="00FD4F32">
        <w:t xml:space="preserve"> na podstawie danych GUS”.  </w:t>
      </w:r>
    </w:p>
    <w:p w14:paraId="7CBA88B9" w14:textId="77777777" w:rsidR="00146AF5" w:rsidRPr="00001C5B" w:rsidRDefault="00146AF5" w:rsidP="00F90EBB">
      <w:pPr>
        <w:sectPr w:rsidR="00146AF5" w:rsidRPr="00001C5B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1B1C1D24" w14:textId="77777777" w:rsidR="00AA6AE4" w:rsidRDefault="00AA6AE4" w:rsidP="00DD35C6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6D1995" w:rsidRPr="00670943" w14:paraId="34E34E92" w14:textId="77777777" w:rsidTr="00932FB8">
        <w:trPr>
          <w:trHeight w:val="1912"/>
        </w:trPr>
        <w:tc>
          <w:tcPr>
            <w:tcW w:w="4927" w:type="dxa"/>
          </w:tcPr>
          <w:p w14:paraId="2096B257" w14:textId="77777777" w:rsidR="006D1995" w:rsidRPr="00F97320" w:rsidRDefault="006D1995" w:rsidP="006D1995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14:paraId="5044794A" w14:textId="77777777" w:rsidR="006D1995" w:rsidRPr="00F97320" w:rsidRDefault="006D1995" w:rsidP="006D1995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14:paraId="6DEDE2DF" w14:textId="77777777" w:rsidR="006D1995" w:rsidRPr="00F97320" w:rsidRDefault="006D1995" w:rsidP="006D1995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14:paraId="5A2580CB" w14:textId="77777777" w:rsidR="006D1995" w:rsidRPr="00670943" w:rsidRDefault="006D1995" w:rsidP="006D1995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14:paraId="6BCAC848" w14:textId="77777777" w:rsidR="006D1995" w:rsidRDefault="006D1995" w:rsidP="006D1995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14:paraId="5D725882" w14:textId="77777777" w:rsidR="006D1995" w:rsidRPr="00670943" w:rsidRDefault="006D1995" w:rsidP="006D1995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06BA51DD" w14:textId="77777777" w:rsidR="006D1995" w:rsidRPr="003B4052" w:rsidRDefault="006D1995" w:rsidP="006D1995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73</w:t>
            </w:r>
          </w:p>
        </w:tc>
      </w:tr>
      <w:tr w:rsidR="006D1995" w:rsidRPr="00670943" w14:paraId="7E44E830" w14:textId="77777777" w:rsidTr="00932FB8">
        <w:trPr>
          <w:trHeight w:val="510"/>
        </w:trPr>
        <w:tc>
          <w:tcPr>
            <w:tcW w:w="4927" w:type="dxa"/>
          </w:tcPr>
          <w:p w14:paraId="0F4A153A" w14:textId="77777777" w:rsidR="006D1995" w:rsidRPr="00F278A6" w:rsidRDefault="006D1995" w:rsidP="006D1995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81D11E9" w14:textId="77777777" w:rsidR="006D1995" w:rsidRDefault="006D1995" w:rsidP="006D1995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773952" behindDoc="0" locked="0" layoutInCell="1" allowOverlap="1" wp14:anchorId="7FB2BA75" wp14:editId="0BAF8E9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6" name="Obraz 16" descr="Ikonka strony szczecin.stat.gov.pl" title="Ikonka strony 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szczecin.stat.gov.pl</w:t>
            </w:r>
          </w:p>
        </w:tc>
      </w:tr>
      <w:tr w:rsidR="006D1995" w:rsidRPr="00670943" w14:paraId="6A71B99E" w14:textId="77777777" w:rsidTr="00932FB8">
        <w:trPr>
          <w:trHeight w:val="510"/>
        </w:trPr>
        <w:tc>
          <w:tcPr>
            <w:tcW w:w="4927" w:type="dxa"/>
            <w:vMerge w:val="restart"/>
          </w:tcPr>
          <w:p w14:paraId="348C83C2" w14:textId="77777777" w:rsidR="006D1995" w:rsidRPr="00F278A6" w:rsidRDefault="006D1995" w:rsidP="006D1995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DA768F2" w14:textId="77777777" w:rsidR="006D1995" w:rsidRDefault="006D1995" w:rsidP="006D199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7721656F" wp14:editId="1A6613F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33020</wp:posOffset>
                  </wp:positionV>
                  <wp:extent cx="251460" cy="251460"/>
                  <wp:effectExtent l="0" t="0" r="0" b="0"/>
                  <wp:wrapNone/>
                  <wp:docPr id="17" name="Obraz 17" descr="Ikonka twittera @Szczecin_STAT" title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r w:rsidRPr="00105F8E">
              <w:rPr>
                <w:sz w:val="20"/>
                <w:szCs w:val="20"/>
              </w:rPr>
              <w:t>Szczecin_STAT</w:t>
            </w:r>
          </w:p>
        </w:tc>
      </w:tr>
      <w:tr w:rsidR="006D1995" w:rsidRPr="00670943" w14:paraId="3963F8F1" w14:textId="77777777" w:rsidTr="00932FB8">
        <w:trPr>
          <w:trHeight w:val="510"/>
        </w:trPr>
        <w:tc>
          <w:tcPr>
            <w:tcW w:w="4927" w:type="dxa"/>
            <w:vMerge/>
          </w:tcPr>
          <w:p w14:paraId="27EADAF6" w14:textId="77777777" w:rsidR="006D1995" w:rsidRPr="00F278A6" w:rsidRDefault="006D1995" w:rsidP="006D1995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14:paraId="77DECCCE" w14:textId="77777777" w:rsidR="006D1995" w:rsidRDefault="006D1995" w:rsidP="006D1995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681BC3F5" wp14:editId="24D1477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1" name="Obraz 21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@UrzadStatystycznywSzczecinie</w:t>
            </w:r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27380" w:rsidRPr="00670943" w14:paraId="2313F05E" w14:textId="77777777" w:rsidTr="00997F22">
        <w:trPr>
          <w:trHeight w:val="510"/>
        </w:trPr>
        <w:tc>
          <w:tcPr>
            <w:tcW w:w="9854" w:type="dxa"/>
            <w:gridSpan w:val="2"/>
            <w:shd w:val="clear" w:color="auto" w:fill="D9D9D9" w:themeFill="background1" w:themeFillShade="D9"/>
          </w:tcPr>
          <w:p w14:paraId="4B520400" w14:textId="77777777" w:rsidR="00E27380" w:rsidRPr="0037111C" w:rsidRDefault="00E27380" w:rsidP="00E27380">
            <w:pPr>
              <w:spacing w:line="240" w:lineRule="exact"/>
              <w:rPr>
                <w:b/>
                <w:szCs w:val="19"/>
              </w:rPr>
            </w:pPr>
            <w:r w:rsidRPr="0037111C">
              <w:rPr>
                <w:b/>
                <w:szCs w:val="19"/>
              </w:rPr>
              <w:t>Powiązane opracowania</w:t>
            </w:r>
          </w:p>
          <w:p w14:paraId="247054A9" w14:textId="252DA20F" w:rsidR="00610ADF" w:rsidRPr="00EE5F91" w:rsidRDefault="00000000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</w:pPr>
            <w:hyperlink r:id="rId19" w:tooltip="Link do opracowania: &quot;Wyniki finansowe przedsiębiorstw niefinansowych w 2024 r.&quot;" w:history="1">
              <w:r w:rsidR="00610ADF" w:rsidRPr="00EE5F91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Wyniki finansowe przedsiębiorstw niefinansowych w 2024 r.</w:t>
              </w:r>
            </w:hyperlink>
          </w:p>
          <w:p w14:paraId="046C9703" w14:textId="42D9F433" w:rsidR="00FD4F32" w:rsidRPr="00610ADF" w:rsidRDefault="00610ADF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r>
              <w:rPr>
                <w:szCs w:val="19"/>
              </w:rPr>
              <w:fldChar w:fldCharType="begin"/>
            </w:r>
            <w:r w:rsidR="009516C0">
              <w:rPr>
                <w:szCs w:val="19"/>
              </w:rPr>
              <w:instrText>HYPERLINK "https://szczecin.stat.gov.pl/opracowania-biezace/komunikaty-i-biuletyny/inne-opracowania/biuletyn-statystyczny-wojewodztwa-zachodniopomorskiego-4-kwartal-2024,3,69.html" \o "Link do opracowania: \"Biuletyn statystyczny województwa zachodniopomorskiego - 04 kwartał 2024\"</w:instrText>
            </w:r>
            <w:r>
              <w:rPr>
                <w:szCs w:val="19"/>
              </w:rPr>
            </w:r>
            <w:r>
              <w:rPr>
                <w:szCs w:val="19"/>
              </w:rPr>
              <w:fldChar w:fldCharType="separate"/>
            </w:r>
            <w:r w:rsidR="00FD4F32" w:rsidRPr="00610ADF">
              <w:rPr>
                <w:rStyle w:val="Hipercze"/>
                <w:rFonts w:cstheme="minorBidi"/>
                <w:szCs w:val="19"/>
              </w:rPr>
              <w:t xml:space="preserve">Biuletyn statystyczny województwa zachodniopomorskiego – </w:t>
            </w:r>
            <w:r w:rsidR="00FE4589" w:rsidRPr="003E6630">
              <w:rPr>
                <w:rStyle w:val="Hipercze"/>
                <w:rFonts w:cstheme="minorBidi"/>
                <w:szCs w:val="19"/>
              </w:rPr>
              <w:t xml:space="preserve">04 </w:t>
            </w:r>
            <w:r w:rsidR="00FD4F32" w:rsidRPr="003E6630">
              <w:rPr>
                <w:rStyle w:val="Hipercze"/>
                <w:rFonts w:cstheme="minorBidi"/>
                <w:szCs w:val="19"/>
              </w:rPr>
              <w:t xml:space="preserve">kwartał </w:t>
            </w:r>
            <w:r w:rsidR="00EA5DF1" w:rsidRPr="003E6630">
              <w:rPr>
                <w:rStyle w:val="Hipercze"/>
                <w:rFonts w:cstheme="minorBidi"/>
                <w:szCs w:val="19"/>
              </w:rPr>
              <w:t>202</w:t>
            </w:r>
            <w:r w:rsidR="003E6630">
              <w:rPr>
                <w:rStyle w:val="Hipercze"/>
                <w:rFonts w:cstheme="minorBidi"/>
                <w:szCs w:val="19"/>
              </w:rPr>
              <w:t>4</w:t>
            </w:r>
          </w:p>
          <w:p w14:paraId="54EA09BB" w14:textId="4946713C" w:rsidR="00FD4F32" w:rsidRPr="0037111C" w:rsidRDefault="00610ADF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</w:pPr>
            <w:r>
              <w:rPr>
                <w:szCs w:val="19"/>
              </w:rPr>
              <w:fldChar w:fldCharType="end"/>
            </w:r>
            <w:hyperlink r:id="rId20" w:tooltip="Link do opracowania: &quot;Zeszyt metodologiczny. Badania przedsiębiorstw niefinansowych&quot;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Zeszyt metodologiczny. Badania przedsiębiorstw niefinansowych</w:t>
              </w:r>
            </w:hyperlink>
            <w:r w:rsidR="008A3537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 xml:space="preserve"> </w:t>
            </w:r>
            <w:r w:rsidR="00FD4F32" w:rsidRPr="0037111C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 xml:space="preserve"> </w:t>
            </w:r>
          </w:p>
          <w:p w14:paraId="31843B41" w14:textId="5A85CD9B" w:rsidR="00610ADF" w:rsidRPr="00610ADF" w:rsidRDefault="00000000" w:rsidP="00610ADF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</w:pPr>
            <w:hyperlink r:id="rId21" w:tooltip="Wyniki finansowe przedsiębiorstw niefinansowych w województwie zachodniopomorskim w 2023 r." w:history="1">
              <w:r w:rsidR="003E6630" w:rsidRPr="009516C0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Wyniki finansowe przedsiębiorstw niefinansowych w województwie zachodniopomorskim w 2023 r</w:t>
              </w:r>
              <w:r w:rsidR="00610ADF" w:rsidRPr="009516C0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.</w:t>
              </w:r>
            </w:hyperlink>
          </w:p>
          <w:p w14:paraId="38E1EACE" w14:textId="77777777" w:rsidR="00E22912" w:rsidRPr="0037111C" w:rsidRDefault="00E22912" w:rsidP="00D71C6A">
            <w:pPr>
              <w:spacing w:before="360" w:line="240" w:lineRule="exact"/>
              <w:rPr>
                <w:b/>
                <w:color w:val="000000" w:themeColor="text1"/>
                <w:szCs w:val="19"/>
              </w:rPr>
            </w:pPr>
            <w:r w:rsidRPr="0037111C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4DF9B188" w14:textId="6E7367C6" w:rsidR="00FD4F32" w:rsidRPr="009516C0" w:rsidRDefault="009516C0" w:rsidP="00D71C6A">
            <w:pPr>
              <w:spacing w:line="240" w:lineRule="exact"/>
              <w:rPr>
                <w:rStyle w:val="Hipercze"/>
                <w:rFonts w:eastAsia="Times New Roman" w:cs="Arial"/>
                <w:szCs w:val="19"/>
              </w:rPr>
            </w:pPr>
            <w:r>
              <w:rPr>
                <w:rStyle w:val="Hipercze"/>
                <w:rFonts w:eastAsia="Times New Roman" w:cs="Arial"/>
                <w:szCs w:val="19"/>
              </w:rPr>
              <w:fldChar w:fldCharType="begin"/>
            </w:r>
            <w:r>
              <w:rPr>
                <w:rStyle w:val="Hipercze"/>
                <w:rFonts w:eastAsia="Times New Roman" w:cs="Arial"/>
                <w:szCs w:val="19"/>
              </w:rPr>
              <w:instrText xml:space="preserve"> HYPERLINK "https://bdl.stat.gov.pl/BDL/dane/podgrup/temat" \o "Link do tematu: Bank Danych Lokalnych (BDL)" </w:instrText>
            </w:r>
            <w:r>
              <w:rPr>
                <w:rStyle w:val="Hipercze"/>
                <w:rFonts w:eastAsia="Times New Roman" w:cs="Arial"/>
                <w:szCs w:val="19"/>
              </w:rPr>
            </w:r>
            <w:r>
              <w:rPr>
                <w:rStyle w:val="Hipercze"/>
                <w:rFonts w:eastAsia="Times New Roman" w:cs="Arial"/>
                <w:szCs w:val="19"/>
              </w:rPr>
              <w:fldChar w:fldCharType="separate"/>
            </w:r>
            <w:r w:rsidR="00FD4F32" w:rsidRPr="009516C0">
              <w:rPr>
                <w:rStyle w:val="Hipercze"/>
                <w:rFonts w:eastAsia="Times New Roman" w:cs="Arial"/>
                <w:szCs w:val="19"/>
              </w:rPr>
              <w:t xml:space="preserve">Bank Danych Lokalnych (BDL) </w:t>
            </w:r>
          </w:p>
          <w:p w14:paraId="7F1CA04B" w14:textId="0C51C6B0" w:rsidR="00FD4F32" w:rsidRPr="0037111C" w:rsidRDefault="009516C0" w:rsidP="00D71C6A">
            <w:pPr>
              <w:spacing w:line="240" w:lineRule="exact"/>
              <w:rPr>
                <w:rFonts w:eastAsia="Times New Roman" w:cs="Arial"/>
                <w:color w:val="0000FF"/>
                <w:szCs w:val="19"/>
              </w:rPr>
            </w:pPr>
            <w:r>
              <w:rPr>
                <w:rStyle w:val="Hipercze"/>
                <w:rFonts w:eastAsia="Times New Roman" w:cs="Arial"/>
                <w:szCs w:val="19"/>
              </w:rPr>
              <w:fldChar w:fldCharType="end"/>
            </w:r>
            <w:hyperlink r:id="rId22" w:tooltip="Link do tematu:Dziedzinowa Baza Wiedzy Przedsiębiorstwa Niefinansowe (DBW)" w:history="1">
              <w:r w:rsidR="00A013DB" w:rsidRPr="009516C0">
                <w:rPr>
                  <w:rStyle w:val="Hipercze"/>
                  <w:rFonts w:eastAsia="Times New Roman" w:cs="Arial"/>
                  <w:szCs w:val="19"/>
                </w:rPr>
                <w:t>Dziedzinow</w:t>
              </w:r>
              <w:r w:rsidR="00E17EAE" w:rsidRPr="009516C0">
                <w:rPr>
                  <w:rStyle w:val="Hipercze"/>
                  <w:rFonts w:eastAsia="Times New Roman" w:cs="Arial"/>
                  <w:szCs w:val="19"/>
                </w:rPr>
                <w:t>a</w:t>
              </w:r>
              <w:r w:rsidR="00FD4F32" w:rsidRPr="009516C0">
                <w:rPr>
                  <w:rStyle w:val="Hipercze"/>
                  <w:rFonts w:eastAsia="Times New Roman" w:cs="Arial"/>
                  <w:szCs w:val="19"/>
                </w:rPr>
                <w:t xml:space="preserve"> Baz</w:t>
              </w:r>
              <w:r w:rsidR="00E17EAE" w:rsidRPr="009516C0">
                <w:rPr>
                  <w:rStyle w:val="Hipercze"/>
                  <w:rFonts w:eastAsia="Times New Roman" w:cs="Arial"/>
                  <w:szCs w:val="19"/>
                </w:rPr>
                <w:t>a</w:t>
              </w:r>
              <w:r w:rsidR="00FD4F32" w:rsidRPr="009516C0">
                <w:rPr>
                  <w:rStyle w:val="Hipercze"/>
                  <w:rFonts w:eastAsia="Times New Roman" w:cs="Arial"/>
                  <w:szCs w:val="19"/>
                </w:rPr>
                <w:t xml:space="preserve"> Wiedzy Przedsiębiorstwa Niefinansowe (DBW)</w:t>
              </w:r>
            </w:hyperlink>
            <w:r w:rsidR="00FD4F32" w:rsidRPr="0037111C">
              <w:rPr>
                <w:rFonts w:eastAsia="Times New Roman" w:cs="Arial"/>
                <w:color w:val="0000FF"/>
                <w:szCs w:val="19"/>
              </w:rPr>
              <w:t xml:space="preserve"> </w:t>
            </w:r>
          </w:p>
          <w:p w14:paraId="083E610C" w14:textId="3F7A4D82" w:rsidR="00FD4F32" w:rsidRPr="009516C0" w:rsidRDefault="009516C0" w:rsidP="00D71C6A">
            <w:pPr>
              <w:spacing w:line="240" w:lineRule="exact"/>
              <w:rPr>
                <w:rStyle w:val="Hipercze"/>
                <w:rFonts w:ascii="Tahoma" w:eastAsia="Times New Roman" w:hAnsi="Tahoma" w:cs="Tahoma"/>
                <w:szCs w:val="19"/>
              </w:rPr>
            </w:pPr>
            <w:r>
              <w:rPr>
                <w:rStyle w:val="Hipercze"/>
                <w:rFonts w:eastAsia="Times New Roman" w:cs="Arial"/>
                <w:szCs w:val="19"/>
              </w:rPr>
              <w:fldChar w:fldCharType="begin"/>
            </w:r>
            <w:r>
              <w:rPr>
                <w:rStyle w:val="Hipercze"/>
                <w:rFonts w:eastAsia="Times New Roman" w:cs="Arial"/>
                <w:szCs w:val="19"/>
              </w:rPr>
              <w:instrText xml:space="preserve"> HYPERLINK "https://bdm.stat.gov.pl/" \o "Link do tematu: Bank Danych Makroekonomicznych" </w:instrText>
            </w:r>
            <w:r>
              <w:rPr>
                <w:rStyle w:val="Hipercze"/>
                <w:rFonts w:eastAsia="Times New Roman" w:cs="Arial"/>
                <w:szCs w:val="19"/>
              </w:rPr>
            </w:r>
            <w:r>
              <w:rPr>
                <w:rStyle w:val="Hipercze"/>
                <w:rFonts w:eastAsia="Times New Roman" w:cs="Arial"/>
                <w:szCs w:val="19"/>
              </w:rPr>
              <w:fldChar w:fldCharType="separate"/>
            </w:r>
            <w:r w:rsidR="00FD4F32" w:rsidRPr="009516C0">
              <w:rPr>
                <w:rStyle w:val="Hipercze"/>
                <w:rFonts w:eastAsia="Times New Roman" w:cs="Arial"/>
                <w:szCs w:val="19"/>
              </w:rPr>
              <w:t>Bank Danych Makroekonomicznych</w:t>
            </w:r>
          </w:p>
          <w:p w14:paraId="5C1DD051" w14:textId="42FA47A6" w:rsidR="00E22912" w:rsidRPr="0037111C" w:rsidRDefault="009516C0" w:rsidP="00E22912">
            <w:pPr>
              <w:spacing w:before="360" w:line="240" w:lineRule="exact"/>
              <w:rPr>
                <w:b/>
                <w:color w:val="000000" w:themeColor="text1"/>
                <w:szCs w:val="19"/>
              </w:rPr>
            </w:pPr>
            <w:r>
              <w:rPr>
                <w:rStyle w:val="Hipercze"/>
                <w:rFonts w:eastAsia="Times New Roman" w:cs="Arial"/>
                <w:szCs w:val="19"/>
              </w:rPr>
              <w:fldChar w:fldCharType="end"/>
            </w:r>
            <w:r w:rsidR="00E22912" w:rsidRPr="0037111C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7ECD8DC9" w14:textId="076CC7FE" w:rsidR="00FD4F32" w:rsidRPr="00105776" w:rsidRDefault="00105776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begin"/>
            </w:r>
            <w:r w:rsidR="009516C0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instrText>HYPERLINK "https://stat.gov.pl/metainformacje/slownik-pojec/pojecia-stosowane-w-statystyce-publicznej/395,pojecie.html" \o "Link do pojęcia: Przychody ogółem (przychody z całokształtu działalności)"</w:instrText>
            </w: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</w: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separate"/>
            </w:r>
            <w:r w:rsidR="00FD4F32" w:rsidRPr="00105776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>Przychody ogółem (przychody z całokształtu działalności)</w:t>
            </w:r>
          </w:p>
          <w:p w14:paraId="2EC55A79" w14:textId="438B9AFB" w:rsidR="00FD4F32" w:rsidRPr="009516C0" w:rsidRDefault="00105776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end"/>
            </w:r>
            <w:r w:rsidR="009516C0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begin"/>
            </w:r>
            <w:r w:rsidR="009516C0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instrText xml:space="preserve"> HYPERLINK "https://stat.gov.pl/metainformacje/slownik-pojec/pojecia-stosowane-w-statystyce-publicznej/158,pojecie.html" \o "Link do pojęcia: Koszty ogółem (koszty uzyskania przychodów z całokształtu działalności)" </w:instrText>
            </w:r>
            <w:r w:rsidR="009516C0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</w:r>
            <w:r w:rsidR="009516C0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separate"/>
            </w:r>
            <w:r w:rsidR="00FD4F32" w:rsidRPr="009516C0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>Koszty ogółem (koszty uzyskania przychodów z całokształtu działalności)</w:t>
            </w:r>
          </w:p>
          <w:p w14:paraId="642C9092" w14:textId="7677A76D" w:rsidR="00FD4F32" w:rsidRPr="00105776" w:rsidRDefault="009516C0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end"/>
            </w:r>
            <w:r w:rsidR="00105776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begin"/>
            </w: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instrText>HYPERLINK "https://stat.gov.pl/metainformacje/slownik-pojec/pojecia-stosowane-w-statystyce-publicznej/583,pojecie.html" \o "Link do pojęcia: Wskaźnik poziomu kosztów"</w:instrText>
            </w:r>
            <w:r w:rsidR="00105776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</w:r>
            <w:r w:rsidR="00105776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separate"/>
            </w:r>
            <w:r w:rsidR="00FD4F32" w:rsidRPr="00105776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>Wskaźnik poziomu kosztów</w:t>
            </w:r>
          </w:p>
          <w:p w14:paraId="1CB32F39" w14:textId="15B87E2D" w:rsidR="00FD4F32" w:rsidRPr="00105776" w:rsidRDefault="00105776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end"/>
            </w: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begin"/>
            </w:r>
            <w:r w:rsidR="009516C0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instrText>HYPERLINK "https://stat.gov.pl/metainformacje/slownik-pojec/pojecia-stosowane-w-statystyce-publicznej/587,pojecie.html" \o "Link do pojęcia: Wskaźnik rentowności obrotu brutto"</w:instrText>
            </w: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</w: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separate"/>
            </w:r>
            <w:r w:rsidR="00FD4F32" w:rsidRPr="00105776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>Wskaźnik rentowności obrotu brutto</w:t>
            </w:r>
          </w:p>
          <w:p w14:paraId="21274CB0" w14:textId="2827AC2E" w:rsidR="00FD4F32" w:rsidRPr="0037111C" w:rsidRDefault="00105776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end"/>
            </w:r>
            <w:hyperlink r:id="rId23" w:tooltip="Link do pojęcia: Wskaźnik rentowności obrotu netto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Wskaźnik rentowności obrotu netto</w:t>
              </w:r>
            </w:hyperlink>
          </w:p>
          <w:p w14:paraId="7BB5D181" w14:textId="49C76670" w:rsidR="00FD4F32" w:rsidRPr="0037111C" w:rsidRDefault="00000000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24" w:tooltip="Link do pojęcia: Wskaźnik rentowności sprzedaży brutto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Wskaźnik rentowności sprzedaży brutto</w:t>
              </w:r>
            </w:hyperlink>
          </w:p>
          <w:p w14:paraId="09332C57" w14:textId="0EB9C52A" w:rsidR="00FD4F32" w:rsidRPr="0037111C" w:rsidRDefault="00000000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25" w:tooltip="Link do pojęcia: Wskaźnik rentowności sprzedaży netto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Wskaźnik rentowności sprzedaży netto</w:t>
              </w:r>
            </w:hyperlink>
          </w:p>
          <w:p w14:paraId="0B38BD6E" w14:textId="156000CB" w:rsidR="00FD4F32" w:rsidRPr="0037111C" w:rsidRDefault="00FD4F32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r w:rsidRPr="0037111C">
              <w:rPr>
                <w:rStyle w:val="Hipercze"/>
                <w:rFonts w:cs="Arial"/>
                <w:szCs w:val="19"/>
                <w:shd w:val="clear" w:color="auto" w:fill="F0F0F0"/>
              </w:rPr>
              <w:fldChar w:fldCharType="begin"/>
            </w:r>
            <w:r w:rsidR="009516C0">
              <w:rPr>
                <w:rStyle w:val="Hipercze"/>
                <w:rFonts w:cs="Arial"/>
                <w:szCs w:val="19"/>
                <w:shd w:val="clear" w:color="auto" w:fill="F0F0F0"/>
              </w:rPr>
              <w:instrText>HYPERLINK "https://stat.gov.pl/metainformacje/slownik-pojec/pojecia-stosowane-w-statystyce-publicznej/613,pojecie.html" \o "Link do pojęcia: Wynik finansowy brutto"</w:instrText>
            </w:r>
            <w:r w:rsidRPr="0037111C">
              <w:rPr>
                <w:rStyle w:val="Hipercze"/>
                <w:rFonts w:cs="Arial"/>
                <w:szCs w:val="19"/>
                <w:shd w:val="clear" w:color="auto" w:fill="F0F0F0"/>
              </w:rPr>
            </w:r>
            <w:r w:rsidRPr="0037111C">
              <w:rPr>
                <w:rStyle w:val="Hipercze"/>
                <w:rFonts w:cs="Arial"/>
                <w:szCs w:val="19"/>
                <w:shd w:val="clear" w:color="auto" w:fill="F0F0F0"/>
              </w:rPr>
              <w:fldChar w:fldCharType="separate"/>
            </w:r>
            <w:r w:rsidRPr="0037111C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>Wynik finansowy brutto</w:t>
            </w:r>
          </w:p>
          <w:p w14:paraId="1AC7E4CD" w14:textId="35CC94B3" w:rsidR="00FD4F32" w:rsidRPr="0037111C" w:rsidRDefault="00FD4F32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r w:rsidRPr="0037111C">
              <w:rPr>
                <w:rStyle w:val="Hipercze"/>
                <w:rFonts w:cs="Arial"/>
                <w:szCs w:val="19"/>
                <w:shd w:val="clear" w:color="auto" w:fill="F0F0F0"/>
              </w:rPr>
              <w:fldChar w:fldCharType="end"/>
            </w:r>
            <w:hyperlink r:id="rId26" w:tooltip="Link do pojęcia: Wynik finansowy netto" w:history="1">
              <w:r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Wynik finansowy netto</w:t>
              </w:r>
            </w:hyperlink>
          </w:p>
          <w:p w14:paraId="01A15D06" w14:textId="29914C75" w:rsidR="00FD4F32" w:rsidRPr="0037111C" w:rsidRDefault="00000000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27" w:tooltip="Link do pojęcia: Aktywa obrotowe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Aktywa obrotowe</w:t>
              </w:r>
            </w:hyperlink>
          </w:p>
          <w:p w14:paraId="267A6CC6" w14:textId="5CCD5FBE" w:rsidR="00FD4F32" w:rsidRPr="0037111C" w:rsidRDefault="00000000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28" w:tooltip="Link do pojęcia: Należności długoterminowe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Należności długoterminowe</w:t>
              </w:r>
            </w:hyperlink>
          </w:p>
          <w:p w14:paraId="41ABA73F" w14:textId="3B594F4E" w:rsidR="00FD4F32" w:rsidRPr="0037111C" w:rsidRDefault="00000000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29" w:tooltip="Link do pojęcia: Należności krótkoterminowe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Należności</w:t>
              </w:r>
              <w:r w:rsidR="00FD4F32" w:rsidRPr="0037111C">
                <w:rPr>
                  <w:rStyle w:val="Hipercze"/>
                  <w:rFonts w:cs="Arial"/>
                  <w:szCs w:val="19"/>
                  <w:shd w:val="clear" w:color="auto" w:fill="BFBFBF" w:themeFill="background1" w:themeFillShade="BF"/>
                </w:rPr>
                <w:t xml:space="preserve"> </w:t>
              </w:r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krótkoterminowe</w:t>
              </w:r>
            </w:hyperlink>
          </w:p>
          <w:p w14:paraId="713BED85" w14:textId="4E53BF8E" w:rsidR="00E27380" w:rsidRDefault="00000000" w:rsidP="00D71C6A">
            <w:pPr>
              <w:spacing w:line="240" w:lineRule="exact"/>
              <w:rPr>
                <w:noProof/>
                <w:sz w:val="20"/>
                <w:lang w:eastAsia="pl-PL"/>
              </w:rPr>
            </w:pPr>
            <w:hyperlink r:id="rId30" w:tooltip="Link do pojęcia: Nakłady inwestycyjne" w:history="1">
              <w:r w:rsidR="00FD4F32" w:rsidRPr="0037111C">
                <w:rPr>
                  <w:rStyle w:val="Hipercze"/>
                  <w:rFonts w:cstheme="minorBidi"/>
                  <w:szCs w:val="19"/>
                  <w:shd w:val="clear" w:color="auto" w:fill="D9D9D9" w:themeFill="background1" w:themeFillShade="D9"/>
                </w:rPr>
                <w:t>Nakłady inwe</w:t>
              </w:r>
              <w:r w:rsidR="00FD4F32" w:rsidRPr="0037111C">
                <w:rPr>
                  <w:rStyle w:val="Hipercze"/>
                  <w:rFonts w:cstheme="minorBidi"/>
                  <w:szCs w:val="19"/>
                </w:rPr>
                <w:t>stycyjne</w:t>
              </w:r>
            </w:hyperlink>
          </w:p>
        </w:tc>
      </w:tr>
    </w:tbl>
    <w:p w14:paraId="4EF91319" w14:textId="77777777" w:rsidR="00D261A2" w:rsidRPr="00001C5B" w:rsidRDefault="00D261A2" w:rsidP="000F736A">
      <w:pPr>
        <w:rPr>
          <w:sz w:val="18"/>
        </w:rPr>
      </w:pPr>
    </w:p>
    <w:sectPr w:rsidR="00D261A2" w:rsidRPr="00001C5B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6D939" w14:textId="77777777" w:rsidR="00EE0719" w:rsidRDefault="00EE0719" w:rsidP="000662E2">
      <w:pPr>
        <w:spacing w:after="0" w:line="240" w:lineRule="auto"/>
      </w:pPr>
      <w:r>
        <w:separator/>
      </w:r>
    </w:p>
  </w:endnote>
  <w:endnote w:type="continuationSeparator" w:id="0">
    <w:p w14:paraId="4A618CDB" w14:textId="77777777" w:rsidR="00EE0719" w:rsidRDefault="00EE071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D571EBF-3AA8-456C-A6F0-777F78970EAA}"/>
    <w:embedBold r:id="rId2" w:fontKey="{D299DA71-58E2-475F-A114-70033427C97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128B0DA-DC5C-44BC-8738-C70BE9B5C6B2}"/>
    <w:embedBold r:id="rId4" w:fontKey="{77F94E37-9125-43B2-88A8-60D114B48EA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554693D-A70F-4459-9253-ED823C46A3A8}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44D5CF5-5579-4D11-B64E-AC5341B6B9AE}"/>
    <w:embedItalic r:id="rId7" w:fontKey="{43B78C02-45CC-4214-A479-03421CDD346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54107E47-FE81-47DC-8FA2-BF8D086BAEF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C94173E-E4CA-4431-A088-D1B3E910DA8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E10420CB-FA67-42B6-85DE-E7FB1B239DE6}"/>
  </w:font>
  <w:font w:name="Minion Pro">
    <w:altName w:val="Cambria Math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2B597BC5-D751-45A7-8D3F-C61A5E7CFA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410854"/>
      <w:docPartObj>
        <w:docPartGallery w:val="Page Numbers (Bottom of Page)"/>
        <w:docPartUnique/>
      </w:docPartObj>
    </w:sdtPr>
    <w:sdtContent>
      <w:p w14:paraId="2F2814FE" w14:textId="77777777" w:rsidR="00A05623" w:rsidRDefault="00A056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332A">
          <w:rPr>
            <w:noProof/>
          </w:rPr>
          <w:t>5</w:t>
        </w:r>
        <w:r>
          <w:fldChar w:fldCharType="end"/>
        </w:r>
      </w:p>
    </w:sdtContent>
  </w:sdt>
  <w:p w14:paraId="2FBA1550" w14:textId="77777777" w:rsidR="00A05623" w:rsidRDefault="00A0562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3321397"/>
      <w:docPartObj>
        <w:docPartGallery w:val="Page Numbers (Bottom of Page)"/>
        <w:docPartUnique/>
      </w:docPartObj>
    </w:sdtPr>
    <w:sdtContent>
      <w:p w14:paraId="07B5A608" w14:textId="77777777" w:rsidR="00A05623" w:rsidRDefault="00A056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332A">
          <w:rPr>
            <w:noProof/>
          </w:rPr>
          <w:t>1</w:t>
        </w:r>
        <w:r>
          <w:fldChar w:fldCharType="end"/>
        </w:r>
      </w:p>
    </w:sdtContent>
  </w:sdt>
  <w:p w14:paraId="5EAF331B" w14:textId="77777777" w:rsidR="00A05623" w:rsidRDefault="00A0562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614B729E" w14:textId="77777777" w:rsidR="00A05623" w:rsidRDefault="00A056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332A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CFFED" w14:textId="77777777" w:rsidR="00EE0719" w:rsidRDefault="00EE0719" w:rsidP="000662E2">
      <w:pPr>
        <w:spacing w:after="0" w:line="240" w:lineRule="auto"/>
      </w:pPr>
      <w:r>
        <w:separator/>
      </w:r>
    </w:p>
  </w:footnote>
  <w:footnote w:type="continuationSeparator" w:id="0">
    <w:p w14:paraId="0602AAEF" w14:textId="77777777" w:rsidR="00EE0719" w:rsidRDefault="00EE0719" w:rsidP="000662E2">
      <w:pPr>
        <w:spacing w:after="0" w:line="240" w:lineRule="auto"/>
      </w:pPr>
      <w:r>
        <w:continuationSeparator/>
      </w:r>
    </w:p>
  </w:footnote>
  <w:footnote w:id="1">
    <w:p w14:paraId="4F12B629" w14:textId="48E7F6FD" w:rsidR="00A05623" w:rsidRPr="0037111C" w:rsidRDefault="00A05623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265AB6">
        <w:rPr>
          <w:sz w:val="19"/>
          <w:szCs w:val="19"/>
        </w:rPr>
        <w:t xml:space="preserve">Dane dotyczą przedsiębiorstw niefinansowych prowadzących księgi rachunkowe o liczbie pracujących 50 osób i więcej. Dane nie obejmują rolnictwa, leśnictwa, łowiectwa i rybactwa (sekcja A według PKD 2007), działalności finansowej i ubezpieczeniowej (sekcja K według PKD 2007), szkół wyższych, samodzielnych publicznych zakładów opieki zdrowotnej, instytucji </w:t>
      </w:r>
      <w:r w:rsidR="00B33788">
        <w:rPr>
          <w:sz w:val="19"/>
          <w:szCs w:val="19"/>
        </w:rPr>
        <w:br/>
      </w:r>
      <w:r w:rsidRPr="00265AB6">
        <w:rPr>
          <w:sz w:val="19"/>
          <w:szCs w:val="19"/>
        </w:rPr>
        <w:t>kultury posiadających osobowość prawną oraz związków zawodowych, organizacji religijnych i politycznych.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0469D" w14:textId="77777777" w:rsidR="00A05623" w:rsidRDefault="00C7589C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73669C7" wp14:editId="3D84C0B9">
              <wp:simplePos x="0" y="0"/>
              <wp:positionH relativeFrom="column">
                <wp:posOffset>5213445</wp:posOffset>
              </wp:positionH>
              <wp:positionV relativeFrom="paragraph">
                <wp:posOffset>-200812</wp:posOffset>
              </wp:positionV>
              <wp:extent cx="1874520" cy="23028313"/>
              <wp:effectExtent l="0" t="0" r="0" b="317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3028313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A756FC" id="Prostokąt 24" o:spid="_x0000_s1026" style="position:absolute;margin-left:410.5pt;margin-top:-15.8pt;width:147.6pt;height:1813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" fillcolor="#f2f2f2 [3052]" stroked="f" strokeweight="1pt"/>
          </w:pict>
        </mc:Fallback>
      </mc:AlternateContent>
    </w:r>
  </w:p>
  <w:p w14:paraId="1A91BCE5" w14:textId="77777777" w:rsidR="00A05623" w:rsidRDefault="00A0562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640D6" w14:textId="77777777" w:rsidR="00A05623" w:rsidRDefault="00A05623">
    <w:pPr>
      <w:pStyle w:val="Nagwek"/>
      <w:rPr>
        <w:noProof/>
        <w:lang w:eastAsia="pl-PL"/>
      </w:rPr>
    </w:pPr>
  </w:p>
  <w:p w14:paraId="5312170D" w14:textId="77777777" w:rsidR="00A05623" w:rsidRDefault="00A0562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8E25359" wp14:editId="0DA44484">
              <wp:simplePos x="0" y="0"/>
              <wp:positionH relativeFrom="column">
                <wp:posOffset>5219065</wp:posOffset>
              </wp:positionH>
              <wp:positionV relativeFrom="paragraph">
                <wp:posOffset>560070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AA5AE0" id="Prostokąt 10" o:spid="_x0000_s1026" style="position:absolute;margin-left:410.95pt;margin-top:44.1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EzjfOnkAAAADAEAAA8AAABkcnMvZG93bnJl&#10;di54bWxMj8FOg0AQhu8mvsNmTLzZBRqRIktjVBITL9pK2t627Aik7CyyW4o+vduT3mYyX/75/mw5&#10;6Y6NONjWkIBwFgBDqoxqqRbwsS5uEmDWSVKyM4QCvtHCMr+8yGSqzInecVy5mvkQsqkU0DjXp5zb&#10;qkEt7cz0SP72aQYtnV+HmqtBnny47ngUBDHXsiX/oZE9PjZYHVZHLcDsxvWrKopDWf48bd6S5235&#10;tXsR4vpqergH5nByfzCc9b065N5pb46kLOsEJFG48KgfkgjYGQjD+A7YXsA8XtzOgecZ/18i/wU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BM43zp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1E544DB" wp14:editId="038F7BA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797209" w14:textId="77777777" w:rsidR="00A05623" w:rsidRPr="003C6C8D" w:rsidRDefault="00A05623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E544DB" id="Schemat blokowy: opóźnienie 6" o:spid="_x0000_s1032" alt="Tytuł: Nazwa serii wydawniczej  — opis: Informacja sygnalna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3797209" w14:textId="77777777" w:rsidR="00A05623" w:rsidRPr="003C6C8D" w:rsidRDefault="00A05623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A437FC">
      <w:rPr>
        <w:noProof/>
        <w:lang w:eastAsia="pl-PL"/>
      </w:rPr>
      <w:drawing>
        <wp:inline distT="0" distB="0" distL="0" distR="0" wp14:anchorId="32874CF9" wp14:editId="0BA0B2BE">
          <wp:extent cx="1638935" cy="522605"/>
          <wp:effectExtent l="0" t="0" r="0" b="0"/>
          <wp:docPr id="4" name="Obraz 4" descr="Logo Urzędu Statystycznego w Szczec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0B283C" w14:textId="77777777" w:rsidR="00A05623" w:rsidRDefault="00A05623" w:rsidP="003D2F53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EF5E509" wp14:editId="629C00D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30 czerwiec 2025 rok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D9DB20" w14:textId="77777777" w:rsidR="00A05623" w:rsidRPr="008826DE" w:rsidRDefault="00C264F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30</w:t>
                          </w:r>
                          <w:r w:rsidR="00A05623" w:rsidRPr="008826D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.06.202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5</w:t>
                          </w:r>
                          <w:r w:rsidR="00A05623" w:rsidRPr="008826D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F5E50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Tytuł: Data publikacji informacji sygnalnej — opis: 30 czerwiec 2025 rok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BrZ3Ed3gAAAAoBAAAPAAAAAAAAAAAA&#10;AAAAAFUEAABkcnMvZG93bnJldi54bWxQSwUGAAAAAAQABADzAAAAYAUAAAAA&#10;" filled="f" stroked="f">
              <v:textbox>
                <w:txbxContent>
                  <w:p w14:paraId="4DD9DB20" w14:textId="77777777" w:rsidR="00A05623" w:rsidRPr="008826DE" w:rsidRDefault="00C264F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30</w:t>
                    </w:r>
                    <w:r w:rsidR="00A05623" w:rsidRPr="008826DE">
                      <w:rPr>
                        <w:rFonts w:ascii="Fira Sans SemiBold" w:hAnsi="Fira Sans SemiBold"/>
                        <w:color w:val="001D77"/>
                        <w:sz w:val="20"/>
                      </w:rPr>
                      <w:t>.06.202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5</w:t>
                    </w:r>
                    <w:r w:rsidR="00A05623" w:rsidRPr="008826DE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1FFAE" w14:textId="77777777" w:rsidR="00A05623" w:rsidRDefault="00A05623">
    <w:pPr>
      <w:pStyle w:val="Nagwek"/>
    </w:pPr>
  </w:p>
  <w:p w14:paraId="1D3A7E12" w14:textId="77777777" w:rsidR="00A05623" w:rsidRDefault="00A0562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85pt;height:124.4pt;visibility:visible;mso-wrap-style:square" o:bullet="t">
        <v:imagedata r:id="rId1" o:title=""/>
      </v:shape>
    </w:pict>
  </w:numPicBullet>
  <w:numPicBullet w:numPicBulletId="1">
    <w:pict>
      <v:shape id="_x0000_i1031" type="#_x0000_t75" style="width:123.85pt;height:124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458961710">
    <w:abstractNumId w:val="1"/>
  </w:num>
  <w:num w:numId="2" w16cid:durableId="1589339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6E35"/>
    <w:rsid w:val="0000709F"/>
    <w:rsid w:val="000108B8"/>
    <w:rsid w:val="0001334A"/>
    <w:rsid w:val="00013D79"/>
    <w:rsid w:val="000152F5"/>
    <w:rsid w:val="00017C23"/>
    <w:rsid w:val="0003403F"/>
    <w:rsid w:val="0004182B"/>
    <w:rsid w:val="0004582E"/>
    <w:rsid w:val="00045FB1"/>
    <w:rsid w:val="000470AA"/>
    <w:rsid w:val="000510A3"/>
    <w:rsid w:val="00051663"/>
    <w:rsid w:val="00052763"/>
    <w:rsid w:val="00057CA1"/>
    <w:rsid w:val="00060556"/>
    <w:rsid w:val="000648CD"/>
    <w:rsid w:val="000662E2"/>
    <w:rsid w:val="00066883"/>
    <w:rsid w:val="00074DD8"/>
    <w:rsid w:val="00075E0E"/>
    <w:rsid w:val="00076411"/>
    <w:rsid w:val="00077363"/>
    <w:rsid w:val="000806F7"/>
    <w:rsid w:val="00081EC9"/>
    <w:rsid w:val="000831F3"/>
    <w:rsid w:val="00084F3F"/>
    <w:rsid w:val="0008676E"/>
    <w:rsid w:val="0009087D"/>
    <w:rsid w:val="00093FF6"/>
    <w:rsid w:val="00094B5B"/>
    <w:rsid w:val="00097840"/>
    <w:rsid w:val="000A221B"/>
    <w:rsid w:val="000A2A4D"/>
    <w:rsid w:val="000A2DFD"/>
    <w:rsid w:val="000A418D"/>
    <w:rsid w:val="000A7543"/>
    <w:rsid w:val="000A76C4"/>
    <w:rsid w:val="000B0727"/>
    <w:rsid w:val="000B4DC6"/>
    <w:rsid w:val="000B59D7"/>
    <w:rsid w:val="000C106F"/>
    <w:rsid w:val="000C135D"/>
    <w:rsid w:val="000C18BE"/>
    <w:rsid w:val="000C193E"/>
    <w:rsid w:val="000C3F12"/>
    <w:rsid w:val="000C77A8"/>
    <w:rsid w:val="000C7E83"/>
    <w:rsid w:val="000D0A88"/>
    <w:rsid w:val="000D0C95"/>
    <w:rsid w:val="000D1D43"/>
    <w:rsid w:val="000D225C"/>
    <w:rsid w:val="000D2A5C"/>
    <w:rsid w:val="000D730D"/>
    <w:rsid w:val="000E0918"/>
    <w:rsid w:val="000E4F6A"/>
    <w:rsid w:val="000E5C71"/>
    <w:rsid w:val="000F1F9E"/>
    <w:rsid w:val="000F2C85"/>
    <w:rsid w:val="000F31FA"/>
    <w:rsid w:val="000F544E"/>
    <w:rsid w:val="000F658C"/>
    <w:rsid w:val="000F70E2"/>
    <w:rsid w:val="000F736A"/>
    <w:rsid w:val="001011C3"/>
    <w:rsid w:val="001018D1"/>
    <w:rsid w:val="00103258"/>
    <w:rsid w:val="00105776"/>
    <w:rsid w:val="00110D87"/>
    <w:rsid w:val="00112678"/>
    <w:rsid w:val="00114DB9"/>
    <w:rsid w:val="00116087"/>
    <w:rsid w:val="00121C2E"/>
    <w:rsid w:val="00121F4E"/>
    <w:rsid w:val="00125570"/>
    <w:rsid w:val="0012679C"/>
    <w:rsid w:val="00130296"/>
    <w:rsid w:val="001328A5"/>
    <w:rsid w:val="001352BD"/>
    <w:rsid w:val="00135800"/>
    <w:rsid w:val="00137992"/>
    <w:rsid w:val="0014094E"/>
    <w:rsid w:val="00141EE3"/>
    <w:rsid w:val="001423B6"/>
    <w:rsid w:val="00142DF7"/>
    <w:rsid w:val="001436AC"/>
    <w:rsid w:val="001448A7"/>
    <w:rsid w:val="00146621"/>
    <w:rsid w:val="00146A4B"/>
    <w:rsid w:val="00146AF5"/>
    <w:rsid w:val="0015109C"/>
    <w:rsid w:val="0015127D"/>
    <w:rsid w:val="001515DA"/>
    <w:rsid w:val="001547AF"/>
    <w:rsid w:val="00154A2F"/>
    <w:rsid w:val="00162325"/>
    <w:rsid w:val="00162358"/>
    <w:rsid w:val="00163287"/>
    <w:rsid w:val="001639B5"/>
    <w:rsid w:val="00165B94"/>
    <w:rsid w:val="00166E33"/>
    <w:rsid w:val="001710F0"/>
    <w:rsid w:val="001752F5"/>
    <w:rsid w:val="001819B1"/>
    <w:rsid w:val="00183442"/>
    <w:rsid w:val="001834B5"/>
    <w:rsid w:val="00187CFB"/>
    <w:rsid w:val="00190D24"/>
    <w:rsid w:val="001916DC"/>
    <w:rsid w:val="0019417C"/>
    <w:rsid w:val="001951DA"/>
    <w:rsid w:val="001958FA"/>
    <w:rsid w:val="001A2B5B"/>
    <w:rsid w:val="001A766A"/>
    <w:rsid w:val="001B4B73"/>
    <w:rsid w:val="001C3269"/>
    <w:rsid w:val="001C780E"/>
    <w:rsid w:val="001D1DB4"/>
    <w:rsid w:val="001D40DB"/>
    <w:rsid w:val="001D6288"/>
    <w:rsid w:val="001D6FAA"/>
    <w:rsid w:val="001E2038"/>
    <w:rsid w:val="001F3DB4"/>
    <w:rsid w:val="001F4C7F"/>
    <w:rsid w:val="00203D9A"/>
    <w:rsid w:val="002109A6"/>
    <w:rsid w:val="00210F79"/>
    <w:rsid w:val="00215964"/>
    <w:rsid w:val="002226FA"/>
    <w:rsid w:val="002400EC"/>
    <w:rsid w:val="00244CEB"/>
    <w:rsid w:val="002450BD"/>
    <w:rsid w:val="002574F9"/>
    <w:rsid w:val="00257E7D"/>
    <w:rsid w:val="00262B61"/>
    <w:rsid w:val="00265AB6"/>
    <w:rsid w:val="00267749"/>
    <w:rsid w:val="00267EE4"/>
    <w:rsid w:val="00270C40"/>
    <w:rsid w:val="00270D9F"/>
    <w:rsid w:val="00274B22"/>
    <w:rsid w:val="00274D36"/>
    <w:rsid w:val="00276748"/>
    <w:rsid w:val="00276811"/>
    <w:rsid w:val="00282699"/>
    <w:rsid w:val="00283885"/>
    <w:rsid w:val="0028615B"/>
    <w:rsid w:val="002863FB"/>
    <w:rsid w:val="002876EE"/>
    <w:rsid w:val="0029146A"/>
    <w:rsid w:val="002926DF"/>
    <w:rsid w:val="002928A6"/>
    <w:rsid w:val="00296697"/>
    <w:rsid w:val="00296B81"/>
    <w:rsid w:val="002A6E2E"/>
    <w:rsid w:val="002A77CD"/>
    <w:rsid w:val="002B0472"/>
    <w:rsid w:val="002B087E"/>
    <w:rsid w:val="002B123E"/>
    <w:rsid w:val="002B180F"/>
    <w:rsid w:val="002B6B12"/>
    <w:rsid w:val="002C0C10"/>
    <w:rsid w:val="002C15C7"/>
    <w:rsid w:val="002C3338"/>
    <w:rsid w:val="002C3A22"/>
    <w:rsid w:val="002D1E4B"/>
    <w:rsid w:val="002D78EA"/>
    <w:rsid w:val="002D7DDF"/>
    <w:rsid w:val="002E1F6B"/>
    <w:rsid w:val="002E2A38"/>
    <w:rsid w:val="002E609F"/>
    <w:rsid w:val="002E6140"/>
    <w:rsid w:val="002E6985"/>
    <w:rsid w:val="002E71B6"/>
    <w:rsid w:val="002E7D73"/>
    <w:rsid w:val="002E7F54"/>
    <w:rsid w:val="002F1F9E"/>
    <w:rsid w:val="002F2ED8"/>
    <w:rsid w:val="002F39C0"/>
    <w:rsid w:val="002F4B59"/>
    <w:rsid w:val="002F5FE8"/>
    <w:rsid w:val="002F77C8"/>
    <w:rsid w:val="00304F22"/>
    <w:rsid w:val="00306C7C"/>
    <w:rsid w:val="003137C3"/>
    <w:rsid w:val="00316559"/>
    <w:rsid w:val="0031694E"/>
    <w:rsid w:val="00317966"/>
    <w:rsid w:val="003202E4"/>
    <w:rsid w:val="00322EDD"/>
    <w:rsid w:val="00332320"/>
    <w:rsid w:val="00332F73"/>
    <w:rsid w:val="003364A0"/>
    <w:rsid w:val="003412E2"/>
    <w:rsid w:val="003449FF"/>
    <w:rsid w:val="00347C4D"/>
    <w:rsid w:val="00347D72"/>
    <w:rsid w:val="00350884"/>
    <w:rsid w:val="0035166E"/>
    <w:rsid w:val="00353C9F"/>
    <w:rsid w:val="003542F8"/>
    <w:rsid w:val="00357611"/>
    <w:rsid w:val="00361094"/>
    <w:rsid w:val="00362696"/>
    <w:rsid w:val="00367237"/>
    <w:rsid w:val="0036775F"/>
    <w:rsid w:val="0037077F"/>
    <w:rsid w:val="0037111C"/>
    <w:rsid w:val="00371E12"/>
    <w:rsid w:val="00372411"/>
    <w:rsid w:val="00373882"/>
    <w:rsid w:val="0037503D"/>
    <w:rsid w:val="00380175"/>
    <w:rsid w:val="00382D04"/>
    <w:rsid w:val="003833E5"/>
    <w:rsid w:val="003843DB"/>
    <w:rsid w:val="00384823"/>
    <w:rsid w:val="00387A31"/>
    <w:rsid w:val="00393761"/>
    <w:rsid w:val="003959F8"/>
    <w:rsid w:val="0039790D"/>
    <w:rsid w:val="00397D18"/>
    <w:rsid w:val="003A007B"/>
    <w:rsid w:val="003A1B36"/>
    <w:rsid w:val="003A4499"/>
    <w:rsid w:val="003A494E"/>
    <w:rsid w:val="003A79D1"/>
    <w:rsid w:val="003B1454"/>
    <w:rsid w:val="003B18B6"/>
    <w:rsid w:val="003B1B96"/>
    <w:rsid w:val="003B1F2E"/>
    <w:rsid w:val="003B2B76"/>
    <w:rsid w:val="003B4416"/>
    <w:rsid w:val="003C1FFD"/>
    <w:rsid w:val="003C4E95"/>
    <w:rsid w:val="003C59E0"/>
    <w:rsid w:val="003C5D62"/>
    <w:rsid w:val="003C5EF8"/>
    <w:rsid w:val="003C6C8D"/>
    <w:rsid w:val="003D2F53"/>
    <w:rsid w:val="003D4F95"/>
    <w:rsid w:val="003D5F42"/>
    <w:rsid w:val="003D60A9"/>
    <w:rsid w:val="003E01B7"/>
    <w:rsid w:val="003E0903"/>
    <w:rsid w:val="003E2DF3"/>
    <w:rsid w:val="003E470B"/>
    <w:rsid w:val="003E6335"/>
    <w:rsid w:val="003E6630"/>
    <w:rsid w:val="003E775B"/>
    <w:rsid w:val="003E7913"/>
    <w:rsid w:val="003F116C"/>
    <w:rsid w:val="003F1255"/>
    <w:rsid w:val="003F3A5A"/>
    <w:rsid w:val="003F4C97"/>
    <w:rsid w:val="003F5125"/>
    <w:rsid w:val="003F5CEC"/>
    <w:rsid w:val="003F715C"/>
    <w:rsid w:val="003F7FE6"/>
    <w:rsid w:val="00400193"/>
    <w:rsid w:val="004124D9"/>
    <w:rsid w:val="00415410"/>
    <w:rsid w:val="004200BC"/>
    <w:rsid w:val="004212E7"/>
    <w:rsid w:val="00421FA2"/>
    <w:rsid w:val="0042446D"/>
    <w:rsid w:val="004256B4"/>
    <w:rsid w:val="00427BF8"/>
    <w:rsid w:val="00430439"/>
    <w:rsid w:val="00431C02"/>
    <w:rsid w:val="0043227A"/>
    <w:rsid w:val="00437395"/>
    <w:rsid w:val="00440EC4"/>
    <w:rsid w:val="00442E75"/>
    <w:rsid w:val="0044434E"/>
    <w:rsid w:val="00445047"/>
    <w:rsid w:val="00446B96"/>
    <w:rsid w:val="004509E7"/>
    <w:rsid w:val="0045448D"/>
    <w:rsid w:val="00454A82"/>
    <w:rsid w:val="004558E8"/>
    <w:rsid w:val="004572FA"/>
    <w:rsid w:val="00460EC6"/>
    <w:rsid w:val="00463E39"/>
    <w:rsid w:val="00464BAB"/>
    <w:rsid w:val="004657FC"/>
    <w:rsid w:val="00466124"/>
    <w:rsid w:val="004730B3"/>
    <w:rsid w:val="004733F6"/>
    <w:rsid w:val="00474E69"/>
    <w:rsid w:val="00476C37"/>
    <w:rsid w:val="00487CA1"/>
    <w:rsid w:val="00495136"/>
    <w:rsid w:val="0049621B"/>
    <w:rsid w:val="004977BE"/>
    <w:rsid w:val="004A0FD1"/>
    <w:rsid w:val="004A485E"/>
    <w:rsid w:val="004A7BB9"/>
    <w:rsid w:val="004A7E15"/>
    <w:rsid w:val="004B00D3"/>
    <w:rsid w:val="004B338E"/>
    <w:rsid w:val="004C1895"/>
    <w:rsid w:val="004C1DAA"/>
    <w:rsid w:val="004C2063"/>
    <w:rsid w:val="004C6D40"/>
    <w:rsid w:val="004D37A3"/>
    <w:rsid w:val="004E3269"/>
    <w:rsid w:val="004E3EA2"/>
    <w:rsid w:val="004E43BB"/>
    <w:rsid w:val="004E5A30"/>
    <w:rsid w:val="004F0C3C"/>
    <w:rsid w:val="004F49BF"/>
    <w:rsid w:val="004F63FC"/>
    <w:rsid w:val="004F6EB8"/>
    <w:rsid w:val="004F7BB9"/>
    <w:rsid w:val="00501457"/>
    <w:rsid w:val="00505A92"/>
    <w:rsid w:val="00513530"/>
    <w:rsid w:val="00513D6B"/>
    <w:rsid w:val="005203F1"/>
    <w:rsid w:val="00520A27"/>
    <w:rsid w:val="00520B38"/>
    <w:rsid w:val="00521BC3"/>
    <w:rsid w:val="00523F4C"/>
    <w:rsid w:val="005246EF"/>
    <w:rsid w:val="00526A02"/>
    <w:rsid w:val="00526D39"/>
    <w:rsid w:val="00533632"/>
    <w:rsid w:val="005366AA"/>
    <w:rsid w:val="00536889"/>
    <w:rsid w:val="0053716A"/>
    <w:rsid w:val="005416DE"/>
    <w:rsid w:val="00541E6E"/>
    <w:rsid w:val="0054251F"/>
    <w:rsid w:val="00547180"/>
    <w:rsid w:val="005520D8"/>
    <w:rsid w:val="00556C22"/>
    <w:rsid w:val="00556CF1"/>
    <w:rsid w:val="00565619"/>
    <w:rsid w:val="00566E75"/>
    <w:rsid w:val="005670A0"/>
    <w:rsid w:val="00570150"/>
    <w:rsid w:val="0057380C"/>
    <w:rsid w:val="00575331"/>
    <w:rsid w:val="0057577F"/>
    <w:rsid w:val="00575F81"/>
    <w:rsid w:val="005762A7"/>
    <w:rsid w:val="00583CB8"/>
    <w:rsid w:val="005842E9"/>
    <w:rsid w:val="005916D7"/>
    <w:rsid w:val="0059527E"/>
    <w:rsid w:val="00595BC9"/>
    <w:rsid w:val="005975D4"/>
    <w:rsid w:val="005A3335"/>
    <w:rsid w:val="005A5473"/>
    <w:rsid w:val="005A694E"/>
    <w:rsid w:val="005A698C"/>
    <w:rsid w:val="005A6A47"/>
    <w:rsid w:val="005A6F95"/>
    <w:rsid w:val="005A7455"/>
    <w:rsid w:val="005B573E"/>
    <w:rsid w:val="005D1D11"/>
    <w:rsid w:val="005D7E31"/>
    <w:rsid w:val="005E0799"/>
    <w:rsid w:val="005E092A"/>
    <w:rsid w:val="005E0AD2"/>
    <w:rsid w:val="005E1B8A"/>
    <w:rsid w:val="005E4D11"/>
    <w:rsid w:val="005E55D4"/>
    <w:rsid w:val="005E5A5A"/>
    <w:rsid w:val="005F07D2"/>
    <w:rsid w:val="005F4F04"/>
    <w:rsid w:val="005F4F44"/>
    <w:rsid w:val="005F5A80"/>
    <w:rsid w:val="00600D33"/>
    <w:rsid w:val="00603087"/>
    <w:rsid w:val="006044FF"/>
    <w:rsid w:val="00605FA4"/>
    <w:rsid w:val="0060604C"/>
    <w:rsid w:val="00607743"/>
    <w:rsid w:val="00607CC5"/>
    <w:rsid w:val="00610479"/>
    <w:rsid w:val="00610ADF"/>
    <w:rsid w:val="00615F1C"/>
    <w:rsid w:val="0061624F"/>
    <w:rsid w:val="006163AB"/>
    <w:rsid w:val="00624DD0"/>
    <w:rsid w:val="00624F14"/>
    <w:rsid w:val="00625D4C"/>
    <w:rsid w:val="00630A6E"/>
    <w:rsid w:val="00632503"/>
    <w:rsid w:val="00632D38"/>
    <w:rsid w:val="00633014"/>
    <w:rsid w:val="0063437B"/>
    <w:rsid w:val="006407A1"/>
    <w:rsid w:val="00643478"/>
    <w:rsid w:val="00645B5F"/>
    <w:rsid w:val="00651432"/>
    <w:rsid w:val="00651532"/>
    <w:rsid w:val="006525D8"/>
    <w:rsid w:val="006613B0"/>
    <w:rsid w:val="006656CE"/>
    <w:rsid w:val="006659AD"/>
    <w:rsid w:val="006673CA"/>
    <w:rsid w:val="0067014B"/>
    <w:rsid w:val="00670D4E"/>
    <w:rsid w:val="006720C3"/>
    <w:rsid w:val="00672FE2"/>
    <w:rsid w:val="00673336"/>
    <w:rsid w:val="00673C26"/>
    <w:rsid w:val="0067669A"/>
    <w:rsid w:val="006812AF"/>
    <w:rsid w:val="0068327D"/>
    <w:rsid w:val="006913A5"/>
    <w:rsid w:val="00693875"/>
    <w:rsid w:val="00694AF0"/>
    <w:rsid w:val="006A4686"/>
    <w:rsid w:val="006A536F"/>
    <w:rsid w:val="006A5930"/>
    <w:rsid w:val="006A7B98"/>
    <w:rsid w:val="006B0E9E"/>
    <w:rsid w:val="006B143D"/>
    <w:rsid w:val="006B223A"/>
    <w:rsid w:val="006B5AE4"/>
    <w:rsid w:val="006C62AD"/>
    <w:rsid w:val="006C7F67"/>
    <w:rsid w:val="006D1507"/>
    <w:rsid w:val="006D1995"/>
    <w:rsid w:val="006D2B90"/>
    <w:rsid w:val="006D4054"/>
    <w:rsid w:val="006D474B"/>
    <w:rsid w:val="006E02EC"/>
    <w:rsid w:val="006E1881"/>
    <w:rsid w:val="006E1F0E"/>
    <w:rsid w:val="006E27D2"/>
    <w:rsid w:val="006E5C48"/>
    <w:rsid w:val="006E6AA5"/>
    <w:rsid w:val="006F1AE2"/>
    <w:rsid w:val="006F59EF"/>
    <w:rsid w:val="007039A4"/>
    <w:rsid w:val="0070428E"/>
    <w:rsid w:val="00705874"/>
    <w:rsid w:val="00705AD8"/>
    <w:rsid w:val="00712103"/>
    <w:rsid w:val="007130D5"/>
    <w:rsid w:val="00716FC9"/>
    <w:rsid w:val="007211B1"/>
    <w:rsid w:val="00721281"/>
    <w:rsid w:val="00722409"/>
    <w:rsid w:val="00727C17"/>
    <w:rsid w:val="00731A35"/>
    <w:rsid w:val="00734CA1"/>
    <w:rsid w:val="0073584F"/>
    <w:rsid w:val="007376CF"/>
    <w:rsid w:val="007436CF"/>
    <w:rsid w:val="0074543D"/>
    <w:rsid w:val="007456DE"/>
    <w:rsid w:val="00746187"/>
    <w:rsid w:val="00746C6E"/>
    <w:rsid w:val="007470DB"/>
    <w:rsid w:val="00752A5D"/>
    <w:rsid w:val="00753B65"/>
    <w:rsid w:val="007552F1"/>
    <w:rsid w:val="00756BCA"/>
    <w:rsid w:val="00760EDB"/>
    <w:rsid w:val="0076254F"/>
    <w:rsid w:val="00767B50"/>
    <w:rsid w:val="0077035E"/>
    <w:rsid w:val="0077086D"/>
    <w:rsid w:val="00777F44"/>
    <w:rsid w:val="00780080"/>
    <w:rsid w:val="007801F5"/>
    <w:rsid w:val="00783CA4"/>
    <w:rsid w:val="007842FB"/>
    <w:rsid w:val="00786124"/>
    <w:rsid w:val="00791254"/>
    <w:rsid w:val="0079351A"/>
    <w:rsid w:val="00793960"/>
    <w:rsid w:val="00794990"/>
    <w:rsid w:val="0079514B"/>
    <w:rsid w:val="007A1F7E"/>
    <w:rsid w:val="007A2DC1"/>
    <w:rsid w:val="007A425C"/>
    <w:rsid w:val="007B6335"/>
    <w:rsid w:val="007C06B1"/>
    <w:rsid w:val="007C0A8F"/>
    <w:rsid w:val="007C1F4D"/>
    <w:rsid w:val="007D3319"/>
    <w:rsid w:val="007D335D"/>
    <w:rsid w:val="007D49B2"/>
    <w:rsid w:val="007D5310"/>
    <w:rsid w:val="007E3314"/>
    <w:rsid w:val="007E4B03"/>
    <w:rsid w:val="007E5D26"/>
    <w:rsid w:val="007E7C75"/>
    <w:rsid w:val="007F324B"/>
    <w:rsid w:val="00801FC3"/>
    <w:rsid w:val="0080553C"/>
    <w:rsid w:val="00805B46"/>
    <w:rsid w:val="00805CF3"/>
    <w:rsid w:val="008079DE"/>
    <w:rsid w:val="00812FCA"/>
    <w:rsid w:val="008142ED"/>
    <w:rsid w:val="00814BD1"/>
    <w:rsid w:val="00822F36"/>
    <w:rsid w:val="00823A60"/>
    <w:rsid w:val="00825DC2"/>
    <w:rsid w:val="00834A23"/>
    <w:rsid w:val="00834AD3"/>
    <w:rsid w:val="00835CE7"/>
    <w:rsid w:val="00836E5A"/>
    <w:rsid w:val="0083786A"/>
    <w:rsid w:val="00840E72"/>
    <w:rsid w:val="00843795"/>
    <w:rsid w:val="00846BB2"/>
    <w:rsid w:val="008470B1"/>
    <w:rsid w:val="00847F0F"/>
    <w:rsid w:val="00850EA5"/>
    <w:rsid w:val="00851B72"/>
    <w:rsid w:val="00852448"/>
    <w:rsid w:val="0085332A"/>
    <w:rsid w:val="00853A04"/>
    <w:rsid w:val="008548AD"/>
    <w:rsid w:val="00857A1E"/>
    <w:rsid w:val="008632A9"/>
    <w:rsid w:val="00864787"/>
    <w:rsid w:val="00864807"/>
    <w:rsid w:val="0086752C"/>
    <w:rsid w:val="00871B22"/>
    <w:rsid w:val="00881230"/>
    <w:rsid w:val="00881F60"/>
    <w:rsid w:val="0088258A"/>
    <w:rsid w:val="008826DE"/>
    <w:rsid w:val="00886332"/>
    <w:rsid w:val="008937C5"/>
    <w:rsid w:val="00895219"/>
    <w:rsid w:val="00896AB3"/>
    <w:rsid w:val="00897258"/>
    <w:rsid w:val="008A20F4"/>
    <w:rsid w:val="008A26D9"/>
    <w:rsid w:val="008A2719"/>
    <w:rsid w:val="008A2920"/>
    <w:rsid w:val="008A3537"/>
    <w:rsid w:val="008A376C"/>
    <w:rsid w:val="008A41F1"/>
    <w:rsid w:val="008A42D4"/>
    <w:rsid w:val="008A6C77"/>
    <w:rsid w:val="008B0189"/>
    <w:rsid w:val="008B0813"/>
    <w:rsid w:val="008B0C53"/>
    <w:rsid w:val="008B112C"/>
    <w:rsid w:val="008B2294"/>
    <w:rsid w:val="008B6140"/>
    <w:rsid w:val="008C04BC"/>
    <w:rsid w:val="008C0C29"/>
    <w:rsid w:val="008C29C9"/>
    <w:rsid w:val="008D0BCA"/>
    <w:rsid w:val="008D482E"/>
    <w:rsid w:val="008E5BA8"/>
    <w:rsid w:val="008E73DE"/>
    <w:rsid w:val="008F3638"/>
    <w:rsid w:val="008F39DA"/>
    <w:rsid w:val="008F4441"/>
    <w:rsid w:val="008F6F31"/>
    <w:rsid w:val="008F74DF"/>
    <w:rsid w:val="00901D5C"/>
    <w:rsid w:val="00904933"/>
    <w:rsid w:val="00906F60"/>
    <w:rsid w:val="009127BA"/>
    <w:rsid w:val="00912830"/>
    <w:rsid w:val="009160AF"/>
    <w:rsid w:val="0091761A"/>
    <w:rsid w:val="00917C08"/>
    <w:rsid w:val="009227A6"/>
    <w:rsid w:val="00922968"/>
    <w:rsid w:val="00923B5C"/>
    <w:rsid w:val="00932FB8"/>
    <w:rsid w:val="00933EC1"/>
    <w:rsid w:val="0093416A"/>
    <w:rsid w:val="009419D8"/>
    <w:rsid w:val="00943CEA"/>
    <w:rsid w:val="00944D87"/>
    <w:rsid w:val="009516C0"/>
    <w:rsid w:val="009530DB"/>
    <w:rsid w:val="00953676"/>
    <w:rsid w:val="00954401"/>
    <w:rsid w:val="009572CE"/>
    <w:rsid w:val="00960051"/>
    <w:rsid w:val="00961357"/>
    <w:rsid w:val="00962C2B"/>
    <w:rsid w:val="009705EE"/>
    <w:rsid w:val="0097147D"/>
    <w:rsid w:val="009716EB"/>
    <w:rsid w:val="0097667C"/>
    <w:rsid w:val="00976A9F"/>
    <w:rsid w:val="00977226"/>
    <w:rsid w:val="00977927"/>
    <w:rsid w:val="0098135C"/>
    <w:rsid w:val="0098156A"/>
    <w:rsid w:val="00984D49"/>
    <w:rsid w:val="0098560B"/>
    <w:rsid w:val="0098745F"/>
    <w:rsid w:val="009879D6"/>
    <w:rsid w:val="00987B08"/>
    <w:rsid w:val="00990549"/>
    <w:rsid w:val="009912CA"/>
    <w:rsid w:val="00991580"/>
    <w:rsid w:val="0099173B"/>
    <w:rsid w:val="00991BAC"/>
    <w:rsid w:val="00993860"/>
    <w:rsid w:val="00997F22"/>
    <w:rsid w:val="009A37A8"/>
    <w:rsid w:val="009A5166"/>
    <w:rsid w:val="009A5563"/>
    <w:rsid w:val="009A6EA0"/>
    <w:rsid w:val="009B03CE"/>
    <w:rsid w:val="009B112A"/>
    <w:rsid w:val="009B5182"/>
    <w:rsid w:val="009C1335"/>
    <w:rsid w:val="009C1AB2"/>
    <w:rsid w:val="009C7251"/>
    <w:rsid w:val="009C73F4"/>
    <w:rsid w:val="009C77AC"/>
    <w:rsid w:val="009D2055"/>
    <w:rsid w:val="009D28C2"/>
    <w:rsid w:val="009D34FB"/>
    <w:rsid w:val="009D4D5A"/>
    <w:rsid w:val="009D7DF4"/>
    <w:rsid w:val="009E2E91"/>
    <w:rsid w:val="009E46C6"/>
    <w:rsid w:val="009E696D"/>
    <w:rsid w:val="009F4320"/>
    <w:rsid w:val="009F70CD"/>
    <w:rsid w:val="00A013DB"/>
    <w:rsid w:val="00A030D5"/>
    <w:rsid w:val="00A04CC8"/>
    <w:rsid w:val="00A05463"/>
    <w:rsid w:val="00A05623"/>
    <w:rsid w:val="00A06E7B"/>
    <w:rsid w:val="00A112A7"/>
    <w:rsid w:val="00A11449"/>
    <w:rsid w:val="00A139F5"/>
    <w:rsid w:val="00A16E3B"/>
    <w:rsid w:val="00A22FF2"/>
    <w:rsid w:val="00A24E32"/>
    <w:rsid w:val="00A2519B"/>
    <w:rsid w:val="00A2630B"/>
    <w:rsid w:val="00A31174"/>
    <w:rsid w:val="00A33160"/>
    <w:rsid w:val="00A365F4"/>
    <w:rsid w:val="00A42793"/>
    <w:rsid w:val="00A42F63"/>
    <w:rsid w:val="00A437FC"/>
    <w:rsid w:val="00A43C9B"/>
    <w:rsid w:val="00A4549B"/>
    <w:rsid w:val="00A4762B"/>
    <w:rsid w:val="00A47D80"/>
    <w:rsid w:val="00A5037C"/>
    <w:rsid w:val="00A5136F"/>
    <w:rsid w:val="00A51EFC"/>
    <w:rsid w:val="00A53132"/>
    <w:rsid w:val="00A54CAB"/>
    <w:rsid w:val="00A563F2"/>
    <w:rsid w:val="00A566E8"/>
    <w:rsid w:val="00A619B7"/>
    <w:rsid w:val="00A66BF7"/>
    <w:rsid w:val="00A66E80"/>
    <w:rsid w:val="00A72978"/>
    <w:rsid w:val="00A810F9"/>
    <w:rsid w:val="00A85F5A"/>
    <w:rsid w:val="00A86ECC"/>
    <w:rsid w:val="00A86FCC"/>
    <w:rsid w:val="00A91DD7"/>
    <w:rsid w:val="00A9416E"/>
    <w:rsid w:val="00A979B5"/>
    <w:rsid w:val="00AA0319"/>
    <w:rsid w:val="00AA15FC"/>
    <w:rsid w:val="00AA320F"/>
    <w:rsid w:val="00AA6A7F"/>
    <w:rsid w:val="00AA6AE4"/>
    <w:rsid w:val="00AA710D"/>
    <w:rsid w:val="00AB0055"/>
    <w:rsid w:val="00AB3464"/>
    <w:rsid w:val="00AB5A89"/>
    <w:rsid w:val="00AB5ED5"/>
    <w:rsid w:val="00AB6D25"/>
    <w:rsid w:val="00AC3A3B"/>
    <w:rsid w:val="00AC5BF3"/>
    <w:rsid w:val="00AC68EA"/>
    <w:rsid w:val="00AD070F"/>
    <w:rsid w:val="00AD242D"/>
    <w:rsid w:val="00AD29E7"/>
    <w:rsid w:val="00AD3847"/>
    <w:rsid w:val="00AD4B22"/>
    <w:rsid w:val="00AD5702"/>
    <w:rsid w:val="00AD59DF"/>
    <w:rsid w:val="00AD62DD"/>
    <w:rsid w:val="00AD6BEC"/>
    <w:rsid w:val="00AE2D4B"/>
    <w:rsid w:val="00AE35E9"/>
    <w:rsid w:val="00AE4F99"/>
    <w:rsid w:val="00AE7D6A"/>
    <w:rsid w:val="00AF0314"/>
    <w:rsid w:val="00AF16EF"/>
    <w:rsid w:val="00AF218C"/>
    <w:rsid w:val="00AF33B6"/>
    <w:rsid w:val="00AF4179"/>
    <w:rsid w:val="00AF59A5"/>
    <w:rsid w:val="00AF691B"/>
    <w:rsid w:val="00AF6E73"/>
    <w:rsid w:val="00B00AD4"/>
    <w:rsid w:val="00B0114E"/>
    <w:rsid w:val="00B01703"/>
    <w:rsid w:val="00B019E6"/>
    <w:rsid w:val="00B02335"/>
    <w:rsid w:val="00B040AC"/>
    <w:rsid w:val="00B05893"/>
    <w:rsid w:val="00B05C7B"/>
    <w:rsid w:val="00B07063"/>
    <w:rsid w:val="00B11B69"/>
    <w:rsid w:val="00B13B42"/>
    <w:rsid w:val="00B14952"/>
    <w:rsid w:val="00B168A8"/>
    <w:rsid w:val="00B226C8"/>
    <w:rsid w:val="00B31E5A"/>
    <w:rsid w:val="00B32C0A"/>
    <w:rsid w:val="00B332F5"/>
    <w:rsid w:val="00B33788"/>
    <w:rsid w:val="00B33934"/>
    <w:rsid w:val="00B33E9D"/>
    <w:rsid w:val="00B35DAC"/>
    <w:rsid w:val="00B41FAA"/>
    <w:rsid w:val="00B43897"/>
    <w:rsid w:val="00B44345"/>
    <w:rsid w:val="00B47F2F"/>
    <w:rsid w:val="00B55BDD"/>
    <w:rsid w:val="00B55C8C"/>
    <w:rsid w:val="00B56A8E"/>
    <w:rsid w:val="00B57DE2"/>
    <w:rsid w:val="00B6146A"/>
    <w:rsid w:val="00B628A5"/>
    <w:rsid w:val="00B637A7"/>
    <w:rsid w:val="00B64834"/>
    <w:rsid w:val="00B653AB"/>
    <w:rsid w:val="00B65F9E"/>
    <w:rsid w:val="00B66B19"/>
    <w:rsid w:val="00B671E2"/>
    <w:rsid w:val="00B82E58"/>
    <w:rsid w:val="00B845E6"/>
    <w:rsid w:val="00B859E1"/>
    <w:rsid w:val="00B914E9"/>
    <w:rsid w:val="00B9169F"/>
    <w:rsid w:val="00B93B53"/>
    <w:rsid w:val="00B956EE"/>
    <w:rsid w:val="00BA2BA1"/>
    <w:rsid w:val="00BA3562"/>
    <w:rsid w:val="00BA740C"/>
    <w:rsid w:val="00BB2032"/>
    <w:rsid w:val="00BB4F09"/>
    <w:rsid w:val="00BC32FB"/>
    <w:rsid w:val="00BC33B3"/>
    <w:rsid w:val="00BC469F"/>
    <w:rsid w:val="00BD0A0B"/>
    <w:rsid w:val="00BD0FAF"/>
    <w:rsid w:val="00BD3080"/>
    <w:rsid w:val="00BD3247"/>
    <w:rsid w:val="00BD3642"/>
    <w:rsid w:val="00BD4E33"/>
    <w:rsid w:val="00BE07B5"/>
    <w:rsid w:val="00BE3B8F"/>
    <w:rsid w:val="00BE6BC5"/>
    <w:rsid w:val="00BF2214"/>
    <w:rsid w:val="00BF41D4"/>
    <w:rsid w:val="00BF4404"/>
    <w:rsid w:val="00BF482F"/>
    <w:rsid w:val="00BF4C28"/>
    <w:rsid w:val="00BF577B"/>
    <w:rsid w:val="00BF5A4D"/>
    <w:rsid w:val="00BF674C"/>
    <w:rsid w:val="00C01D91"/>
    <w:rsid w:val="00C02B94"/>
    <w:rsid w:val="00C030DE"/>
    <w:rsid w:val="00C03DD8"/>
    <w:rsid w:val="00C154DA"/>
    <w:rsid w:val="00C16F88"/>
    <w:rsid w:val="00C20171"/>
    <w:rsid w:val="00C212DC"/>
    <w:rsid w:val="00C22105"/>
    <w:rsid w:val="00C229B7"/>
    <w:rsid w:val="00C22A82"/>
    <w:rsid w:val="00C2412B"/>
    <w:rsid w:val="00C244B6"/>
    <w:rsid w:val="00C264F6"/>
    <w:rsid w:val="00C35B7E"/>
    <w:rsid w:val="00C3702F"/>
    <w:rsid w:val="00C4500A"/>
    <w:rsid w:val="00C47DAF"/>
    <w:rsid w:val="00C50B58"/>
    <w:rsid w:val="00C629DC"/>
    <w:rsid w:val="00C62B3A"/>
    <w:rsid w:val="00C63802"/>
    <w:rsid w:val="00C64A37"/>
    <w:rsid w:val="00C67376"/>
    <w:rsid w:val="00C7158E"/>
    <w:rsid w:val="00C717E2"/>
    <w:rsid w:val="00C7250B"/>
    <w:rsid w:val="00C7346B"/>
    <w:rsid w:val="00C7589C"/>
    <w:rsid w:val="00C77C0E"/>
    <w:rsid w:val="00C80B60"/>
    <w:rsid w:val="00C81D21"/>
    <w:rsid w:val="00C8594A"/>
    <w:rsid w:val="00C9122E"/>
    <w:rsid w:val="00C91687"/>
    <w:rsid w:val="00C924A8"/>
    <w:rsid w:val="00C945FE"/>
    <w:rsid w:val="00C96FAA"/>
    <w:rsid w:val="00C97A04"/>
    <w:rsid w:val="00CA107B"/>
    <w:rsid w:val="00CA3DE9"/>
    <w:rsid w:val="00CA484D"/>
    <w:rsid w:val="00CA4FB6"/>
    <w:rsid w:val="00CA5374"/>
    <w:rsid w:val="00CB24CF"/>
    <w:rsid w:val="00CB7D93"/>
    <w:rsid w:val="00CC25A1"/>
    <w:rsid w:val="00CC43E2"/>
    <w:rsid w:val="00CC739E"/>
    <w:rsid w:val="00CD5218"/>
    <w:rsid w:val="00CD58B7"/>
    <w:rsid w:val="00CD6A48"/>
    <w:rsid w:val="00CD6BBD"/>
    <w:rsid w:val="00CE0F21"/>
    <w:rsid w:val="00CE6B20"/>
    <w:rsid w:val="00CF1957"/>
    <w:rsid w:val="00CF4099"/>
    <w:rsid w:val="00CF4418"/>
    <w:rsid w:val="00D00796"/>
    <w:rsid w:val="00D00DAC"/>
    <w:rsid w:val="00D05F88"/>
    <w:rsid w:val="00D1463D"/>
    <w:rsid w:val="00D177D0"/>
    <w:rsid w:val="00D17BF5"/>
    <w:rsid w:val="00D22992"/>
    <w:rsid w:val="00D23008"/>
    <w:rsid w:val="00D2456A"/>
    <w:rsid w:val="00D25E56"/>
    <w:rsid w:val="00D261A2"/>
    <w:rsid w:val="00D425C0"/>
    <w:rsid w:val="00D52384"/>
    <w:rsid w:val="00D52C3D"/>
    <w:rsid w:val="00D57582"/>
    <w:rsid w:val="00D57D87"/>
    <w:rsid w:val="00D616D2"/>
    <w:rsid w:val="00D61E72"/>
    <w:rsid w:val="00D63B5F"/>
    <w:rsid w:val="00D6526F"/>
    <w:rsid w:val="00D66EFE"/>
    <w:rsid w:val="00D70EF7"/>
    <w:rsid w:val="00D71C6A"/>
    <w:rsid w:val="00D72DF6"/>
    <w:rsid w:val="00D74B53"/>
    <w:rsid w:val="00D77716"/>
    <w:rsid w:val="00D81CEC"/>
    <w:rsid w:val="00D81FAF"/>
    <w:rsid w:val="00D838E3"/>
    <w:rsid w:val="00D8397C"/>
    <w:rsid w:val="00D84FE5"/>
    <w:rsid w:val="00D8502E"/>
    <w:rsid w:val="00D85DF6"/>
    <w:rsid w:val="00D91F27"/>
    <w:rsid w:val="00D94EED"/>
    <w:rsid w:val="00D96026"/>
    <w:rsid w:val="00DA0B09"/>
    <w:rsid w:val="00DA2565"/>
    <w:rsid w:val="00DA6320"/>
    <w:rsid w:val="00DA7C1C"/>
    <w:rsid w:val="00DB147A"/>
    <w:rsid w:val="00DB1747"/>
    <w:rsid w:val="00DB1B7A"/>
    <w:rsid w:val="00DB2648"/>
    <w:rsid w:val="00DB2A69"/>
    <w:rsid w:val="00DB2FB0"/>
    <w:rsid w:val="00DB37B5"/>
    <w:rsid w:val="00DB677A"/>
    <w:rsid w:val="00DB7EBD"/>
    <w:rsid w:val="00DC4264"/>
    <w:rsid w:val="00DC6708"/>
    <w:rsid w:val="00DC711C"/>
    <w:rsid w:val="00DD346F"/>
    <w:rsid w:val="00DD35C6"/>
    <w:rsid w:val="00DD5224"/>
    <w:rsid w:val="00DE0585"/>
    <w:rsid w:val="00DE0890"/>
    <w:rsid w:val="00DE0E13"/>
    <w:rsid w:val="00DE4AB4"/>
    <w:rsid w:val="00DE669B"/>
    <w:rsid w:val="00DE68E5"/>
    <w:rsid w:val="00DE7D35"/>
    <w:rsid w:val="00E00BD4"/>
    <w:rsid w:val="00E01436"/>
    <w:rsid w:val="00E045BD"/>
    <w:rsid w:val="00E04AFB"/>
    <w:rsid w:val="00E04E1E"/>
    <w:rsid w:val="00E06AC0"/>
    <w:rsid w:val="00E108AC"/>
    <w:rsid w:val="00E10DFC"/>
    <w:rsid w:val="00E11D08"/>
    <w:rsid w:val="00E12EDF"/>
    <w:rsid w:val="00E17B77"/>
    <w:rsid w:val="00E17EAE"/>
    <w:rsid w:val="00E21E3C"/>
    <w:rsid w:val="00E22912"/>
    <w:rsid w:val="00E23337"/>
    <w:rsid w:val="00E24A89"/>
    <w:rsid w:val="00E258E4"/>
    <w:rsid w:val="00E259EA"/>
    <w:rsid w:val="00E27380"/>
    <w:rsid w:val="00E32061"/>
    <w:rsid w:val="00E329B4"/>
    <w:rsid w:val="00E33D75"/>
    <w:rsid w:val="00E349DA"/>
    <w:rsid w:val="00E35760"/>
    <w:rsid w:val="00E40EA5"/>
    <w:rsid w:val="00E41876"/>
    <w:rsid w:val="00E42B6C"/>
    <w:rsid w:val="00E42FF9"/>
    <w:rsid w:val="00E430C9"/>
    <w:rsid w:val="00E44E5C"/>
    <w:rsid w:val="00E4714C"/>
    <w:rsid w:val="00E47508"/>
    <w:rsid w:val="00E51AEB"/>
    <w:rsid w:val="00E522A7"/>
    <w:rsid w:val="00E54452"/>
    <w:rsid w:val="00E5642B"/>
    <w:rsid w:val="00E56AD2"/>
    <w:rsid w:val="00E63AB5"/>
    <w:rsid w:val="00E6634F"/>
    <w:rsid w:val="00E664C5"/>
    <w:rsid w:val="00E66BD1"/>
    <w:rsid w:val="00E67080"/>
    <w:rsid w:val="00E671A2"/>
    <w:rsid w:val="00E71702"/>
    <w:rsid w:val="00E72110"/>
    <w:rsid w:val="00E76D26"/>
    <w:rsid w:val="00E845BC"/>
    <w:rsid w:val="00E84996"/>
    <w:rsid w:val="00E96A1D"/>
    <w:rsid w:val="00E97E62"/>
    <w:rsid w:val="00EA03E2"/>
    <w:rsid w:val="00EA06C0"/>
    <w:rsid w:val="00EA081E"/>
    <w:rsid w:val="00EA08F7"/>
    <w:rsid w:val="00EA1539"/>
    <w:rsid w:val="00EA1AC5"/>
    <w:rsid w:val="00EA4E8A"/>
    <w:rsid w:val="00EA5DF1"/>
    <w:rsid w:val="00EA7E89"/>
    <w:rsid w:val="00EA7F0C"/>
    <w:rsid w:val="00EB1390"/>
    <w:rsid w:val="00EB2C71"/>
    <w:rsid w:val="00EB377A"/>
    <w:rsid w:val="00EB4340"/>
    <w:rsid w:val="00EB556D"/>
    <w:rsid w:val="00EB5A7D"/>
    <w:rsid w:val="00EC1555"/>
    <w:rsid w:val="00EC5A67"/>
    <w:rsid w:val="00ED55C0"/>
    <w:rsid w:val="00ED634A"/>
    <w:rsid w:val="00ED682B"/>
    <w:rsid w:val="00ED6E9F"/>
    <w:rsid w:val="00ED7BCF"/>
    <w:rsid w:val="00EE0719"/>
    <w:rsid w:val="00EE4057"/>
    <w:rsid w:val="00EE41D5"/>
    <w:rsid w:val="00EE5BB8"/>
    <w:rsid w:val="00EE5F91"/>
    <w:rsid w:val="00EF0B86"/>
    <w:rsid w:val="00F02A94"/>
    <w:rsid w:val="00F037A4"/>
    <w:rsid w:val="00F117B2"/>
    <w:rsid w:val="00F12A16"/>
    <w:rsid w:val="00F20251"/>
    <w:rsid w:val="00F20933"/>
    <w:rsid w:val="00F2318D"/>
    <w:rsid w:val="00F23FD8"/>
    <w:rsid w:val="00F2571E"/>
    <w:rsid w:val="00F274FF"/>
    <w:rsid w:val="00F27C8F"/>
    <w:rsid w:val="00F30D32"/>
    <w:rsid w:val="00F32749"/>
    <w:rsid w:val="00F359F1"/>
    <w:rsid w:val="00F37172"/>
    <w:rsid w:val="00F41428"/>
    <w:rsid w:val="00F4477E"/>
    <w:rsid w:val="00F46F53"/>
    <w:rsid w:val="00F47A85"/>
    <w:rsid w:val="00F50E5D"/>
    <w:rsid w:val="00F5179F"/>
    <w:rsid w:val="00F5182F"/>
    <w:rsid w:val="00F52524"/>
    <w:rsid w:val="00F52ABC"/>
    <w:rsid w:val="00F53294"/>
    <w:rsid w:val="00F53EC1"/>
    <w:rsid w:val="00F54F3E"/>
    <w:rsid w:val="00F56057"/>
    <w:rsid w:val="00F63109"/>
    <w:rsid w:val="00F665C4"/>
    <w:rsid w:val="00F677E2"/>
    <w:rsid w:val="00F67D8F"/>
    <w:rsid w:val="00F714F5"/>
    <w:rsid w:val="00F72B4B"/>
    <w:rsid w:val="00F74454"/>
    <w:rsid w:val="00F76BCA"/>
    <w:rsid w:val="00F76C0B"/>
    <w:rsid w:val="00F802BE"/>
    <w:rsid w:val="00F80E93"/>
    <w:rsid w:val="00F86024"/>
    <w:rsid w:val="00F8611A"/>
    <w:rsid w:val="00F90EBB"/>
    <w:rsid w:val="00F92BBF"/>
    <w:rsid w:val="00F96F12"/>
    <w:rsid w:val="00FA42EB"/>
    <w:rsid w:val="00FA5128"/>
    <w:rsid w:val="00FB0A2D"/>
    <w:rsid w:val="00FB1D3B"/>
    <w:rsid w:val="00FB42D4"/>
    <w:rsid w:val="00FB5906"/>
    <w:rsid w:val="00FB762F"/>
    <w:rsid w:val="00FC142D"/>
    <w:rsid w:val="00FC2AED"/>
    <w:rsid w:val="00FC394F"/>
    <w:rsid w:val="00FC5A12"/>
    <w:rsid w:val="00FD2691"/>
    <w:rsid w:val="00FD26EA"/>
    <w:rsid w:val="00FD2C93"/>
    <w:rsid w:val="00FD3CE9"/>
    <w:rsid w:val="00FD3E89"/>
    <w:rsid w:val="00FD4F32"/>
    <w:rsid w:val="00FD5EA7"/>
    <w:rsid w:val="00FD65DB"/>
    <w:rsid w:val="00FD791A"/>
    <w:rsid w:val="00FE031C"/>
    <w:rsid w:val="00FE136C"/>
    <w:rsid w:val="00FE4589"/>
    <w:rsid w:val="00FE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9416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EA1AC5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D838E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454A82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styltekstbezrobocie">
    <w:name w:val="styl_tekst (bezrobocie)"/>
    <w:basedOn w:val="Normalny"/>
    <w:uiPriority w:val="99"/>
    <w:rsid w:val="00A619B7"/>
    <w:pPr>
      <w:widowControl w:val="0"/>
      <w:tabs>
        <w:tab w:val="center" w:pos="4536"/>
        <w:tab w:val="right" w:pos="9072"/>
      </w:tabs>
      <w:suppressAutoHyphens/>
      <w:autoSpaceDE w:val="0"/>
      <w:autoSpaceDN w:val="0"/>
      <w:adjustRightInd w:val="0"/>
      <w:spacing w:before="0" w:after="0" w:line="260" w:lineRule="atLeast"/>
      <w:ind w:left="1134" w:firstLine="283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Brakstyluakapitowego">
    <w:name w:val="[Brak stylu akapitowego]"/>
    <w:rsid w:val="007A425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eastAsia="pl-PL"/>
    </w:rPr>
  </w:style>
  <w:style w:type="paragraph" w:customStyle="1" w:styleId="gwkatabeli">
    <w:name w:val="główka_tabeli"/>
    <w:basedOn w:val="Brakstyluakapitowego"/>
    <w:uiPriority w:val="99"/>
    <w:rsid w:val="00526D39"/>
    <w:pPr>
      <w:spacing w:before="57" w:after="57" w:line="200" w:lineRule="atLeast"/>
      <w:jc w:val="center"/>
    </w:pPr>
    <w:rPr>
      <w:rFonts w:ascii="Fira Sans" w:hAnsi="Fira Sans" w:cs="Calibri"/>
      <w:sz w:val="16"/>
      <w:szCs w:val="20"/>
    </w:rPr>
  </w:style>
  <w:style w:type="paragraph" w:customStyle="1" w:styleId="danebezrobocie">
    <w:name w:val="dane_ (bezrobocie)"/>
    <w:basedOn w:val="Brakstyluakapitowego"/>
    <w:uiPriority w:val="99"/>
    <w:rsid w:val="007A425C"/>
    <w:pPr>
      <w:spacing w:line="120" w:lineRule="atLeast"/>
      <w:ind w:right="57"/>
      <w:jc w:val="right"/>
    </w:pPr>
    <w:rPr>
      <w:rFonts w:ascii="Calibri" w:hAnsi="Calibri" w:cs="Calibri"/>
      <w:sz w:val="21"/>
      <w:szCs w:val="21"/>
    </w:rPr>
  </w:style>
  <w:style w:type="paragraph" w:styleId="Bezodstpw">
    <w:name w:val="No Spacing"/>
    <w:uiPriority w:val="1"/>
    <w:rsid w:val="00A31174"/>
    <w:pPr>
      <w:spacing w:after="0" w:line="240" w:lineRule="auto"/>
    </w:pPr>
    <w:rPr>
      <w:rFonts w:ascii="Fira Sans" w:hAnsi="Fira Sans"/>
      <w:sz w:val="19"/>
    </w:rPr>
  </w:style>
  <w:style w:type="paragraph" w:customStyle="1" w:styleId="dane">
    <w:name w:val="dane"/>
    <w:basedOn w:val="Normalny"/>
    <w:qFormat/>
    <w:rsid w:val="00EA7E89"/>
    <w:pPr>
      <w:spacing w:line="240" w:lineRule="exact"/>
      <w:jc w:val="right"/>
    </w:pPr>
  </w:style>
  <w:style w:type="paragraph" w:customStyle="1" w:styleId="Styl1">
    <w:name w:val="Styl1"/>
    <w:basedOn w:val="gwkatabeli"/>
    <w:qFormat/>
    <w:rsid w:val="004572FA"/>
    <w:pPr>
      <w:jc w:val="left"/>
    </w:pPr>
    <w:rPr>
      <w:szCs w:val="16"/>
    </w:rPr>
  </w:style>
  <w:style w:type="paragraph" w:customStyle="1" w:styleId="akapit">
    <w:name w:val="akapit"/>
    <w:basedOn w:val="Podstawowyakapitowy"/>
    <w:uiPriority w:val="99"/>
    <w:rsid w:val="00B019E6"/>
    <w:pPr>
      <w:spacing w:before="113" w:line="288" w:lineRule="auto"/>
      <w:ind w:firstLine="283"/>
      <w:jc w:val="both"/>
    </w:pPr>
    <w:rPr>
      <w:sz w:val="22"/>
      <w:szCs w:val="22"/>
    </w:rPr>
  </w:style>
  <w:style w:type="character" w:customStyle="1" w:styleId="A8">
    <w:name w:val="A8"/>
    <w:uiPriority w:val="99"/>
    <w:rsid w:val="00C16F88"/>
    <w:rPr>
      <w:rFonts w:cs="Myriad Pro"/>
      <w:color w:val="000000"/>
      <w:sz w:val="18"/>
      <w:szCs w:val="18"/>
    </w:rPr>
  </w:style>
  <w:style w:type="character" w:customStyle="1" w:styleId="nap12">
    <w:name w:val="nap12"/>
    <w:basedOn w:val="Domylnaczcionkaakapitu"/>
    <w:rsid w:val="006A536F"/>
  </w:style>
  <w:style w:type="character" w:styleId="Odwoaniedokomentarza">
    <w:name w:val="annotation reference"/>
    <w:basedOn w:val="Domylnaczcionkaakapitu"/>
    <w:uiPriority w:val="99"/>
    <w:semiHidden/>
    <w:unhideWhenUsed/>
    <w:rsid w:val="00E96A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6A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6A1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6A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6A1D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96A1D"/>
    <w:pPr>
      <w:spacing w:after="0" w:line="240" w:lineRule="auto"/>
    </w:pPr>
    <w:rPr>
      <w:rFonts w:ascii="Fira Sans" w:hAnsi="Fira Sans"/>
      <w:sz w:val="19"/>
    </w:rPr>
  </w:style>
  <w:style w:type="paragraph" w:customStyle="1" w:styleId="Wartowskanika">
    <w:name w:val="Wartość wskaźnika"/>
    <w:basedOn w:val="Normalny"/>
    <w:link w:val="WartowskanikaZnak"/>
    <w:qFormat/>
    <w:rsid w:val="008826DE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8826DE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37111C"/>
    <w:pPr>
      <w:spacing w:before="360" w:line="240" w:lineRule="auto"/>
    </w:pPr>
  </w:style>
  <w:style w:type="character" w:customStyle="1" w:styleId="LeadZnak">
    <w:name w:val="Lead Znak"/>
    <w:basedOn w:val="Domylnaczcionkaakapitu"/>
    <w:link w:val="Lead"/>
    <w:rsid w:val="0037111C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netablica">
    <w:name w:val="dane_tablica"/>
    <w:basedOn w:val="Brakstyluakapitowego"/>
    <w:qFormat/>
    <w:rsid w:val="00EA7E89"/>
    <w:pPr>
      <w:spacing w:before="120" w:after="120" w:line="240" w:lineRule="exact"/>
      <w:jc w:val="right"/>
    </w:pPr>
    <w:rPr>
      <w:rFonts w:ascii="Fira Sans" w:hAnsi="Fira Sans"/>
      <w:sz w:val="19"/>
    </w:rPr>
  </w:style>
  <w:style w:type="paragraph" w:customStyle="1" w:styleId="boczek">
    <w:name w:val="boczek"/>
    <w:basedOn w:val="Normalny"/>
    <w:qFormat/>
    <w:rsid w:val="008D0BCA"/>
    <w:pPr>
      <w:spacing w:line="240" w:lineRule="exact"/>
    </w:pPr>
    <w:rPr>
      <w:rFonts w:eastAsia="Times New Roman" w:cs="Calibri"/>
      <w:color w:val="000000"/>
      <w:szCs w:val="19"/>
      <w:lang w:eastAsia="pl-PL"/>
    </w:rPr>
  </w:style>
  <w:style w:type="paragraph" w:customStyle="1" w:styleId="boczek1wciecie">
    <w:name w:val="boczek_1_wciecie"/>
    <w:basedOn w:val="Normalny"/>
    <w:qFormat/>
    <w:rsid w:val="008D0BCA"/>
    <w:pPr>
      <w:spacing w:before="0" w:after="0" w:line="240" w:lineRule="auto"/>
      <w:ind w:left="176"/>
    </w:pPr>
    <w:rPr>
      <w:rFonts w:eastAsia="Times New Roman" w:cs="Calibri"/>
      <w:color w:val="000000"/>
      <w:szCs w:val="19"/>
      <w:lang w:eastAsia="pl-PL"/>
    </w:rPr>
  </w:style>
  <w:style w:type="paragraph" w:customStyle="1" w:styleId="glowkatablicy">
    <w:name w:val="glowka_tablicy"/>
    <w:basedOn w:val="Normalny"/>
    <w:qFormat/>
    <w:rsid w:val="00EE5BB8"/>
    <w:pPr>
      <w:spacing w:line="240" w:lineRule="exact"/>
      <w:jc w:val="center"/>
    </w:pPr>
    <w:rPr>
      <w:rFonts w:eastAsia="Times New Roman" w:cs="Calibri"/>
      <w:color w:val="000000"/>
      <w:szCs w:val="19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DB2FB0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DB2FB0"/>
    <w:rPr>
      <w:rFonts w:ascii="Fira Sans SemiBold" w:hAnsi="Fira Sans SemiBold"/>
      <w:color w:val="66AFDE"/>
      <w:sz w:val="60"/>
      <w:szCs w:val="60"/>
    </w:rPr>
  </w:style>
  <w:style w:type="character" w:customStyle="1" w:styleId="LIDZnak">
    <w:name w:val="LID Znak"/>
    <w:basedOn w:val="Domylnaczcionkaakapitu"/>
    <w:link w:val="LID"/>
    <w:locked/>
    <w:rsid w:val="002F4B59"/>
    <w:rPr>
      <w:rFonts w:ascii="Fira Sans" w:hAnsi="Fira Sans"/>
      <w:b/>
      <w:noProof/>
      <w:sz w:val="19"/>
      <w:szCs w:val="1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hyperlink" Target="https://stat.gov.pl/metainformacje/slownik-pojec/pojecia-stosowane-w-statystyce-publicznej/615,pojecie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szczecin.stat.gov.pl/opracowania-biezace/opracowania-sygnalne/finanse/wyniki-finansowe-przedsiebiorstw-niefinansowych-w-wojewodztwie-zachodniopomorskim-w-2023-r-informacja-sygnalna,9,9.html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hyperlink" Target="https://stat.gov.pl/metainformacje/slownik-pojec/pojecia-stosowane-w-statystyce-publicznej/3979,pojecie.html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stat.gov.pl/obszary-tematyczne/podmioty-gospodarcze-wyniki-finansowe/przedsiebiorstwa-niefinansowe/zeszyt-metodologiczny-badania-przedsiebiorstw-niefinansowych-2019,28,2.html" TargetMode="External"/><Relationship Id="rId29" Type="http://schemas.openxmlformats.org/officeDocument/2006/relationships/hyperlink" Target="https://stat.gov.pl/metainformacje/slownik-pojec/pojecia-stosowane-w-statystyce-publicznej/1198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stat.gov.pl/metainformacje/slownik-pojec/pojecia-stosowane-w-statystyce-publicznej/3980,pojecie.html" TargetMode="Externa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s://stat.gov.pl/metainformacje/slownik-pojec/pojecia-stosowane-w-statystyce-publicznej/588,pojecie.html" TargetMode="External"/><Relationship Id="rId28" Type="http://schemas.openxmlformats.org/officeDocument/2006/relationships/hyperlink" Target="https://stat.gov.pl/metainformacje/slownik-pojec/pojecia-stosowane-w-statystyce-publicznej/232,pojecie.html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stat.gov.pl/obszary-tematyczne/podmioty-gospodarcze-wyniki-finansowe/przedsiebiorstwa-niefinansowe/wyniki-finansowe-przedsiebiorstw-niefinansowych-w-2024-r-,12,58.html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hyperlink" Target="https://dbw.stat.gov.pl/dashboard/111" TargetMode="External"/><Relationship Id="rId27" Type="http://schemas.openxmlformats.org/officeDocument/2006/relationships/hyperlink" Target="https://stat.gov.pl/metainformacje/slownik-pojec/pojecia-stosowane-w-statystyce-publicznej/1201,pojecie.html" TargetMode="External"/><Relationship Id="rId30" Type="http://schemas.openxmlformats.org/officeDocument/2006/relationships/hyperlink" Target="https://stat.gov.pl/metainformacje/slownik-pojec/pojecia-stosowane-w-statystyce-publicznej/223,pojecie.html" TargetMode="External"/><Relationship Id="rId8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9679A-7EBE-4B42-9CD4-2E2B4DBE2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1847</Words>
  <Characters>11083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Wyniki finansowe przedsiębiorstw niefinansowych w wojewódzztwie zachodniopomorskim w 2024 r</dc:title>
  <dc:creator/>
  <cp:lastModifiedBy/>
  <cp:revision>1</cp:revision>
  <dcterms:created xsi:type="dcterms:W3CDTF">2026-06-30T09:15:00Z</dcterms:created>
  <dcterms:modified xsi:type="dcterms:W3CDTF">2026-06-30T09:15:00Z</dcterms:modified>
</cp:coreProperties>
</file>