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theme/themeOverride1.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2.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drawings/drawing4.xml" ContentType="application/vnd.openxmlformats-officedocument.drawingml.chartshapes+xml"/>
  <Override PartName="/word/charts/chart5.xml" ContentType="application/vnd.openxmlformats-officedocument.drawingml.chart+xml"/>
  <Override PartName="/word/theme/themeOverride3.xml" ContentType="application/vnd.openxmlformats-officedocument.themeOverride+xml"/>
  <Override PartName="/word/drawings/drawing5.xml" ContentType="application/vnd.openxmlformats-officedocument.drawingml.chartshapes+xml"/>
  <Override PartName="/word/charts/chart6.xml" ContentType="application/vnd.openxmlformats-officedocument.drawingml.chart+xml"/>
  <Override PartName="/word/drawings/drawing6.xml" ContentType="application/vnd.openxmlformats-officedocument.drawingml.chartshapes+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rawings/drawing7.xml" ContentType="application/vnd.openxmlformats-officedocument.drawingml.chartshapes+xml"/>
  <Override PartName="/word/charts/chart10.xml" ContentType="application/vnd.openxmlformats-officedocument.drawingml.chart+xml"/>
  <Override PartName="/word/theme/themeOverride4.xml" ContentType="application/vnd.openxmlformats-officedocument.themeOverride+xml"/>
  <Override PartName="/word/charts/chart1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FBA5D4" w14:textId="1D8782EA" w:rsidR="00FC1F48" w:rsidRPr="00964346" w:rsidRDefault="00B16AF1" w:rsidP="00AB355B">
      <w:pPr>
        <w:shd w:val="clear" w:color="auto" w:fill="FFFFFF" w:themeFill="background1"/>
        <w:spacing w:line="240" w:lineRule="auto"/>
        <w:rPr>
          <w:rFonts w:ascii="Fira Sans Extra Condensed SemiB" w:hAnsi="Fira Sans Extra Condensed SemiB"/>
          <w:b/>
          <w:sz w:val="40"/>
          <w:szCs w:val="40"/>
        </w:rPr>
      </w:pPr>
      <w:r w:rsidRPr="00964346">
        <w:rPr>
          <w:rFonts w:ascii="Fira Sans Extra Condensed SemiB" w:hAnsi="Fira Sans Extra Condensed SemiB"/>
          <w:b/>
          <w:noProof/>
          <w:sz w:val="40"/>
          <w:szCs w:val="40"/>
          <w:lang w:eastAsia="pl-PL"/>
        </w:rPr>
        <mc:AlternateContent>
          <mc:Choice Requires="wps">
            <w:drawing>
              <wp:anchor distT="45720" distB="45720" distL="114300" distR="114300" simplePos="0" relativeHeight="251776000" behindDoc="0" locked="0" layoutInCell="1" allowOverlap="1" wp14:anchorId="0C02B328" wp14:editId="5E9FB3D6">
                <wp:simplePos x="0" y="0"/>
                <wp:positionH relativeFrom="column">
                  <wp:posOffset>5213350</wp:posOffset>
                </wp:positionH>
                <wp:positionV relativeFrom="paragraph">
                  <wp:posOffset>40005</wp:posOffset>
                </wp:positionV>
                <wp:extent cx="1758315" cy="396240"/>
                <wp:effectExtent l="0" t="0" r="0" b="0"/>
                <wp:wrapNone/>
                <wp:docPr id="2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396240"/>
                        </a:xfrm>
                        <a:prstGeom prst="rect">
                          <a:avLst/>
                        </a:prstGeom>
                        <a:noFill/>
                        <a:ln w="9525">
                          <a:noFill/>
                          <a:miter lim="800000"/>
                          <a:headEnd/>
                          <a:tailEnd/>
                        </a:ln>
                      </wps:spPr>
                      <wps:txbx>
                        <w:txbxContent>
                          <w:p w14:paraId="06FC0064" w14:textId="47D272FA" w:rsidR="00837C4C" w:rsidRPr="00330E56" w:rsidRDefault="00B1738A">
                            <w:pPr>
                              <w:rPr>
                                <w:rFonts w:ascii="Fira Sans SemiBold" w:hAnsi="Fira Sans SemiBold"/>
                                <w:color w:val="001D77"/>
                              </w:rPr>
                            </w:pPr>
                            <w:r>
                              <w:rPr>
                                <w:rFonts w:ascii="Fira Sans SemiBold" w:hAnsi="Fira Sans SemiBold"/>
                                <w:color w:val="001D77"/>
                              </w:rPr>
                              <w:t>30</w:t>
                            </w:r>
                            <w:r w:rsidR="00837C4C" w:rsidRPr="00330E56">
                              <w:rPr>
                                <w:rFonts w:ascii="Fira Sans SemiBold" w:hAnsi="Fira Sans SemiBold"/>
                                <w:color w:val="001D77"/>
                              </w:rPr>
                              <w:t>.0</w:t>
                            </w:r>
                            <w:r w:rsidR="00837C4C">
                              <w:rPr>
                                <w:rFonts w:ascii="Fira Sans SemiBold" w:hAnsi="Fira Sans SemiBold"/>
                                <w:color w:val="001D77"/>
                              </w:rPr>
                              <w:t>6</w:t>
                            </w:r>
                            <w:r w:rsidR="00837C4C" w:rsidRPr="00330E56">
                              <w:rPr>
                                <w:rFonts w:ascii="Fira Sans SemiBold" w:hAnsi="Fira Sans SemiBold"/>
                                <w:color w:val="001D77"/>
                              </w:rPr>
                              <w:t>.20</w:t>
                            </w:r>
                            <w:r w:rsidR="00837C4C">
                              <w:rPr>
                                <w:rFonts w:ascii="Fira Sans SemiBold" w:hAnsi="Fira Sans SemiBold"/>
                                <w:color w:val="001D77"/>
                              </w:rPr>
                              <w:t>2</w:t>
                            </w:r>
                            <w:r>
                              <w:rPr>
                                <w:rFonts w:ascii="Fira Sans SemiBold" w:hAnsi="Fira Sans SemiBold"/>
                                <w:color w:val="001D77"/>
                              </w:rPr>
                              <w:t>6</w:t>
                            </w:r>
                            <w:r w:rsidR="00837C4C" w:rsidRPr="00330E56">
                              <w:rPr>
                                <w:rFonts w:ascii="Fira Sans SemiBold" w:hAnsi="Fira Sans SemiBold"/>
                                <w:color w:val="001D77"/>
                              </w:rPr>
                              <w:t xml:space="preserve"> 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02B328" id="_x0000_t202" coordsize="21600,21600" o:spt="202" path="m,l,21600r21600,l21600,xe">
                <v:stroke joinstyle="miter"/>
                <v:path gradientshapeok="t" o:connecttype="rect"/>
              </v:shapetype>
              <v:shape id="Pole tekstowe 2" o:spid="_x0000_s1026" type="#_x0000_t202" style="position:absolute;margin-left:410.5pt;margin-top:3.15pt;width:138.45pt;height:31.2pt;z-index:2517760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" filled="f" stroked="f">
                <v:textbox style="mso-fit-shape-to-text:t">
                  <w:txbxContent>
                    <w:p w14:paraId="06FC0064" w14:textId="47D272FA" w:rsidR="00837C4C" w:rsidRPr="00330E56" w:rsidRDefault="00B1738A">
                      <w:pPr>
                        <w:rPr>
                          <w:rFonts w:ascii="Fira Sans SemiBold" w:hAnsi="Fira Sans SemiBold"/>
                          <w:color w:val="001D77"/>
                        </w:rPr>
                      </w:pPr>
                      <w:r>
                        <w:rPr>
                          <w:rFonts w:ascii="Fira Sans SemiBold" w:hAnsi="Fira Sans SemiBold"/>
                          <w:color w:val="001D77"/>
                        </w:rPr>
                        <w:t>30</w:t>
                      </w:r>
                      <w:r w:rsidR="00837C4C" w:rsidRPr="00330E56">
                        <w:rPr>
                          <w:rFonts w:ascii="Fira Sans SemiBold" w:hAnsi="Fira Sans SemiBold"/>
                          <w:color w:val="001D77"/>
                        </w:rPr>
                        <w:t>.0</w:t>
                      </w:r>
                      <w:r w:rsidR="00837C4C">
                        <w:rPr>
                          <w:rFonts w:ascii="Fira Sans SemiBold" w:hAnsi="Fira Sans SemiBold"/>
                          <w:color w:val="001D77"/>
                        </w:rPr>
                        <w:t>6</w:t>
                      </w:r>
                      <w:r w:rsidR="00837C4C" w:rsidRPr="00330E56">
                        <w:rPr>
                          <w:rFonts w:ascii="Fira Sans SemiBold" w:hAnsi="Fira Sans SemiBold"/>
                          <w:color w:val="001D77"/>
                        </w:rPr>
                        <w:t>.20</w:t>
                      </w:r>
                      <w:r w:rsidR="00837C4C">
                        <w:rPr>
                          <w:rFonts w:ascii="Fira Sans SemiBold" w:hAnsi="Fira Sans SemiBold"/>
                          <w:color w:val="001D77"/>
                        </w:rPr>
                        <w:t>2</w:t>
                      </w:r>
                      <w:r>
                        <w:rPr>
                          <w:rFonts w:ascii="Fira Sans SemiBold" w:hAnsi="Fira Sans SemiBold"/>
                          <w:color w:val="001D77"/>
                        </w:rPr>
                        <w:t>6</w:t>
                      </w:r>
                      <w:r w:rsidR="00837C4C" w:rsidRPr="00330E56">
                        <w:rPr>
                          <w:rFonts w:ascii="Fira Sans SemiBold" w:hAnsi="Fira Sans SemiBold"/>
                          <w:color w:val="001D77"/>
                        </w:rPr>
                        <w:t xml:space="preserve"> r.</w:t>
                      </w:r>
                    </w:p>
                  </w:txbxContent>
                </v:textbox>
              </v:shape>
            </w:pict>
          </mc:Fallback>
        </mc:AlternateContent>
      </w:r>
      <w:r w:rsidR="00F93B25" w:rsidRPr="00964346">
        <w:rPr>
          <w:rFonts w:ascii="Fira Sans Extra Condensed SemiB" w:hAnsi="Fira Sans Extra Condensed SemiB"/>
          <w:b/>
          <w:sz w:val="40"/>
          <w:szCs w:val="40"/>
        </w:rPr>
        <w:t xml:space="preserve">Zasięg </w:t>
      </w:r>
      <w:r w:rsidR="00CE5CB5">
        <w:rPr>
          <w:rFonts w:ascii="Fira Sans Extra Condensed SemiB" w:hAnsi="Fira Sans Extra Condensed SemiB"/>
          <w:b/>
          <w:sz w:val="40"/>
          <w:szCs w:val="40"/>
        </w:rPr>
        <w:t xml:space="preserve">zagrożenia </w:t>
      </w:r>
      <w:r w:rsidR="00F93B25" w:rsidRPr="00964346">
        <w:rPr>
          <w:rFonts w:ascii="Fira Sans Extra Condensed SemiB" w:hAnsi="Fira Sans Extra Condensed SemiB"/>
          <w:b/>
          <w:sz w:val="40"/>
          <w:szCs w:val="40"/>
        </w:rPr>
        <w:t>ubós</w:t>
      </w:r>
      <w:r w:rsidR="00526DF2" w:rsidRPr="00964346">
        <w:rPr>
          <w:rFonts w:ascii="Fira Sans Extra Condensed SemiB" w:hAnsi="Fira Sans Extra Condensed SemiB"/>
          <w:b/>
          <w:sz w:val="40"/>
          <w:szCs w:val="40"/>
        </w:rPr>
        <w:t>t</w:t>
      </w:r>
      <w:r w:rsidR="006334B8" w:rsidRPr="00964346">
        <w:rPr>
          <w:rFonts w:ascii="Fira Sans Extra Condensed SemiB" w:hAnsi="Fira Sans Extra Condensed SemiB"/>
          <w:b/>
          <w:sz w:val="40"/>
          <w:szCs w:val="40"/>
        </w:rPr>
        <w:t>w</w:t>
      </w:r>
      <w:r w:rsidR="00CE5CB5">
        <w:rPr>
          <w:rFonts w:ascii="Fira Sans Extra Condensed SemiB" w:hAnsi="Fira Sans Extra Condensed SemiB"/>
          <w:b/>
          <w:sz w:val="40"/>
          <w:szCs w:val="40"/>
        </w:rPr>
        <w:t>em</w:t>
      </w:r>
      <w:r w:rsidR="006334B8" w:rsidRPr="00964346">
        <w:rPr>
          <w:rFonts w:ascii="Fira Sans Extra Condensed SemiB" w:hAnsi="Fira Sans Extra Condensed SemiB"/>
          <w:b/>
          <w:sz w:val="40"/>
          <w:szCs w:val="40"/>
        </w:rPr>
        <w:t xml:space="preserve"> ekonomiczn</w:t>
      </w:r>
      <w:r w:rsidR="00CE5CB5">
        <w:rPr>
          <w:rFonts w:ascii="Fira Sans Extra Condensed SemiB" w:hAnsi="Fira Sans Extra Condensed SemiB"/>
          <w:b/>
          <w:sz w:val="40"/>
          <w:szCs w:val="40"/>
        </w:rPr>
        <w:t>ym</w:t>
      </w:r>
      <w:r w:rsidR="006334B8" w:rsidRPr="00964346">
        <w:rPr>
          <w:rFonts w:ascii="Fira Sans Extra Condensed SemiB" w:hAnsi="Fira Sans Extra Condensed SemiB"/>
          <w:b/>
          <w:sz w:val="40"/>
          <w:szCs w:val="40"/>
        </w:rPr>
        <w:t xml:space="preserve"> w</w:t>
      </w:r>
      <w:r w:rsidR="006B074C">
        <w:rPr>
          <w:rFonts w:ascii="Fira Sans Extra Condensed SemiB" w:hAnsi="Fira Sans Extra Condensed SemiB"/>
          <w:b/>
          <w:sz w:val="40"/>
          <w:szCs w:val="40"/>
        </w:rPr>
        <w:t> </w:t>
      </w:r>
      <w:r w:rsidR="006334B8" w:rsidRPr="00964346">
        <w:rPr>
          <w:rFonts w:ascii="Fira Sans Extra Condensed SemiB" w:hAnsi="Fira Sans Extra Condensed SemiB"/>
          <w:b/>
          <w:sz w:val="40"/>
          <w:szCs w:val="40"/>
        </w:rPr>
        <w:t>Polsce w 202</w:t>
      </w:r>
      <w:r w:rsidR="001A22D4">
        <w:rPr>
          <w:rFonts w:ascii="Fira Sans Extra Condensed SemiB" w:hAnsi="Fira Sans Extra Condensed SemiB"/>
          <w:b/>
          <w:sz w:val="40"/>
          <w:szCs w:val="40"/>
        </w:rPr>
        <w:t>5</w:t>
      </w:r>
      <w:r w:rsidR="00BB13A9" w:rsidRPr="00964346">
        <w:rPr>
          <w:rFonts w:ascii="Fira Sans Extra Condensed SemiB" w:hAnsi="Fira Sans Extra Condensed SemiB"/>
          <w:b/>
          <w:sz w:val="40"/>
          <w:szCs w:val="40"/>
        </w:rPr>
        <w:t xml:space="preserve"> </w:t>
      </w:r>
      <w:r w:rsidR="00F93B25" w:rsidRPr="00964346">
        <w:rPr>
          <w:rFonts w:ascii="Fira Sans Extra Condensed SemiB" w:hAnsi="Fira Sans Extra Condensed SemiB"/>
          <w:b/>
          <w:sz w:val="40"/>
          <w:szCs w:val="40"/>
        </w:rPr>
        <w:t>r.</w:t>
      </w:r>
    </w:p>
    <w:p w14:paraId="26158AE9" w14:textId="77777777" w:rsidR="009F2047" w:rsidRPr="00964346" w:rsidRDefault="00E12297" w:rsidP="00964346">
      <w:pPr>
        <w:shd w:val="clear" w:color="auto" w:fill="FFFFFF" w:themeFill="background1"/>
        <w:spacing w:after="240" w:line="300" w:lineRule="exact"/>
      </w:pPr>
      <w:r w:rsidRPr="00964346">
        <w:t xml:space="preserve">(na podstawie wyników </w:t>
      </w:r>
      <w:r w:rsidR="00E924E5" w:rsidRPr="00964346">
        <w:t>B</w:t>
      </w:r>
      <w:r w:rsidR="00650F9C" w:rsidRPr="00964346">
        <w:t>adania budżetów gospodarstw domowych)</w:t>
      </w:r>
    </w:p>
    <w:p w14:paraId="237EDEC5" w14:textId="177E62AB" w:rsidR="00CE5CB5" w:rsidRPr="00CD4A48" w:rsidRDefault="00F24660" w:rsidP="00F947BB">
      <w:pPr>
        <w:shd w:val="clear" w:color="auto" w:fill="FFFFFF" w:themeFill="background1"/>
        <w:spacing w:before="0" w:after="0" w:line="259" w:lineRule="auto"/>
        <w:rPr>
          <w:rFonts w:eastAsia="Calibri" w:cs="Times New Roman"/>
          <w:b/>
          <w:szCs w:val="19"/>
        </w:rPr>
      </w:pPr>
      <w:r w:rsidRPr="00964346">
        <w:rPr>
          <w:rFonts w:eastAsia="Fira Sans Light" w:cs="Times New Roman"/>
          <w:noProof/>
          <w:color w:val="001D77"/>
          <w:lang w:eastAsia="pl-PL"/>
        </w:rPr>
        <mc:AlternateContent>
          <mc:Choice Requires="wps">
            <w:drawing>
              <wp:anchor distT="45720" distB="45720" distL="114300" distR="114300" simplePos="0" relativeHeight="251847680" behindDoc="0" locked="0" layoutInCell="1" allowOverlap="1" wp14:anchorId="2FC2FC53" wp14:editId="4952A624">
                <wp:simplePos x="0" y="0"/>
                <wp:positionH relativeFrom="margin">
                  <wp:posOffset>-30480</wp:posOffset>
                </wp:positionH>
                <wp:positionV relativeFrom="paragraph">
                  <wp:posOffset>54610</wp:posOffset>
                </wp:positionV>
                <wp:extent cx="1644015" cy="1478280"/>
                <wp:effectExtent l="0" t="0" r="6350" b="7620"/>
                <wp:wrapSquare wrapText="bothSides"/>
                <wp:docPr id="7" name="Pole tekstowe 2" descr="Opis wskaźnik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015" cy="1478280"/>
                        </a:xfrm>
                        <a:prstGeom prst="roundRect">
                          <a:avLst/>
                        </a:prstGeom>
                        <a:solidFill>
                          <a:srgbClr val="001D77"/>
                        </a:solidFill>
                        <a:ln w="9525">
                          <a:noFill/>
                          <a:miter lim="800000"/>
                          <a:headEnd/>
                          <a:tailEnd/>
                        </a:ln>
                      </wps:spPr>
                      <wps:txbx>
                        <w:txbxContent>
                          <w:p w14:paraId="1ADC034F" w14:textId="0E043131" w:rsidR="00837C4C" w:rsidRPr="00AC0682" w:rsidRDefault="00837C4C" w:rsidP="00FC1F48">
                            <w:pPr>
                              <w:spacing w:before="0" w:after="0" w:line="240" w:lineRule="auto"/>
                              <w:rPr>
                                <w:rFonts w:ascii="Fira Sans SemiBold" w:hAnsi="Fira Sans SemiBold"/>
                                <w:color w:val="FFFFFF"/>
                                <w:sz w:val="20"/>
                                <w:szCs w:val="20"/>
                              </w:rPr>
                            </w:pPr>
                            <w:r>
                              <w:rPr>
                                <w:rStyle w:val="IkonawskanikaZnak"/>
                                <w:sz w:val="76"/>
                                <w:szCs w:val="76"/>
                              </w:rPr>
                              <w:t xml:space="preserve">   </w:t>
                            </w:r>
                            <w:r>
                              <w:rPr>
                                <w:rFonts w:ascii="Fira Sans SemiBold" w:hAnsi="Fira Sans SemiBold"/>
                                <w:color w:val="FFFFFF"/>
                                <w:sz w:val="52"/>
                                <w:szCs w:val="52"/>
                              </w:rPr>
                              <w:t>5</w:t>
                            </w:r>
                            <w:r w:rsidRPr="00AC0682">
                              <w:rPr>
                                <w:rFonts w:ascii="Fira Sans SemiBold" w:hAnsi="Fira Sans SemiBold"/>
                                <w:color w:val="FFFFFF"/>
                                <w:sz w:val="52"/>
                                <w:szCs w:val="52"/>
                              </w:rPr>
                              <w:t>,</w:t>
                            </w:r>
                            <w:r w:rsidR="00126FFD">
                              <w:rPr>
                                <w:rFonts w:ascii="Fira Sans SemiBold" w:hAnsi="Fira Sans SemiBold"/>
                                <w:color w:val="FFFFFF"/>
                                <w:sz w:val="52"/>
                                <w:szCs w:val="52"/>
                              </w:rPr>
                              <w:t>3</w:t>
                            </w:r>
                            <w:r w:rsidRPr="00AC0682">
                              <w:rPr>
                                <w:rFonts w:ascii="Fira Sans SemiBold" w:hAnsi="Fira Sans SemiBold"/>
                                <w:color w:val="FFFFFF"/>
                                <w:sz w:val="52"/>
                                <w:szCs w:val="52"/>
                              </w:rPr>
                              <w:t>%</w:t>
                            </w:r>
                          </w:p>
                          <w:p w14:paraId="0577AA65" w14:textId="3483511E" w:rsidR="00837C4C" w:rsidRPr="007D605C" w:rsidRDefault="00837C4C" w:rsidP="00731532">
                            <w:pPr>
                              <w:pStyle w:val="tekstnaniebieskimtle"/>
                              <w:rPr>
                                <w:sz w:val="18"/>
                                <w:szCs w:val="20"/>
                              </w:rPr>
                            </w:pPr>
                            <w:r w:rsidRPr="00AC0682">
                              <w:rPr>
                                <w:szCs w:val="20"/>
                              </w:rPr>
                              <w:t xml:space="preserve">Zasięg </w:t>
                            </w:r>
                            <w:r>
                              <w:rPr>
                                <w:szCs w:val="20"/>
                              </w:rPr>
                              <w:t xml:space="preserve">zagrożenia </w:t>
                            </w:r>
                            <w:r w:rsidRPr="00AC0682">
                              <w:rPr>
                                <w:szCs w:val="20"/>
                              </w:rPr>
                              <w:t>ubóstw</w:t>
                            </w:r>
                            <w:r>
                              <w:rPr>
                                <w:szCs w:val="20"/>
                              </w:rPr>
                              <w:t>em</w:t>
                            </w:r>
                            <w:r w:rsidRPr="00AC0682">
                              <w:rPr>
                                <w:szCs w:val="20"/>
                              </w:rPr>
                              <w:t xml:space="preserve"> skrajn</w:t>
                            </w:r>
                            <w:r>
                              <w:rPr>
                                <w:szCs w:val="20"/>
                              </w:rPr>
                              <w:t>ym</w:t>
                            </w:r>
                            <w:r w:rsidRPr="00AC0682">
                              <w:rPr>
                                <w:szCs w:val="20"/>
                              </w:rPr>
                              <w:t xml:space="preserve"> w gospodarstwach</w:t>
                            </w:r>
                            <w:r>
                              <w:t xml:space="preserve"> domowych w 202</w:t>
                            </w:r>
                            <w:r w:rsidR="00300BC0">
                              <w:t>5</w:t>
                            </w:r>
                            <w:r w:rsidRPr="002D4EF9">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2FC53" id="_x0000_s1027" alt="Opis wskaźnika" style="position:absolute;margin-left:-2.4pt;margin-top:4.3pt;width:129.45pt;height:116.4pt;z-index:251847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" fillcolor="#001d77" stroked="f">
                <v:stroke joinstyle="miter"/>
                <v:textbox>
                  <w:txbxContent>
                    <w:p w14:paraId="1ADC034F" w14:textId="0E043131" w:rsidR="00837C4C" w:rsidRPr="00AC0682" w:rsidRDefault="00837C4C" w:rsidP="00FC1F48">
                      <w:pPr>
                        <w:spacing w:before="0" w:after="0" w:line="240" w:lineRule="auto"/>
                        <w:rPr>
                          <w:rFonts w:ascii="Fira Sans SemiBold" w:hAnsi="Fira Sans SemiBold"/>
                          <w:color w:val="FFFFFF"/>
                          <w:sz w:val="20"/>
                          <w:szCs w:val="20"/>
                        </w:rPr>
                      </w:pPr>
                      <w:r>
                        <w:rPr>
                          <w:rStyle w:val="IkonawskanikaZnak"/>
                          <w:sz w:val="76"/>
                          <w:szCs w:val="76"/>
                        </w:rPr>
                        <w:t xml:space="preserve">   </w:t>
                      </w:r>
                      <w:r>
                        <w:rPr>
                          <w:rFonts w:ascii="Fira Sans SemiBold" w:hAnsi="Fira Sans SemiBold"/>
                          <w:color w:val="FFFFFF"/>
                          <w:sz w:val="52"/>
                          <w:szCs w:val="52"/>
                        </w:rPr>
                        <w:t>5</w:t>
                      </w:r>
                      <w:r w:rsidRPr="00AC0682">
                        <w:rPr>
                          <w:rFonts w:ascii="Fira Sans SemiBold" w:hAnsi="Fira Sans SemiBold"/>
                          <w:color w:val="FFFFFF"/>
                          <w:sz w:val="52"/>
                          <w:szCs w:val="52"/>
                        </w:rPr>
                        <w:t>,</w:t>
                      </w:r>
                      <w:r w:rsidR="00126FFD">
                        <w:rPr>
                          <w:rFonts w:ascii="Fira Sans SemiBold" w:hAnsi="Fira Sans SemiBold"/>
                          <w:color w:val="FFFFFF"/>
                          <w:sz w:val="52"/>
                          <w:szCs w:val="52"/>
                        </w:rPr>
                        <w:t>3</w:t>
                      </w:r>
                      <w:r w:rsidRPr="00AC0682">
                        <w:rPr>
                          <w:rFonts w:ascii="Fira Sans SemiBold" w:hAnsi="Fira Sans SemiBold"/>
                          <w:color w:val="FFFFFF"/>
                          <w:sz w:val="52"/>
                          <w:szCs w:val="52"/>
                        </w:rPr>
                        <w:t>%</w:t>
                      </w:r>
                    </w:p>
                    <w:p w14:paraId="0577AA65" w14:textId="3483511E" w:rsidR="00837C4C" w:rsidRPr="007D605C" w:rsidRDefault="00837C4C" w:rsidP="00731532">
                      <w:pPr>
                        <w:pStyle w:val="tekstnaniebieskimtle"/>
                        <w:rPr>
                          <w:sz w:val="18"/>
                          <w:szCs w:val="20"/>
                        </w:rPr>
                      </w:pPr>
                      <w:r w:rsidRPr="00AC0682">
                        <w:rPr>
                          <w:szCs w:val="20"/>
                        </w:rPr>
                        <w:t xml:space="preserve">Zasięg </w:t>
                      </w:r>
                      <w:r>
                        <w:rPr>
                          <w:szCs w:val="20"/>
                        </w:rPr>
                        <w:t xml:space="preserve">zagrożenia </w:t>
                      </w:r>
                      <w:r w:rsidRPr="00AC0682">
                        <w:rPr>
                          <w:szCs w:val="20"/>
                        </w:rPr>
                        <w:t>ubóstw</w:t>
                      </w:r>
                      <w:r>
                        <w:rPr>
                          <w:szCs w:val="20"/>
                        </w:rPr>
                        <w:t>em</w:t>
                      </w:r>
                      <w:r w:rsidRPr="00AC0682">
                        <w:rPr>
                          <w:szCs w:val="20"/>
                        </w:rPr>
                        <w:t xml:space="preserve"> skrajn</w:t>
                      </w:r>
                      <w:r>
                        <w:rPr>
                          <w:szCs w:val="20"/>
                        </w:rPr>
                        <w:t>ym</w:t>
                      </w:r>
                      <w:r w:rsidRPr="00AC0682">
                        <w:rPr>
                          <w:szCs w:val="20"/>
                        </w:rPr>
                        <w:t xml:space="preserve"> w gospodarstwach</w:t>
                      </w:r>
                      <w:r>
                        <w:t xml:space="preserve"> domowych w 202</w:t>
                      </w:r>
                      <w:r w:rsidR="00300BC0">
                        <w:t>5</w:t>
                      </w:r>
                      <w:r w:rsidRPr="002D4EF9">
                        <w:t xml:space="preserve"> r.</w:t>
                      </w:r>
                    </w:p>
                  </w:txbxContent>
                </v:textbox>
                <w10:wrap type="square" anchorx="margin"/>
              </v:roundrect>
            </w:pict>
          </mc:Fallback>
        </mc:AlternateContent>
      </w:r>
      <w:r w:rsidR="00CD4A48">
        <w:rPr>
          <w:rFonts w:eastAsia="Fira Sans Light" w:cs="Times New Roman"/>
          <w:b/>
          <w:noProof/>
          <w:lang w:eastAsia="pl-PL"/>
        </w:rPr>
        <w:t xml:space="preserve">W </w:t>
      </w:r>
      <w:r w:rsidR="00CD4A48" w:rsidRPr="00CD4A48">
        <w:rPr>
          <w:rFonts w:eastAsia="Fira Sans Light" w:cs="Times New Roman"/>
          <w:b/>
          <w:noProof/>
          <w:lang w:eastAsia="pl-PL"/>
        </w:rPr>
        <w:t>2025 r. oszacowany zasięg zagrożenia ubóstwem skrajnym wyniósł 5,3% osób w gospodarstwach domowych i był zbliżony do wartości oszacowanej dla 2024 r. (5,2%). Oszacowany zasięg zagrożenia ubóstwem relatywnym wyniósł 13,5% wobec 13,3% w 2024 r.</w:t>
      </w:r>
      <w:r w:rsidR="006A2809" w:rsidRPr="00CD4A48">
        <w:rPr>
          <w:rFonts w:eastAsia="Calibri" w:cs="Times New Roman"/>
          <w:b/>
          <w:szCs w:val="19"/>
        </w:rPr>
        <w:t xml:space="preserve"> </w:t>
      </w:r>
    </w:p>
    <w:p w14:paraId="74DC467B" w14:textId="62EC741C" w:rsidR="007911AF" w:rsidRDefault="007911AF" w:rsidP="00F947BB">
      <w:pPr>
        <w:shd w:val="clear" w:color="auto" w:fill="FFFFFF" w:themeFill="background1"/>
        <w:spacing w:before="240" w:line="240" w:lineRule="auto"/>
        <w:rPr>
          <w:rFonts w:eastAsia="Calibri" w:cs="Times New Roman"/>
          <w:b/>
          <w:szCs w:val="19"/>
        </w:rPr>
      </w:pPr>
      <w:r w:rsidRPr="007911AF">
        <w:rPr>
          <w:rFonts w:eastAsia="Calibri" w:cs="Times New Roman"/>
          <w:b/>
          <w:szCs w:val="19"/>
        </w:rPr>
        <w:t>W 2025 r. zwaloryzowano progi dochodowe uprawniające do ubiegania się o świadczenia z pomocy społecznej</w:t>
      </w:r>
      <w:r w:rsidR="00A43907">
        <w:rPr>
          <w:rStyle w:val="Odwoanieprzypisudolnego"/>
          <w:rFonts w:eastAsia="Calibri" w:cs="Times New Roman"/>
          <w:b/>
          <w:szCs w:val="19"/>
        </w:rPr>
        <w:footnoteReference w:id="1"/>
      </w:r>
      <w:r w:rsidRPr="007911AF">
        <w:rPr>
          <w:rFonts w:eastAsia="Calibri" w:cs="Times New Roman"/>
          <w:b/>
          <w:szCs w:val="19"/>
        </w:rPr>
        <w:t xml:space="preserve">. </w:t>
      </w:r>
      <w:r w:rsidR="004F0AE0" w:rsidRPr="004F0AE0">
        <w:rPr>
          <w:rFonts w:eastAsia="Calibri" w:cs="Times New Roman"/>
          <w:b/>
          <w:szCs w:val="19"/>
        </w:rPr>
        <w:t>W</w:t>
      </w:r>
      <w:r w:rsidR="00787BE0">
        <w:rPr>
          <w:rFonts w:eastAsia="Calibri" w:cs="Times New Roman"/>
          <w:b/>
          <w:szCs w:val="19"/>
        </w:rPr>
        <w:t> konsekwencji tych zmian w</w:t>
      </w:r>
      <w:r w:rsidR="004F0AE0" w:rsidRPr="004F0AE0">
        <w:rPr>
          <w:rFonts w:eastAsia="Calibri" w:cs="Times New Roman"/>
          <w:b/>
          <w:szCs w:val="19"/>
        </w:rPr>
        <w:t>yraźnie wyższa była oszacowana wartość wskaźnika zagrożenia ubóstwem ustawowym, opartego na tych progach</w:t>
      </w:r>
      <w:r>
        <w:rPr>
          <w:rFonts w:eastAsia="Calibri" w:cs="Times New Roman"/>
          <w:b/>
          <w:szCs w:val="19"/>
        </w:rPr>
        <w:t xml:space="preserve"> (8,1% wobec 2,6% w 2024 r.)</w:t>
      </w:r>
      <w:r w:rsidRPr="007911AF">
        <w:rPr>
          <w:rFonts w:eastAsia="Calibri" w:cs="Times New Roman"/>
          <w:b/>
          <w:szCs w:val="19"/>
        </w:rPr>
        <w:t xml:space="preserve">. </w:t>
      </w:r>
      <w:r>
        <w:rPr>
          <w:rFonts w:eastAsia="Calibri" w:cs="Times New Roman"/>
          <w:b/>
          <w:szCs w:val="19"/>
        </w:rPr>
        <w:t>W</w:t>
      </w:r>
      <w:r w:rsidRPr="007911AF">
        <w:rPr>
          <w:rFonts w:eastAsia="Calibri" w:cs="Times New Roman"/>
          <w:b/>
          <w:szCs w:val="19"/>
        </w:rPr>
        <w:t xml:space="preserve">skaźnik ten należy interpretować jako miarę potencjalnego zakresu populacji </w:t>
      </w:r>
      <w:r>
        <w:rPr>
          <w:rFonts w:eastAsia="Calibri" w:cs="Times New Roman"/>
          <w:b/>
          <w:szCs w:val="19"/>
        </w:rPr>
        <w:t>objętej</w:t>
      </w:r>
      <w:r w:rsidRPr="007911AF">
        <w:rPr>
          <w:rFonts w:eastAsia="Calibri" w:cs="Times New Roman"/>
          <w:b/>
          <w:szCs w:val="19"/>
        </w:rPr>
        <w:t xml:space="preserve"> </w:t>
      </w:r>
      <w:r w:rsidR="00603531">
        <w:rPr>
          <w:rFonts w:eastAsia="Calibri" w:cs="Times New Roman"/>
          <w:b/>
          <w:szCs w:val="19"/>
        </w:rPr>
        <w:t xml:space="preserve">instrumentami </w:t>
      </w:r>
      <w:r w:rsidRPr="007911AF">
        <w:rPr>
          <w:rFonts w:eastAsia="Calibri" w:cs="Times New Roman"/>
          <w:b/>
          <w:szCs w:val="19"/>
        </w:rPr>
        <w:t>pomoc</w:t>
      </w:r>
      <w:r w:rsidR="00603531">
        <w:rPr>
          <w:rFonts w:eastAsia="Calibri" w:cs="Times New Roman"/>
          <w:b/>
          <w:szCs w:val="19"/>
        </w:rPr>
        <w:t>y</w:t>
      </w:r>
      <w:r w:rsidRPr="007911AF">
        <w:rPr>
          <w:rFonts w:eastAsia="Calibri" w:cs="Times New Roman"/>
          <w:b/>
          <w:szCs w:val="19"/>
        </w:rPr>
        <w:t xml:space="preserve"> społeczn</w:t>
      </w:r>
      <w:r w:rsidR="00603531">
        <w:rPr>
          <w:rFonts w:eastAsia="Calibri" w:cs="Times New Roman"/>
          <w:b/>
          <w:szCs w:val="19"/>
        </w:rPr>
        <w:t>ej</w:t>
      </w:r>
      <w:r w:rsidRPr="007911AF">
        <w:rPr>
          <w:rFonts w:eastAsia="Calibri" w:cs="Times New Roman"/>
          <w:b/>
          <w:szCs w:val="19"/>
        </w:rPr>
        <w:t>, a nie jako diagnozę skali ubóstwa ekonomicznego.</w:t>
      </w:r>
    </w:p>
    <w:p w14:paraId="68D0757E" w14:textId="088BC39E" w:rsidR="003279D3" w:rsidRPr="00964346" w:rsidRDefault="00506CD6" w:rsidP="00964346">
      <w:pPr>
        <w:shd w:val="clear" w:color="auto" w:fill="FFFFFF" w:themeFill="background1"/>
        <w:spacing w:before="360" w:line="240" w:lineRule="auto"/>
        <w:rPr>
          <w:rFonts w:ascii="Fira Sans SemiBold" w:eastAsia="Times New Roman" w:hAnsi="Fira Sans SemiBold" w:cs="Times New Roman"/>
          <w:b/>
          <w:bCs/>
          <w:color w:val="001D77"/>
          <w:szCs w:val="24"/>
          <w:shd w:val="clear" w:color="auto" w:fill="FFFFFF"/>
          <w:lang w:eastAsia="pl-PL"/>
        </w:rPr>
      </w:pPr>
      <w:bookmarkStart w:id="0" w:name="_Hlk229484883"/>
      <w:r w:rsidRPr="00964346">
        <w:rPr>
          <w:rFonts w:ascii="Fira Sans SemiBold" w:eastAsia="Times New Roman" w:hAnsi="Fira Sans SemiBold" w:cs="Times New Roman"/>
          <w:b/>
          <w:bCs/>
          <w:color w:val="001D77"/>
          <w:szCs w:val="24"/>
          <w:shd w:val="clear" w:color="auto" w:fill="FFFFFF"/>
          <w:lang w:eastAsia="pl-PL"/>
        </w:rPr>
        <w:t xml:space="preserve">Granice i </w:t>
      </w:r>
      <w:r w:rsidR="008E0EE0" w:rsidRPr="00964346">
        <w:rPr>
          <w:rFonts w:ascii="Fira Sans SemiBold" w:eastAsia="Times New Roman" w:hAnsi="Fira Sans SemiBold" w:cs="Times New Roman"/>
          <w:b/>
          <w:bCs/>
          <w:color w:val="001D77"/>
          <w:szCs w:val="24"/>
          <w:shd w:val="clear" w:color="auto" w:fill="FFFFFF"/>
          <w:lang w:eastAsia="pl-PL"/>
        </w:rPr>
        <w:t>z</w:t>
      </w:r>
      <w:r w:rsidR="00693CA3" w:rsidRPr="00964346">
        <w:rPr>
          <w:rFonts w:ascii="Fira Sans SemiBold" w:eastAsia="Times New Roman" w:hAnsi="Fira Sans SemiBold" w:cs="Times New Roman"/>
          <w:b/>
          <w:bCs/>
          <w:color w:val="001D77"/>
          <w:szCs w:val="24"/>
          <w:shd w:val="clear" w:color="auto" w:fill="FFFFFF"/>
          <w:lang w:eastAsia="pl-PL"/>
        </w:rPr>
        <w:t>as</w:t>
      </w:r>
      <w:r w:rsidR="00E651E3" w:rsidRPr="00964346">
        <w:rPr>
          <w:rFonts w:ascii="Fira Sans SemiBold" w:eastAsia="Times New Roman" w:hAnsi="Fira Sans SemiBold" w:cs="Times New Roman"/>
          <w:b/>
          <w:bCs/>
          <w:color w:val="001D77"/>
          <w:szCs w:val="24"/>
          <w:shd w:val="clear" w:color="auto" w:fill="FFFFFF"/>
          <w:lang w:eastAsia="pl-PL"/>
        </w:rPr>
        <w:t xml:space="preserve">ięg </w:t>
      </w:r>
      <w:r w:rsidR="000B1AD5" w:rsidRPr="00964346">
        <w:rPr>
          <w:rFonts w:ascii="Fira Sans SemiBold" w:eastAsia="Times New Roman" w:hAnsi="Fira Sans SemiBold" w:cs="Times New Roman"/>
          <w:b/>
          <w:bCs/>
          <w:color w:val="001D77"/>
          <w:szCs w:val="24"/>
          <w:shd w:val="clear" w:color="auto" w:fill="FFFFFF"/>
          <w:lang w:eastAsia="pl-PL"/>
        </w:rPr>
        <w:t xml:space="preserve">zagrożenia </w:t>
      </w:r>
      <w:r w:rsidR="00E651E3" w:rsidRPr="00964346">
        <w:rPr>
          <w:rFonts w:ascii="Fira Sans SemiBold" w:eastAsia="Times New Roman" w:hAnsi="Fira Sans SemiBold" w:cs="Times New Roman"/>
          <w:b/>
          <w:bCs/>
          <w:color w:val="001D77"/>
          <w:szCs w:val="24"/>
          <w:shd w:val="clear" w:color="auto" w:fill="FFFFFF"/>
          <w:lang w:eastAsia="pl-PL"/>
        </w:rPr>
        <w:t>ubóstw</w:t>
      </w:r>
      <w:r w:rsidR="000B1AD5" w:rsidRPr="00964346">
        <w:rPr>
          <w:rFonts w:ascii="Fira Sans SemiBold" w:eastAsia="Times New Roman" w:hAnsi="Fira Sans SemiBold" w:cs="Times New Roman"/>
          <w:b/>
          <w:bCs/>
          <w:color w:val="001D77"/>
          <w:szCs w:val="24"/>
          <w:shd w:val="clear" w:color="auto" w:fill="FFFFFF"/>
          <w:lang w:eastAsia="pl-PL"/>
        </w:rPr>
        <w:t>em</w:t>
      </w:r>
      <w:r w:rsidR="00E651E3" w:rsidRPr="00964346">
        <w:rPr>
          <w:rFonts w:ascii="Fira Sans SemiBold" w:eastAsia="Times New Roman" w:hAnsi="Fira Sans SemiBold" w:cs="Times New Roman"/>
          <w:b/>
          <w:bCs/>
          <w:color w:val="001D77"/>
          <w:szCs w:val="24"/>
          <w:shd w:val="clear" w:color="auto" w:fill="FFFFFF"/>
          <w:lang w:eastAsia="pl-PL"/>
        </w:rPr>
        <w:t xml:space="preserve"> ekonomiczn</w:t>
      </w:r>
      <w:r w:rsidR="000B1AD5" w:rsidRPr="00964346">
        <w:rPr>
          <w:rFonts w:ascii="Fira Sans SemiBold" w:eastAsia="Times New Roman" w:hAnsi="Fira Sans SemiBold" w:cs="Times New Roman"/>
          <w:b/>
          <w:bCs/>
          <w:color w:val="001D77"/>
          <w:szCs w:val="24"/>
          <w:shd w:val="clear" w:color="auto" w:fill="FFFFFF"/>
          <w:lang w:eastAsia="pl-PL"/>
        </w:rPr>
        <w:t>ym</w:t>
      </w:r>
      <w:r w:rsidR="001824E1" w:rsidRPr="00964346">
        <w:rPr>
          <w:rStyle w:val="Odwoanieprzypisudolnego"/>
          <w:rFonts w:eastAsia="Times New Roman" w:cs="Times New Roman"/>
          <w:bCs/>
          <w:szCs w:val="24"/>
          <w:shd w:val="clear" w:color="auto" w:fill="FFFFFF"/>
          <w:lang w:eastAsia="pl-PL"/>
        </w:rPr>
        <w:footnoteReference w:id="2"/>
      </w:r>
    </w:p>
    <w:bookmarkEnd w:id="0"/>
    <w:p w14:paraId="20385724" w14:textId="70716346" w:rsidR="005B2D3E" w:rsidRPr="00964346" w:rsidRDefault="00F6600C" w:rsidP="00F947BB">
      <w:pPr>
        <w:shd w:val="clear" w:color="auto" w:fill="FFFFFF" w:themeFill="background1"/>
        <w:spacing w:before="240" w:line="240" w:lineRule="auto"/>
        <w:rPr>
          <w:rFonts w:eastAsia="Times New Roman" w:cs="Times New Roman"/>
          <w:bCs/>
          <w:szCs w:val="24"/>
          <w:shd w:val="clear" w:color="auto" w:fill="FFFFFF"/>
          <w:lang w:eastAsia="pl-PL"/>
        </w:rPr>
      </w:pPr>
      <w:r w:rsidRPr="00964346">
        <w:rPr>
          <w:noProof/>
          <w:color w:val="001D77"/>
          <w:szCs w:val="19"/>
          <w:lang w:eastAsia="pl-PL"/>
        </w:rPr>
        <mc:AlternateContent>
          <mc:Choice Requires="wps">
            <w:drawing>
              <wp:anchor distT="45720" distB="45720" distL="114300" distR="114300" simplePos="0" relativeHeight="251872256" behindDoc="0" locked="0" layoutInCell="1" allowOverlap="1" wp14:anchorId="00E3AB51" wp14:editId="392FEEC9">
                <wp:simplePos x="0" y="0"/>
                <wp:positionH relativeFrom="rightMargin">
                  <wp:posOffset>192405</wp:posOffset>
                </wp:positionH>
                <wp:positionV relativeFrom="paragraph">
                  <wp:posOffset>128270</wp:posOffset>
                </wp:positionV>
                <wp:extent cx="1753086" cy="1310640"/>
                <wp:effectExtent l="0" t="0" r="0" b="0"/>
                <wp:wrapNone/>
                <wp:docPr id="1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3086" cy="1310640"/>
                        </a:xfrm>
                        <a:prstGeom prst="rect">
                          <a:avLst/>
                        </a:prstGeom>
                        <a:noFill/>
                        <a:ln w="9525">
                          <a:noFill/>
                          <a:miter lim="800000"/>
                          <a:headEnd/>
                          <a:tailEnd/>
                        </a:ln>
                      </wps:spPr>
                      <wps:txbx>
                        <w:txbxContent>
                          <w:p w14:paraId="102832C3" w14:textId="1EAA87E0" w:rsidR="00837C4C" w:rsidRPr="00E12297" w:rsidRDefault="007911AF" w:rsidP="00F6600C">
                            <w:pPr>
                              <w:suppressAutoHyphens/>
                              <w:rPr>
                                <w:color w:val="001D77"/>
                                <w:sz w:val="18"/>
                                <w:szCs w:val="18"/>
                              </w:rPr>
                            </w:pPr>
                            <w:r w:rsidRPr="007911AF">
                              <w:rPr>
                                <w:color w:val="001D77"/>
                                <w:sz w:val="18"/>
                                <w:szCs w:val="18"/>
                              </w:rPr>
                              <w:t>W 2025 r., w związku z waloryzacją progów uprawniających do ubiegania się o świadczenia z pomocy społecznej, wyraźnie wzrosła oszacowana wartość wskaźnika zagrożenia ubóstwem ustawowym.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E3AB51" id="_x0000_s1028" type="#_x0000_t202" style="position:absolute;margin-left:15.15pt;margin-top:10.1pt;width:138.05pt;height:103.2pt;z-index:251872256;visibility:visible;mso-wrap-style:square;mso-width-percent:0;mso-height-percent:200;mso-wrap-distance-left:9pt;mso-wrap-distance-top:3.6pt;mso-wrap-distance-right:9pt;mso-wrap-distance-bottom:3.6pt;mso-position-horizontal:absolute;mso-position-horizontal-relative:righ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" filled="f" stroked="f">
                <v:textbox style="mso-fit-shape-to-text:t">
                  <w:txbxContent>
                    <w:p w14:paraId="102832C3" w14:textId="1EAA87E0" w:rsidR="00837C4C" w:rsidRPr="00E12297" w:rsidRDefault="007911AF" w:rsidP="00F6600C">
                      <w:pPr>
                        <w:suppressAutoHyphens/>
                        <w:rPr>
                          <w:color w:val="001D77"/>
                          <w:sz w:val="18"/>
                          <w:szCs w:val="18"/>
                        </w:rPr>
                      </w:pPr>
                      <w:r w:rsidRPr="007911AF">
                        <w:rPr>
                          <w:color w:val="001D77"/>
                          <w:sz w:val="18"/>
                          <w:szCs w:val="18"/>
                        </w:rPr>
                        <w:t>W 2025 r., w związku z waloryzacją progów uprawniających do ubiegania się o świadczenia z pomocy społecznej, wyraźnie wzrosła oszacowana wartość wskaźnika zagrożenia ubóstwem ustawowym.</w:t>
                      </w:r>
                    </w:p>
                  </w:txbxContent>
                </v:textbox>
                <w10:wrap anchorx="margin"/>
              </v:shape>
            </w:pict>
          </mc:Fallback>
        </mc:AlternateContent>
      </w:r>
      <w:r w:rsidR="00300BC0" w:rsidRPr="00300BC0">
        <w:rPr>
          <w:rFonts w:eastAsia="Times New Roman" w:cs="Times New Roman"/>
          <w:bCs/>
          <w:szCs w:val="24"/>
          <w:shd w:val="clear" w:color="auto" w:fill="FFFFFF"/>
          <w:lang w:eastAsia="pl-PL"/>
        </w:rPr>
        <w:t xml:space="preserve">GUS corocznie oblicza i publikuje wskaźniki zasięgu zagrożenia ubóstwem ekonomicznym </w:t>
      </w:r>
      <w:r w:rsidR="00054874">
        <w:rPr>
          <w:rFonts w:eastAsia="Times New Roman" w:cs="Times New Roman"/>
          <w:bCs/>
          <w:szCs w:val="24"/>
          <w:shd w:val="clear" w:color="auto" w:fill="FFFFFF"/>
          <w:lang w:eastAsia="pl-PL"/>
        </w:rPr>
        <w:br/>
      </w:r>
      <w:r w:rsidR="00300BC0" w:rsidRPr="00300BC0">
        <w:rPr>
          <w:rFonts w:eastAsia="Times New Roman" w:cs="Times New Roman"/>
          <w:bCs/>
          <w:szCs w:val="24"/>
          <w:shd w:val="clear" w:color="auto" w:fill="FFFFFF"/>
          <w:lang w:eastAsia="pl-PL"/>
        </w:rPr>
        <w:t xml:space="preserve">w Polsce, korzystając z wyników Badania budżetów gospodarstw domowych. Są to wskaźniki średnioroczne, określające odsetek osób w gospodarstwach domowych, których wydatki były niższe od przyjętej granicy </w:t>
      </w:r>
      <w:r w:rsidR="00054874">
        <w:rPr>
          <w:rFonts w:eastAsia="Times New Roman" w:cs="Times New Roman"/>
          <w:bCs/>
          <w:szCs w:val="24"/>
          <w:shd w:val="clear" w:color="auto" w:fill="FFFFFF"/>
          <w:lang w:eastAsia="pl-PL"/>
        </w:rPr>
        <w:t xml:space="preserve">zagrożenia </w:t>
      </w:r>
      <w:r w:rsidR="00300BC0" w:rsidRPr="00300BC0">
        <w:rPr>
          <w:rFonts w:eastAsia="Times New Roman" w:cs="Times New Roman"/>
          <w:bCs/>
          <w:szCs w:val="24"/>
          <w:shd w:val="clear" w:color="auto" w:fill="FFFFFF"/>
          <w:lang w:eastAsia="pl-PL"/>
        </w:rPr>
        <w:t>ubóstw</w:t>
      </w:r>
      <w:r w:rsidR="00054874">
        <w:rPr>
          <w:rFonts w:eastAsia="Times New Roman" w:cs="Times New Roman"/>
          <w:bCs/>
          <w:szCs w:val="24"/>
          <w:shd w:val="clear" w:color="auto" w:fill="FFFFFF"/>
          <w:lang w:eastAsia="pl-PL"/>
        </w:rPr>
        <w:t>em</w:t>
      </w:r>
      <w:r w:rsidR="00300BC0" w:rsidRPr="00300BC0">
        <w:rPr>
          <w:rFonts w:eastAsia="Times New Roman" w:cs="Times New Roman"/>
          <w:bCs/>
          <w:szCs w:val="24"/>
          <w:shd w:val="clear" w:color="auto" w:fill="FFFFFF"/>
          <w:lang w:eastAsia="pl-PL"/>
        </w:rPr>
        <w:t xml:space="preserve">. W opracowaniu uwzględnia się trzy granice </w:t>
      </w:r>
      <w:r w:rsidR="00054874">
        <w:rPr>
          <w:rFonts w:eastAsia="Times New Roman" w:cs="Times New Roman"/>
          <w:bCs/>
          <w:szCs w:val="24"/>
          <w:shd w:val="clear" w:color="auto" w:fill="FFFFFF"/>
          <w:lang w:eastAsia="pl-PL"/>
        </w:rPr>
        <w:t xml:space="preserve">zagrożenia </w:t>
      </w:r>
      <w:r w:rsidR="00300BC0" w:rsidRPr="00300BC0">
        <w:rPr>
          <w:rFonts w:eastAsia="Times New Roman" w:cs="Times New Roman"/>
          <w:bCs/>
          <w:szCs w:val="24"/>
          <w:shd w:val="clear" w:color="auto" w:fill="FFFFFF"/>
          <w:lang w:eastAsia="pl-PL"/>
        </w:rPr>
        <w:t>ubóstw</w:t>
      </w:r>
      <w:r w:rsidR="00054874">
        <w:rPr>
          <w:rFonts w:eastAsia="Times New Roman" w:cs="Times New Roman"/>
          <w:bCs/>
          <w:szCs w:val="24"/>
          <w:shd w:val="clear" w:color="auto" w:fill="FFFFFF"/>
          <w:lang w:eastAsia="pl-PL"/>
        </w:rPr>
        <w:t>em</w:t>
      </w:r>
      <w:r w:rsidR="00300BC0" w:rsidRPr="00300BC0">
        <w:rPr>
          <w:rFonts w:eastAsia="Times New Roman" w:cs="Times New Roman"/>
          <w:bCs/>
          <w:szCs w:val="24"/>
          <w:shd w:val="clear" w:color="auto" w:fill="FFFFFF"/>
          <w:lang w:eastAsia="pl-PL"/>
        </w:rPr>
        <w:t>: skrajn</w:t>
      </w:r>
      <w:r w:rsidR="00054874">
        <w:rPr>
          <w:rFonts w:eastAsia="Times New Roman" w:cs="Times New Roman"/>
          <w:bCs/>
          <w:szCs w:val="24"/>
          <w:shd w:val="clear" w:color="auto" w:fill="FFFFFF"/>
          <w:lang w:eastAsia="pl-PL"/>
        </w:rPr>
        <w:t>ym</w:t>
      </w:r>
      <w:r w:rsidR="00300BC0" w:rsidRPr="00300BC0">
        <w:rPr>
          <w:rFonts w:eastAsia="Times New Roman" w:cs="Times New Roman"/>
          <w:bCs/>
          <w:szCs w:val="24"/>
          <w:shd w:val="clear" w:color="auto" w:fill="FFFFFF"/>
          <w:lang w:eastAsia="pl-PL"/>
        </w:rPr>
        <w:t>, relatywn</w:t>
      </w:r>
      <w:r w:rsidR="00054874">
        <w:rPr>
          <w:rFonts w:eastAsia="Times New Roman" w:cs="Times New Roman"/>
          <w:bCs/>
          <w:szCs w:val="24"/>
          <w:shd w:val="clear" w:color="auto" w:fill="FFFFFF"/>
          <w:lang w:eastAsia="pl-PL"/>
        </w:rPr>
        <w:t>ym</w:t>
      </w:r>
      <w:r w:rsidR="00300BC0" w:rsidRPr="00300BC0">
        <w:rPr>
          <w:rFonts w:eastAsia="Times New Roman" w:cs="Times New Roman"/>
          <w:bCs/>
          <w:szCs w:val="24"/>
          <w:shd w:val="clear" w:color="auto" w:fill="FFFFFF"/>
          <w:lang w:eastAsia="pl-PL"/>
        </w:rPr>
        <w:t xml:space="preserve"> oraz ustawo</w:t>
      </w:r>
      <w:r w:rsidR="00054874">
        <w:rPr>
          <w:rFonts w:eastAsia="Times New Roman" w:cs="Times New Roman"/>
          <w:bCs/>
          <w:szCs w:val="24"/>
          <w:shd w:val="clear" w:color="auto" w:fill="FFFFFF"/>
          <w:lang w:eastAsia="pl-PL"/>
        </w:rPr>
        <w:t>wym</w:t>
      </w:r>
      <w:r w:rsidR="00300BC0" w:rsidRPr="00300BC0">
        <w:rPr>
          <w:rFonts w:eastAsia="Times New Roman" w:cs="Times New Roman"/>
          <w:bCs/>
          <w:szCs w:val="24"/>
          <w:shd w:val="clear" w:color="auto" w:fill="FFFFFF"/>
          <w:lang w:eastAsia="pl-PL"/>
        </w:rPr>
        <w:t>.</w:t>
      </w:r>
    </w:p>
    <w:p w14:paraId="2C73B6ED" w14:textId="0CDC4782" w:rsidR="005B2D3E" w:rsidRPr="00440921" w:rsidRDefault="005B2D3E" w:rsidP="00F947BB">
      <w:pPr>
        <w:pStyle w:val="Akapitzlist"/>
        <w:numPr>
          <w:ilvl w:val="0"/>
          <w:numId w:val="9"/>
        </w:numPr>
        <w:shd w:val="clear" w:color="auto" w:fill="FFFFFF" w:themeFill="background1"/>
        <w:spacing w:before="0" w:after="60" w:line="240" w:lineRule="auto"/>
        <w:ind w:left="357" w:hanging="357"/>
        <w:contextualSpacing w:val="0"/>
        <w:rPr>
          <w:rFonts w:eastAsia="Times New Roman" w:cs="Times New Roman"/>
          <w:bCs/>
          <w:szCs w:val="24"/>
          <w:shd w:val="clear" w:color="auto" w:fill="FFFFFF"/>
          <w:lang w:eastAsia="pl-PL"/>
        </w:rPr>
      </w:pPr>
      <w:r w:rsidRPr="00440921">
        <w:rPr>
          <w:rFonts w:eastAsia="Times New Roman" w:cs="Times New Roman"/>
          <w:bCs/>
          <w:szCs w:val="24"/>
          <w:shd w:val="clear" w:color="auto" w:fill="FFFFFF"/>
          <w:lang w:eastAsia="pl-PL"/>
        </w:rPr>
        <w:t xml:space="preserve">Podstawę wyznaczania granicy </w:t>
      </w:r>
      <w:r w:rsidR="000B1AD5" w:rsidRPr="00440921">
        <w:rPr>
          <w:rFonts w:eastAsia="Times New Roman" w:cs="Times New Roman"/>
          <w:b/>
          <w:bCs/>
          <w:szCs w:val="24"/>
          <w:shd w:val="clear" w:color="auto" w:fill="FFFFFF"/>
          <w:lang w:eastAsia="pl-PL"/>
        </w:rPr>
        <w:t xml:space="preserve">zagrożenia </w:t>
      </w:r>
      <w:r w:rsidRPr="00440921">
        <w:rPr>
          <w:rFonts w:eastAsia="Times New Roman" w:cs="Times New Roman"/>
          <w:b/>
          <w:bCs/>
          <w:szCs w:val="24"/>
          <w:shd w:val="clear" w:color="auto" w:fill="FFFFFF"/>
          <w:lang w:eastAsia="pl-PL"/>
        </w:rPr>
        <w:t>ubóstw</w:t>
      </w:r>
      <w:r w:rsidR="000B1AD5" w:rsidRPr="00440921">
        <w:rPr>
          <w:rFonts w:eastAsia="Times New Roman" w:cs="Times New Roman"/>
          <w:b/>
          <w:bCs/>
          <w:szCs w:val="24"/>
          <w:shd w:val="clear" w:color="auto" w:fill="FFFFFF"/>
          <w:lang w:eastAsia="pl-PL"/>
        </w:rPr>
        <w:t>em</w:t>
      </w:r>
      <w:r w:rsidRPr="00440921">
        <w:rPr>
          <w:rFonts w:eastAsia="Times New Roman" w:cs="Times New Roman"/>
          <w:b/>
          <w:bCs/>
          <w:szCs w:val="24"/>
          <w:shd w:val="clear" w:color="auto" w:fill="FFFFFF"/>
          <w:lang w:eastAsia="pl-PL"/>
        </w:rPr>
        <w:t xml:space="preserve"> skrajn</w:t>
      </w:r>
      <w:r w:rsidR="000B1AD5" w:rsidRPr="00440921">
        <w:rPr>
          <w:rFonts w:eastAsia="Times New Roman" w:cs="Times New Roman"/>
          <w:b/>
          <w:bCs/>
          <w:szCs w:val="24"/>
          <w:shd w:val="clear" w:color="auto" w:fill="FFFFFF"/>
          <w:lang w:eastAsia="pl-PL"/>
        </w:rPr>
        <w:t>ym</w:t>
      </w:r>
      <w:r w:rsidR="00074DAB">
        <w:rPr>
          <w:rStyle w:val="Odwoanieprzypisudolnego"/>
          <w:rFonts w:eastAsia="Times New Roman" w:cs="Times New Roman"/>
          <w:b/>
          <w:bCs/>
          <w:szCs w:val="24"/>
          <w:shd w:val="clear" w:color="auto" w:fill="FFFFFF"/>
          <w:lang w:eastAsia="pl-PL"/>
        </w:rPr>
        <w:footnoteReference w:id="3"/>
      </w:r>
      <w:r w:rsidRPr="00440921">
        <w:rPr>
          <w:rFonts w:eastAsia="Times New Roman" w:cs="Times New Roman"/>
          <w:bCs/>
          <w:szCs w:val="24"/>
          <w:shd w:val="clear" w:color="auto" w:fill="FFFFFF"/>
          <w:lang w:eastAsia="pl-PL"/>
        </w:rPr>
        <w:t xml:space="preserve"> stanowi minimum egzystencji </w:t>
      </w:r>
      <w:r w:rsidR="00995602">
        <w:rPr>
          <w:rFonts w:eastAsia="Times New Roman" w:cs="Times New Roman"/>
          <w:bCs/>
          <w:szCs w:val="24"/>
          <w:shd w:val="clear" w:color="auto" w:fill="FFFFFF"/>
          <w:lang w:eastAsia="pl-PL"/>
        </w:rPr>
        <w:t>ustala</w:t>
      </w:r>
      <w:r w:rsidRPr="00440921">
        <w:rPr>
          <w:rFonts w:eastAsia="Times New Roman" w:cs="Times New Roman"/>
          <w:bCs/>
          <w:szCs w:val="24"/>
          <w:shd w:val="clear" w:color="auto" w:fill="FFFFFF"/>
          <w:lang w:eastAsia="pl-PL"/>
        </w:rPr>
        <w:t>ne przez Instytut Pracy i Spraw Socjalnych (</w:t>
      </w:r>
      <w:proofErr w:type="spellStart"/>
      <w:r w:rsidRPr="00440921">
        <w:rPr>
          <w:rFonts w:eastAsia="Times New Roman" w:cs="Times New Roman"/>
          <w:bCs/>
          <w:szCs w:val="24"/>
          <w:shd w:val="clear" w:color="auto" w:fill="FFFFFF"/>
          <w:lang w:eastAsia="pl-PL"/>
        </w:rPr>
        <w:t>IPiSS</w:t>
      </w:r>
      <w:proofErr w:type="spellEnd"/>
      <w:r w:rsidRPr="00440921">
        <w:rPr>
          <w:rFonts w:eastAsia="Times New Roman" w:cs="Times New Roman"/>
          <w:bCs/>
          <w:szCs w:val="24"/>
          <w:shd w:val="clear" w:color="auto" w:fill="FFFFFF"/>
          <w:lang w:eastAsia="pl-PL"/>
        </w:rPr>
        <w:t>). Kategoria minimum egzystencji wyznacza bardzo niski poziom zaspokojenia potrzeb. Konsumpcja poniżej tego poziomu utrudnia przeżycie i stanowi zagrożenie dla</w:t>
      </w:r>
      <w:r w:rsidR="00CA4F82" w:rsidRPr="00440921">
        <w:rPr>
          <w:rFonts w:eastAsia="Times New Roman" w:cs="Times New Roman"/>
          <w:bCs/>
          <w:szCs w:val="24"/>
          <w:shd w:val="clear" w:color="auto" w:fill="FFFFFF"/>
          <w:lang w:eastAsia="pl-PL"/>
        </w:rPr>
        <w:t> </w:t>
      </w:r>
      <w:r w:rsidRPr="00440921">
        <w:rPr>
          <w:rFonts w:eastAsia="Times New Roman" w:cs="Times New Roman"/>
          <w:bCs/>
          <w:szCs w:val="24"/>
          <w:shd w:val="clear" w:color="auto" w:fill="FFFFFF"/>
          <w:lang w:eastAsia="pl-PL"/>
        </w:rPr>
        <w:t>psy</w:t>
      </w:r>
      <w:r w:rsidR="00350FDF" w:rsidRPr="00440921">
        <w:rPr>
          <w:rFonts w:eastAsia="Times New Roman" w:cs="Times New Roman"/>
          <w:bCs/>
          <w:szCs w:val="24"/>
          <w:shd w:val="clear" w:color="auto" w:fill="FFFFFF"/>
          <w:lang w:eastAsia="pl-PL"/>
        </w:rPr>
        <w:t>chofizycznego rozwoju człowieka</w:t>
      </w:r>
      <w:r w:rsidR="00DB646E" w:rsidRPr="00964346">
        <w:rPr>
          <w:rStyle w:val="Odwoanieprzypisudolnego"/>
          <w:rFonts w:eastAsia="Times New Roman" w:cs="Times New Roman"/>
          <w:bCs/>
          <w:szCs w:val="24"/>
          <w:shd w:val="clear" w:color="auto" w:fill="FFFFFF"/>
          <w:lang w:eastAsia="pl-PL"/>
        </w:rPr>
        <w:footnoteReference w:id="4"/>
      </w:r>
      <w:r w:rsidR="00350FDF" w:rsidRPr="00440921">
        <w:rPr>
          <w:rFonts w:eastAsia="Times New Roman" w:cs="Times New Roman"/>
          <w:bCs/>
          <w:szCs w:val="24"/>
          <w:shd w:val="clear" w:color="auto" w:fill="FFFFFF"/>
          <w:lang w:eastAsia="pl-PL"/>
        </w:rPr>
        <w:t>.</w:t>
      </w:r>
      <w:r w:rsidRPr="00440921">
        <w:rPr>
          <w:rFonts w:eastAsia="Times New Roman" w:cs="Times New Roman"/>
          <w:bCs/>
          <w:szCs w:val="24"/>
          <w:shd w:val="clear" w:color="auto" w:fill="FFFFFF"/>
          <w:lang w:eastAsia="pl-PL"/>
        </w:rPr>
        <w:t xml:space="preserve"> </w:t>
      </w:r>
      <w:r w:rsidR="00F373CC" w:rsidRPr="00440921">
        <w:rPr>
          <w:rFonts w:eastAsia="Times New Roman" w:cs="Times New Roman"/>
          <w:bCs/>
          <w:szCs w:val="24"/>
          <w:shd w:val="clear" w:color="auto" w:fill="FFFFFF"/>
          <w:lang w:eastAsia="pl-PL"/>
        </w:rPr>
        <w:t>W 202</w:t>
      </w:r>
      <w:r w:rsidR="00300BC0">
        <w:rPr>
          <w:rFonts w:eastAsia="Times New Roman" w:cs="Times New Roman"/>
          <w:bCs/>
          <w:szCs w:val="24"/>
          <w:shd w:val="clear" w:color="auto" w:fill="FFFFFF"/>
          <w:lang w:eastAsia="pl-PL"/>
        </w:rPr>
        <w:t>5</w:t>
      </w:r>
      <w:r w:rsidR="00F373CC" w:rsidRPr="00440921">
        <w:rPr>
          <w:rFonts w:eastAsia="Times New Roman" w:cs="Times New Roman"/>
          <w:bCs/>
          <w:szCs w:val="24"/>
          <w:shd w:val="clear" w:color="auto" w:fill="FFFFFF"/>
          <w:lang w:eastAsia="pl-PL"/>
        </w:rPr>
        <w:t xml:space="preserve"> r. </w:t>
      </w:r>
      <w:r w:rsidR="00300BC0">
        <w:rPr>
          <w:rFonts w:eastAsia="Times New Roman" w:cs="Times New Roman"/>
          <w:bCs/>
          <w:szCs w:val="24"/>
          <w:shd w:val="clear" w:color="auto" w:fill="FFFFFF"/>
          <w:lang w:eastAsia="pl-PL"/>
        </w:rPr>
        <w:t xml:space="preserve">oszacowany </w:t>
      </w:r>
      <w:r w:rsidR="00CD44E6" w:rsidRPr="00440921">
        <w:rPr>
          <w:rFonts w:eastAsia="Times New Roman" w:cs="Times New Roman"/>
          <w:bCs/>
          <w:szCs w:val="24"/>
          <w:shd w:val="clear" w:color="auto" w:fill="FFFFFF"/>
          <w:lang w:eastAsia="pl-PL"/>
        </w:rPr>
        <w:t xml:space="preserve">wskaźnik zagrożenia ubóstwem skrajnym </w:t>
      </w:r>
      <w:r w:rsidR="00F373CC" w:rsidRPr="00440921">
        <w:rPr>
          <w:rFonts w:eastAsia="Times New Roman" w:cs="Times New Roman"/>
          <w:bCs/>
          <w:szCs w:val="24"/>
          <w:shd w:val="clear" w:color="auto" w:fill="FFFFFF"/>
          <w:lang w:eastAsia="pl-PL"/>
        </w:rPr>
        <w:t>wyni</w:t>
      </w:r>
      <w:r w:rsidR="00CD44E6" w:rsidRPr="00440921">
        <w:rPr>
          <w:rFonts w:eastAsia="Times New Roman" w:cs="Times New Roman"/>
          <w:bCs/>
          <w:szCs w:val="24"/>
          <w:shd w:val="clear" w:color="auto" w:fill="FFFFFF"/>
          <w:lang w:eastAsia="pl-PL"/>
        </w:rPr>
        <w:t>ósł</w:t>
      </w:r>
      <w:r w:rsidR="00F373CC" w:rsidRPr="00440921">
        <w:rPr>
          <w:rFonts w:eastAsia="Times New Roman" w:cs="Times New Roman"/>
          <w:bCs/>
          <w:szCs w:val="24"/>
          <w:shd w:val="clear" w:color="auto" w:fill="FFFFFF"/>
          <w:lang w:eastAsia="pl-PL"/>
        </w:rPr>
        <w:t xml:space="preserve"> </w:t>
      </w:r>
      <w:r w:rsidR="00FC32CA" w:rsidRPr="00440921">
        <w:rPr>
          <w:rFonts w:eastAsia="Times New Roman" w:cs="Times New Roman"/>
          <w:bCs/>
          <w:szCs w:val="24"/>
          <w:shd w:val="clear" w:color="auto" w:fill="FFFFFF"/>
          <w:lang w:eastAsia="pl-PL"/>
        </w:rPr>
        <w:t>5</w:t>
      </w:r>
      <w:r w:rsidR="006037DC" w:rsidRPr="00440921">
        <w:rPr>
          <w:rFonts w:eastAsia="Times New Roman" w:cs="Times New Roman"/>
          <w:bCs/>
          <w:szCs w:val="24"/>
          <w:shd w:val="clear" w:color="auto" w:fill="FFFFFF"/>
          <w:lang w:eastAsia="pl-PL"/>
        </w:rPr>
        <w:t>,</w:t>
      </w:r>
      <w:r w:rsidR="00300BC0">
        <w:rPr>
          <w:rFonts w:eastAsia="Times New Roman" w:cs="Times New Roman"/>
          <w:bCs/>
          <w:szCs w:val="24"/>
          <w:shd w:val="clear" w:color="auto" w:fill="FFFFFF"/>
          <w:lang w:eastAsia="pl-PL"/>
        </w:rPr>
        <w:t>3</w:t>
      </w:r>
      <w:r w:rsidR="006037DC" w:rsidRPr="00440921">
        <w:rPr>
          <w:rFonts w:eastAsia="Times New Roman" w:cs="Times New Roman"/>
          <w:bCs/>
          <w:szCs w:val="24"/>
          <w:shd w:val="clear" w:color="auto" w:fill="FFFFFF"/>
          <w:lang w:eastAsia="pl-PL"/>
        </w:rPr>
        <w:t>%</w:t>
      </w:r>
      <w:r w:rsidR="00F373CC" w:rsidRPr="00440921">
        <w:rPr>
          <w:rFonts w:eastAsia="Times New Roman" w:cs="Times New Roman"/>
          <w:bCs/>
          <w:szCs w:val="24"/>
          <w:shd w:val="clear" w:color="auto" w:fill="FFFFFF"/>
          <w:lang w:eastAsia="pl-PL"/>
        </w:rPr>
        <w:t>,</w:t>
      </w:r>
      <w:r w:rsidR="00F72618" w:rsidRPr="00440921">
        <w:rPr>
          <w:rFonts w:eastAsia="Times New Roman" w:cs="Times New Roman"/>
          <w:bCs/>
          <w:szCs w:val="24"/>
          <w:shd w:val="clear" w:color="auto" w:fill="FFFFFF"/>
          <w:lang w:eastAsia="pl-PL"/>
        </w:rPr>
        <w:t xml:space="preserve"> </w:t>
      </w:r>
      <w:r w:rsidR="00300BC0">
        <w:rPr>
          <w:rFonts w:eastAsia="Times New Roman" w:cs="Times New Roman"/>
          <w:bCs/>
          <w:szCs w:val="24"/>
          <w:shd w:val="clear" w:color="auto" w:fill="FFFFFF"/>
          <w:lang w:eastAsia="pl-PL"/>
        </w:rPr>
        <w:t>wobec 5,2% w 2024</w:t>
      </w:r>
      <w:r w:rsidR="00CC45B9">
        <w:rPr>
          <w:rFonts w:eastAsia="Times New Roman" w:cs="Times New Roman"/>
          <w:bCs/>
          <w:szCs w:val="24"/>
          <w:shd w:val="clear" w:color="auto" w:fill="FFFFFF"/>
          <w:lang w:eastAsia="pl-PL"/>
        </w:rPr>
        <w:t xml:space="preserve"> </w:t>
      </w:r>
      <w:r w:rsidR="00300BC0">
        <w:rPr>
          <w:rFonts w:eastAsia="Times New Roman" w:cs="Times New Roman"/>
          <w:bCs/>
          <w:szCs w:val="24"/>
          <w:shd w:val="clear" w:color="auto" w:fill="FFFFFF"/>
          <w:lang w:eastAsia="pl-PL"/>
        </w:rPr>
        <w:t>r</w:t>
      </w:r>
      <w:r w:rsidR="00F373CC" w:rsidRPr="00440921">
        <w:rPr>
          <w:rFonts w:eastAsia="Times New Roman" w:cs="Times New Roman"/>
          <w:bCs/>
          <w:szCs w:val="24"/>
          <w:shd w:val="clear" w:color="auto" w:fill="FFFFFF"/>
          <w:lang w:eastAsia="pl-PL"/>
        </w:rPr>
        <w:t>.</w:t>
      </w:r>
    </w:p>
    <w:p w14:paraId="478EFA72" w14:textId="5AF25E39" w:rsidR="00B051B6" w:rsidRDefault="000D712C" w:rsidP="00F947BB">
      <w:pPr>
        <w:pStyle w:val="Akapitzlist"/>
        <w:numPr>
          <w:ilvl w:val="0"/>
          <w:numId w:val="9"/>
        </w:numPr>
        <w:shd w:val="clear" w:color="auto" w:fill="FFFFFF" w:themeFill="background1"/>
        <w:spacing w:before="0" w:after="60" w:line="240" w:lineRule="auto"/>
        <w:ind w:left="357" w:hanging="357"/>
        <w:contextualSpacing w:val="0"/>
        <w:rPr>
          <w:rFonts w:eastAsia="Times New Roman" w:cs="Times New Roman"/>
          <w:bCs/>
          <w:szCs w:val="24"/>
          <w:shd w:val="clear" w:color="auto" w:fill="FFFFFF"/>
          <w:lang w:eastAsia="pl-PL"/>
        </w:rPr>
      </w:pPr>
      <w:r w:rsidRPr="000D712C">
        <w:rPr>
          <w:rFonts w:eastAsia="Times New Roman" w:cs="Times New Roman"/>
          <w:bCs/>
          <w:szCs w:val="24"/>
          <w:shd w:val="clear" w:color="auto" w:fill="FFFFFF"/>
          <w:lang w:eastAsia="pl-PL"/>
        </w:rPr>
        <w:t xml:space="preserve">Granica </w:t>
      </w:r>
      <w:r w:rsidRPr="000D712C">
        <w:rPr>
          <w:rFonts w:eastAsia="Times New Roman" w:cs="Times New Roman"/>
          <w:b/>
          <w:bCs/>
          <w:szCs w:val="24"/>
          <w:shd w:val="clear" w:color="auto" w:fill="FFFFFF"/>
          <w:lang w:eastAsia="pl-PL"/>
        </w:rPr>
        <w:t>zagrożenia ubóstwem relatywnym</w:t>
      </w:r>
      <w:r w:rsidR="00074DAB">
        <w:rPr>
          <w:rStyle w:val="Odwoanieprzypisudolnego"/>
          <w:rFonts w:eastAsia="Times New Roman" w:cs="Times New Roman"/>
          <w:b/>
          <w:bCs/>
          <w:szCs w:val="24"/>
          <w:shd w:val="clear" w:color="auto" w:fill="FFFFFF"/>
          <w:lang w:eastAsia="pl-PL"/>
        </w:rPr>
        <w:footnoteReference w:id="5"/>
      </w:r>
      <w:r w:rsidRPr="000D712C">
        <w:rPr>
          <w:rFonts w:eastAsia="Times New Roman" w:cs="Times New Roman"/>
          <w:bCs/>
          <w:szCs w:val="24"/>
          <w:shd w:val="clear" w:color="auto" w:fill="FFFFFF"/>
          <w:lang w:eastAsia="pl-PL"/>
        </w:rPr>
        <w:t xml:space="preserve"> jest wyznaczana na poziomie 50% </w:t>
      </w:r>
      <w:r w:rsidR="00CC45B9">
        <w:rPr>
          <w:rFonts w:eastAsia="Times New Roman" w:cs="Times New Roman"/>
          <w:bCs/>
          <w:szCs w:val="24"/>
          <w:shd w:val="clear" w:color="auto" w:fill="FFFFFF"/>
          <w:lang w:eastAsia="pl-PL"/>
        </w:rPr>
        <w:t>średnich</w:t>
      </w:r>
      <w:r w:rsidRPr="000D712C">
        <w:rPr>
          <w:rFonts w:eastAsia="Times New Roman" w:cs="Times New Roman"/>
          <w:bCs/>
          <w:szCs w:val="24"/>
          <w:shd w:val="clear" w:color="auto" w:fill="FFFFFF"/>
          <w:lang w:eastAsia="pl-PL"/>
        </w:rPr>
        <w:t xml:space="preserve"> miesięcznych wydatków gospodarstw domowych w Polsce. Pozwala ona wskazać osoby żyjące w gospodarstwach domowych, których poziom konsumpcji jest wyraźnie niższy od przeciętnego. W 2025 r. oszacowany zasięg zagrożenia ubóstwem relatywnym wyniósł 13,5% i był zbliżony do wartości z 2024 r.</w:t>
      </w:r>
    </w:p>
    <w:p w14:paraId="1E4945E0" w14:textId="4A7906AF" w:rsidR="00FB049A" w:rsidRPr="00FB049A" w:rsidRDefault="000D712C" w:rsidP="00F947BB">
      <w:pPr>
        <w:pStyle w:val="Akapitzlist"/>
        <w:numPr>
          <w:ilvl w:val="0"/>
          <w:numId w:val="9"/>
        </w:numPr>
        <w:shd w:val="clear" w:color="auto" w:fill="FFFFFF" w:themeFill="background1"/>
        <w:spacing w:before="0" w:after="60" w:line="240" w:lineRule="auto"/>
        <w:ind w:left="357" w:hanging="357"/>
        <w:contextualSpacing w:val="0"/>
        <w:rPr>
          <w:rFonts w:eastAsia="Times New Roman" w:cs="Times New Roman"/>
          <w:bCs/>
          <w:szCs w:val="24"/>
          <w:shd w:val="clear" w:color="auto" w:fill="FFFFFF"/>
          <w:lang w:eastAsia="pl-PL"/>
        </w:rPr>
      </w:pPr>
      <w:r w:rsidRPr="000D712C">
        <w:rPr>
          <w:rFonts w:eastAsia="Times New Roman" w:cs="Times New Roman"/>
          <w:bCs/>
          <w:szCs w:val="24"/>
          <w:shd w:val="clear" w:color="auto" w:fill="FFFFFF"/>
          <w:lang w:eastAsia="pl-PL"/>
        </w:rPr>
        <w:t xml:space="preserve">Granica </w:t>
      </w:r>
      <w:r w:rsidRPr="000D712C">
        <w:rPr>
          <w:rFonts w:eastAsia="Times New Roman" w:cs="Times New Roman"/>
          <w:b/>
          <w:bCs/>
          <w:szCs w:val="24"/>
          <w:shd w:val="clear" w:color="auto" w:fill="FFFFFF"/>
          <w:lang w:eastAsia="pl-PL"/>
        </w:rPr>
        <w:t>zagrożenia ubóstwem ustawowym</w:t>
      </w:r>
      <w:r w:rsidRPr="000D712C">
        <w:rPr>
          <w:rFonts w:eastAsia="Times New Roman" w:cs="Times New Roman"/>
          <w:bCs/>
          <w:szCs w:val="24"/>
          <w:shd w:val="clear" w:color="auto" w:fill="FFFFFF"/>
          <w:lang w:eastAsia="pl-PL"/>
        </w:rPr>
        <w:t xml:space="preserve"> odpowiada kwotom, które zgodnie </w:t>
      </w:r>
      <w:r w:rsidR="00054874">
        <w:rPr>
          <w:rFonts w:eastAsia="Times New Roman" w:cs="Times New Roman"/>
          <w:bCs/>
          <w:szCs w:val="24"/>
          <w:shd w:val="clear" w:color="auto" w:fill="FFFFFF"/>
          <w:lang w:eastAsia="pl-PL"/>
        </w:rPr>
        <w:br/>
      </w:r>
      <w:r w:rsidRPr="000D712C">
        <w:rPr>
          <w:rFonts w:eastAsia="Times New Roman" w:cs="Times New Roman"/>
          <w:bCs/>
          <w:szCs w:val="24"/>
          <w:shd w:val="clear" w:color="auto" w:fill="FFFFFF"/>
          <w:lang w:eastAsia="pl-PL"/>
        </w:rPr>
        <w:t xml:space="preserve">z obowiązującymi przepisami uprawniają do ubiegania się o świadczenia pieniężne </w:t>
      </w:r>
      <w:r w:rsidR="00054874">
        <w:rPr>
          <w:rFonts w:eastAsia="Times New Roman" w:cs="Times New Roman"/>
          <w:bCs/>
          <w:szCs w:val="24"/>
          <w:shd w:val="clear" w:color="auto" w:fill="FFFFFF"/>
          <w:lang w:eastAsia="pl-PL"/>
        </w:rPr>
        <w:br/>
      </w:r>
      <w:r w:rsidRPr="000D712C">
        <w:rPr>
          <w:rFonts w:eastAsia="Times New Roman" w:cs="Times New Roman"/>
          <w:bCs/>
          <w:szCs w:val="24"/>
          <w:shd w:val="clear" w:color="auto" w:fill="FFFFFF"/>
          <w:lang w:eastAsia="pl-PL"/>
        </w:rPr>
        <w:t>z pomocy społecznej. W 2025 r., po waloryzacji progów dochodowych, oszacowany zasięg zagrożenia ubóstwem ustawowym wyniósł 8,1%</w:t>
      </w:r>
      <w:r w:rsidR="00BD2EDE">
        <w:rPr>
          <w:rFonts w:eastAsia="Times New Roman" w:cs="Times New Roman"/>
          <w:bCs/>
          <w:szCs w:val="24"/>
          <w:shd w:val="clear" w:color="auto" w:fill="FFFFFF"/>
          <w:lang w:eastAsia="pl-PL"/>
        </w:rPr>
        <w:t xml:space="preserve"> </w:t>
      </w:r>
      <w:r w:rsidRPr="000D712C">
        <w:rPr>
          <w:rFonts w:eastAsia="Times New Roman" w:cs="Times New Roman"/>
          <w:bCs/>
          <w:szCs w:val="24"/>
          <w:shd w:val="clear" w:color="auto" w:fill="FFFFFF"/>
          <w:lang w:eastAsia="pl-PL"/>
        </w:rPr>
        <w:t xml:space="preserve">wobec 2,6% rok wcześniej. </w:t>
      </w:r>
      <w:r w:rsidR="00C6601A" w:rsidRPr="00C6601A">
        <w:rPr>
          <w:rFonts w:eastAsia="Times New Roman" w:cs="Times New Roman"/>
          <w:bCs/>
          <w:szCs w:val="24"/>
          <w:shd w:val="clear" w:color="auto" w:fill="FFFFFF"/>
          <w:lang w:eastAsia="pl-PL"/>
        </w:rPr>
        <w:t xml:space="preserve">Przy </w:t>
      </w:r>
      <w:r w:rsidR="00C6601A" w:rsidRPr="00C6601A">
        <w:rPr>
          <w:rFonts w:eastAsia="Times New Roman" w:cs="Times New Roman"/>
          <w:bCs/>
          <w:szCs w:val="24"/>
          <w:shd w:val="clear" w:color="auto" w:fill="FFFFFF"/>
          <w:lang w:eastAsia="pl-PL"/>
        </w:rPr>
        <w:lastRenderedPageBreak/>
        <w:t>zbliżonych do poprzedniego roku oszacowanych wartościach wskaźników zagrożenia ubóstwem skrajnym i relatywnym, wzrost zasięgu zagrożenia ubóstwem ustawowym należy wiązać przede wszystkim ze zmianą wysokości progów dochodowych.</w:t>
      </w:r>
    </w:p>
    <w:p w14:paraId="2B600E0A" w14:textId="6F3FD4E0" w:rsidR="007754A0" w:rsidRPr="00964346" w:rsidRDefault="007754A0" w:rsidP="00964346">
      <w:pPr>
        <w:shd w:val="clear" w:color="auto" w:fill="FFFFFF" w:themeFill="background1"/>
        <w:spacing w:before="240" w:line="240" w:lineRule="auto"/>
        <w:jc w:val="both"/>
        <w:rPr>
          <w:rFonts w:eastAsia="Times New Roman" w:cs="Times New Roman"/>
          <w:bCs/>
          <w:szCs w:val="24"/>
          <w:shd w:val="clear" w:color="auto" w:fill="FFFFFF"/>
          <w:lang w:eastAsia="pl-PL"/>
        </w:rPr>
      </w:pPr>
    </w:p>
    <w:p w14:paraId="1F075879" w14:textId="01F6DB50" w:rsidR="00F455AD" w:rsidRPr="00C6601A" w:rsidRDefault="00BF2558" w:rsidP="00153093">
      <w:pPr>
        <w:keepNext/>
        <w:keepLines/>
        <w:shd w:val="clear" w:color="auto" w:fill="FFFFFF" w:themeFill="background1"/>
        <w:spacing w:after="240" w:line="259" w:lineRule="auto"/>
        <w:rPr>
          <w:rFonts w:ascii="Fira Sans SemiBold" w:eastAsia="Times New Roman" w:hAnsi="Fira Sans SemiBold" w:cs="Times New Roman"/>
          <w:b/>
          <w:bCs/>
          <w:color w:val="001D77"/>
          <w:szCs w:val="24"/>
          <w:shd w:val="clear" w:color="auto" w:fill="FFFFFF"/>
          <w:lang w:eastAsia="pl-PL"/>
        </w:rPr>
      </w:pPr>
      <w:r w:rsidRPr="00C6601A">
        <w:rPr>
          <w:rFonts w:ascii="Fira Sans SemiBold" w:eastAsia="Times New Roman" w:hAnsi="Fira Sans SemiBold" w:cs="Times New Roman"/>
          <w:b/>
          <w:bCs/>
          <w:color w:val="001D77"/>
          <w:szCs w:val="24"/>
          <w:shd w:val="clear" w:color="auto" w:fill="FFFFFF"/>
          <w:lang w:eastAsia="pl-PL"/>
        </w:rPr>
        <w:t>Zmiany zasięgu</w:t>
      </w:r>
      <w:r w:rsidR="00B50290" w:rsidRPr="00C6601A">
        <w:rPr>
          <w:rFonts w:ascii="Fira Sans SemiBold" w:eastAsia="Times New Roman" w:hAnsi="Fira Sans SemiBold" w:cs="Times New Roman"/>
          <w:b/>
          <w:bCs/>
          <w:color w:val="001D77"/>
          <w:szCs w:val="24"/>
          <w:shd w:val="clear" w:color="auto" w:fill="FFFFFF"/>
          <w:lang w:eastAsia="pl-PL"/>
        </w:rPr>
        <w:t xml:space="preserve"> zagrożenia</w:t>
      </w:r>
      <w:r w:rsidRPr="00C6601A">
        <w:rPr>
          <w:rFonts w:ascii="Fira Sans SemiBold" w:eastAsia="Times New Roman" w:hAnsi="Fira Sans SemiBold" w:cs="Times New Roman"/>
          <w:b/>
          <w:bCs/>
          <w:color w:val="001D77"/>
          <w:szCs w:val="24"/>
          <w:shd w:val="clear" w:color="auto" w:fill="FFFFFF"/>
          <w:lang w:eastAsia="pl-PL"/>
        </w:rPr>
        <w:t xml:space="preserve"> ubóstw</w:t>
      </w:r>
      <w:r w:rsidR="00B50290" w:rsidRPr="00C6601A">
        <w:rPr>
          <w:rFonts w:ascii="Fira Sans SemiBold" w:eastAsia="Times New Roman" w:hAnsi="Fira Sans SemiBold" w:cs="Times New Roman"/>
          <w:b/>
          <w:bCs/>
          <w:color w:val="001D77"/>
          <w:szCs w:val="24"/>
          <w:shd w:val="clear" w:color="auto" w:fill="FFFFFF"/>
          <w:lang w:eastAsia="pl-PL"/>
        </w:rPr>
        <w:t>em</w:t>
      </w:r>
      <w:r w:rsidRPr="00C6601A">
        <w:rPr>
          <w:rFonts w:ascii="Fira Sans SemiBold" w:eastAsia="Times New Roman" w:hAnsi="Fira Sans SemiBold" w:cs="Times New Roman"/>
          <w:b/>
          <w:bCs/>
          <w:color w:val="001D77"/>
          <w:szCs w:val="24"/>
          <w:shd w:val="clear" w:color="auto" w:fill="FFFFFF"/>
          <w:lang w:eastAsia="pl-PL"/>
        </w:rPr>
        <w:t xml:space="preserve"> ekonomiczn</w:t>
      </w:r>
      <w:r w:rsidR="00B50290" w:rsidRPr="00C6601A">
        <w:rPr>
          <w:rFonts w:ascii="Fira Sans SemiBold" w:eastAsia="Times New Roman" w:hAnsi="Fira Sans SemiBold" w:cs="Times New Roman"/>
          <w:b/>
          <w:bCs/>
          <w:color w:val="001D77"/>
          <w:szCs w:val="24"/>
          <w:shd w:val="clear" w:color="auto" w:fill="FFFFFF"/>
          <w:lang w:eastAsia="pl-PL"/>
        </w:rPr>
        <w:t>ym</w:t>
      </w:r>
      <w:r w:rsidRPr="00C6601A">
        <w:rPr>
          <w:rFonts w:ascii="Fira Sans SemiBold" w:eastAsia="Times New Roman" w:hAnsi="Fira Sans SemiBold" w:cs="Times New Roman"/>
          <w:b/>
          <w:bCs/>
          <w:color w:val="001D77"/>
          <w:szCs w:val="24"/>
          <w:shd w:val="clear" w:color="auto" w:fill="FFFFFF"/>
          <w:lang w:eastAsia="pl-PL"/>
        </w:rPr>
        <w:t xml:space="preserve"> w la</w:t>
      </w:r>
      <w:r w:rsidR="004A0B02" w:rsidRPr="00C6601A">
        <w:rPr>
          <w:rFonts w:ascii="Fira Sans SemiBold" w:eastAsia="Times New Roman" w:hAnsi="Fira Sans SemiBold" w:cs="Times New Roman"/>
          <w:b/>
          <w:bCs/>
          <w:color w:val="001D77"/>
          <w:szCs w:val="24"/>
          <w:shd w:val="clear" w:color="auto" w:fill="FFFFFF"/>
          <w:lang w:eastAsia="pl-PL"/>
        </w:rPr>
        <w:t>tac</w:t>
      </w:r>
      <w:r w:rsidR="00AE5E6B" w:rsidRPr="00C6601A">
        <w:rPr>
          <w:rFonts w:ascii="Fira Sans SemiBold" w:eastAsia="Times New Roman" w:hAnsi="Fira Sans SemiBold" w:cs="Times New Roman"/>
          <w:b/>
          <w:bCs/>
          <w:color w:val="001D77"/>
          <w:szCs w:val="24"/>
          <w:shd w:val="clear" w:color="auto" w:fill="FFFFFF"/>
          <w:lang w:eastAsia="pl-PL"/>
        </w:rPr>
        <w:t>h 20</w:t>
      </w:r>
      <w:r w:rsidR="00AB6006" w:rsidRPr="00C6601A">
        <w:rPr>
          <w:rFonts w:ascii="Fira Sans SemiBold" w:eastAsia="Times New Roman" w:hAnsi="Fira Sans SemiBold" w:cs="Times New Roman"/>
          <w:b/>
          <w:bCs/>
          <w:color w:val="001D77"/>
          <w:szCs w:val="24"/>
          <w:shd w:val="clear" w:color="auto" w:fill="FFFFFF"/>
          <w:lang w:eastAsia="pl-PL"/>
        </w:rPr>
        <w:t>10</w:t>
      </w:r>
      <w:r w:rsidR="00AE5E6B" w:rsidRPr="00C6601A">
        <w:rPr>
          <w:rFonts w:ascii="Fira Sans SemiBold" w:eastAsia="Times New Roman" w:hAnsi="Fira Sans SemiBold" w:cs="Times New Roman"/>
          <w:b/>
          <w:bCs/>
          <w:color w:val="001D77"/>
          <w:szCs w:val="24"/>
          <w:shd w:val="clear" w:color="auto" w:fill="FFFFFF"/>
          <w:lang w:eastAsia="pl-PL"/>
        </w:rPr>
        <w:t>–</w:t>
      </w:r>
      <w:r w:rsidRPr="00C6601A">
        <w:rPr>
          <w:rFonts w:ascii="Fira Sans SemiBold" w:eastAsia="Times New Roman" w:hAnsi="Fira Sans SemiBold" w:cs="Times New Roman"/>
          <w:b/>
          <w:bCs/>
          <w:color w:val="001D77"/>
          <w:szCs w:val="24"/>
          <w:shd w:val="clear" w:color="auto" w:fill="FFFFFF"/>
          <w:lang w:eastAsia="pl-PL"/>
        </w:rPr>
        <w:t>202</w:t>
      </w:r>
      <w:r w:rsidR="00E40C2E">
        <w:rPr>
          <w:rFonts w:ascii="Fira Sans SemiBold" w:eastAsia="Times New Roman" w:hAnsi="Fira Sans SemiBold" w:cs="Times New Roman"/>
          <w:b/>
          <w:bCs/>
          <w:color w:val="001D77"/>
          <w:szCs w:val="24"/>
          <w:shd w:val="clear" w:color="auto" w:fill="FFFFFF"/>
          <w:lang w:eastAsia="pl-PL"/>
        </w:rPr>
        <w:t>5</w:t>
      </w:r>
      <w:r w:rsidRPr="00C6601A">
        <w:rPr>
          <w:rStyle w:val="Odwoanieprzypisudolnego"/>
          <w:rFonts w:ascii="Fira Sans SemiBold" w:eastAsia="Times New Roman" w:hAnsi="Fira Sans SemiBold" w:cs="Times New Roman"/>
          <w:b/>
          <w:bCs/>
          <w:color w:val="001D77"/>
          <w:szCs w:val="24"/>
          <w:shd w:val="clear" w:color="auto" w:fill="FFFFFF"/>
          <w:lang w:eastAsia="pl-PL"/>
        </w:rPr>
        <w:footnoteReference w:id="6"/>
      </w:r>
    </w:p>
    <w:p w14:paraId="77D9CE54" w14:textId="78BAA422" w:rsidR="00CD18F2" w:rsidRPr="00964346" w:rsidRDefault="00B87BDF" w:rsidP="00F947BB">
      <w:pPr>
        <w:keepNext/>
        <w:keepLines/>
        <w:shd w:val="clear" w:color="auto" w:fill="FFFFFF" w:themeFill="background1"/>
        <w:spacing w:after="240" w:line="259" w:lineRule="auto"/>
        <w:rPr>
          <w:rFonts w:eastAsia="Times New Roman" w:cs="Times New Roman"/>
          <w:bCs/>
          <w:szCs w:val="24"/>
          <w:shd w:val="clear" w:color="auto" w:fill="FFFFFF"/>
          <w:lang w:eastAsia="pl-PL"/>
        </w:rPr>
      </w:pPr>
      <w:r w:rsidRPr="00B87BDF">
        <w:rPr>
          <w:rFonts w:eastAsia="Times New Roman" w:cs="Times New Roman"/>
          <w:bCs/>
          <w:szCs w:val="24"/>
          <w:shd w:val="clear" w:color="auto" w:fill="FFFFFF"/>
          <w:lang w:eastAsia="pl-PL"/>
        </w:rPr>
        <w:t>W latach 2010–2025 oszacowane wartości wskaźników zagrożenia ubóstwem ekonomicznym zmieniały się w różny sposób, zależnie od przyjęte</w:t>
      </w:r>
      <w:r>
        <w:rPr>
          <w:rFonts w:eastAsia="Times New Roman" w:cs="Times New Roman"/>
          <w:bCs/>
          <w:szCs w:val="24"/>
          <w:shd w:val="clear" w:color="auto" w:fill="FFFFFF"/>
          <w:lang w:eastAsia="pl-PL"/>
        </w:rPr>
        <w:t>go sposobu definiowania</w:t>
      </w:r>
      <w:r w:rsidRPr="00B87BDF">
        <w:rPr>
          <w:rFonts w:eastAsia="Times New Roman" w:cs="Times New Roman"/>
          <w:bCs/>
          <w:szCs w:val="24"/>
          <w:shd w:val="clear" w:color="auto" w:fill="FFFFFF"/>
          <w:lang w:eastAsia="pl-PL"/>
        </w:rPr>
        <w:t xml:space="preserve"> granicy </w:t>
      </w:r>
      <w:r w:rsidR="00B1738A">
        <w:rPr>
          <w:rFonts w:eastAsia="Times New Roman" w:cs="Times New Roman"/>
          <w:bCs/>
          <w:szCs w:val="24"/>
          <w:shd w:val="clear" w:color="auto" w:fill="FFFFFF"/>
          <w:lang w:eastAsia="pl-PL"/>
        </w:rPr>
        <w:t xml:space="preserve">zagrożenia </w:t>
      </w:r>
      <w:r w:rsidRPr="00B87BDF">
        <w:rPr>
          <w:rFonts w:eastAsia="Times New Roman" w:cs="Times New Roman"/>
          <w:bCs/>
          <w:szCs w:val="24"/>
          <w:shd w:val="clear" w:color="auto" w:fill="FFFFFF"/>
          <w:lang w:eastAsia="pl-PL"/>
        </w:rPr>
        <w:t>ubóstw</w:t>
      </w:r>
      <w:r w:rsidR="00B1738A">
        <w:rPr>
          <w:rFonts w:eastAsia="Times New Roman" w:cs="Times New Roman"/>
          <w:bCs/>
          <w:szCs w:val="24"/>
          <w:shd w:val="clear" w:color="auto" w:fill="FFFFFF"/>
          <w:lang w:eastAsia="pl-PL"/>
        </w:rPr>
        <w:t>em</w:t>
      </w:r>
      <w:r w:rsidRPr="00B87BDF">
        <w:rPr>
          <w:rFonts w:eastAsia="Times New Roman" w:cs="Times New Roman"/>
          <w:bCs/>
          <w:szCs w:val="24"/>
          <w:shd w:val="clear" w:color="auto" w:fill="FFFFFF"/>
          <w:lang w:eastAsia="pl-PL"/>
        </w:rPr>
        <w:t xml:space="preserve"> (Wykres 1).</w:t>
      </w:r>
    </w:p>
    <w:p w14:paraId="4FCBD23D" w14:textId="6A85BAC9" w:rsidR="00EC7E2D" w:rsidRDefault="00995602" w:rsidP="00F947BB">
      <w:pPr>
        <w:shd w:val="clear" w:color="auto" w:fill="FFFFFF" w:themeFill="background1"/>
        <w:spacing w:after="240" w:line="259" w:lineRule="auto"/>
        <w:rPr>
          <w:rFonts w:eastAsia="Times New Roman" w:cs="Times New Roman"/>
          <w:bCs/>
          <w:szCs w:val="24"/>
          <w:shd w:val="clear" w:color="auto" w:fill="FFFFFF"/>
          <w:lang w:eastAsia="pl-PL"/>
        </w:rPr>
      </w:pPr>
      <w:r w:rsidRPr="00C263F3">
        <w:rPr>
          <w:rFonts w:eastAsia="Times New Roman" w:cs="Times New Roman"/>
          <w:bCs/>
          <w:szCs w:val="24"/>
          <w:shd w:val="clear" w:color="auto" w:fill="FFFFFF"/>
          <w:lang w:eastAsia="pl-PL"/>
        </w:rPr>
        <w:t xml:space="preserve">W przypadku </w:t>
      </w:r>
      <w:r w:rsidR="00EC7E2D" w:rsidRPr="00EC7E2D">
        <w:rPr>
          <w:rFonts w:eastAsia="Times New Roman" w:cs="Times New Roman"/>
          <w:bCs/>
          <w:szCs w:val="24"/>
          <w:shd w:val="clear" w:color="auto" w:fill="FFFFFF"/>
          <w:lang w:eastAsia="pl-PL"/>
        </w:rPr>
        <w:t>ubóstwa skrajnego oszacowany zasięg zagrożenia w latach 2010–2015 wynosił około 6–7%. Od 2016 r. wartości wskaźnika utrzymywały się zasadniczo na niższym poziomie, najczęściej około 4–5%. Na tym tle oszacowanie dla 2023 r. było wyraźnie wyższe</w:t>
      </w:r>
      <w:r w:rsidR="00054874">
        <w:rPr>
          <w:rFonts w:eastAsia="Times New Roman" w:cs="Times New Roman"/>
          <w:bCs/>
          <w:szCs w:val="24"/>
          <w:shd w:val="clear" w:color="auto" w:fill="FFFFFF"/>
          <w:lang w:eastAsia="pl-PL"/>
        </w:rPr>
        <w:t xml:space="preserve"> (6,6%)</w:t>
      </w:r>
      <w:r w:rsidR="00EC7E2D" w:rsidRPr="00EC7E2D">
        <w:rPr>
          <w:rFonts w:eastAsia="Times New Roman" w:cs="Times New Roman"/>
          <w:bCs/>
          <w:szCs w:val="24"/>
          <w:shd w:val="clear" w:color="auto" w:fill="FFFFFF"/>
          <w:lang w:eastAsia="pl-PL"/>
        </w:rPr>
        <w:t>, jednak nie znalazło kontynuacji w kolejnych dwóch latach: w 2024 r. i 2025 r.</w:t>
      </w:r>
      <w:r w:rsidR="00054874">
        <w:rPr>
          <w:rFonts w:eastAsia="Times New Roman" w:cs="Times New Roman"/>
          <w:bCs/>
          <w:szCs w:val="24"/>
          <w:shd w:val="clear" w:color="auto" w:fill="FFFFFF"/>
          <w:lang w:eastAsia="pl-PL"/>
        </w:rPr>
        <w:t>, kiedy</w:t>
      </w:r>
      <w:r w:rsidR="00EC7E2D" w:rsidRPr="00EC7E2D">
        <w:rPr>
          <w:rFonts w:eastAsia="Times New Roman" w:cs="Times New Roman"/>
          <w:bCs/>
          <w:szCs w:val="24"/>
          <w:shd w:val="clear" w:color="auto" w:fill="FFFFFF"/>
          <w:lang w:eastAsia="pl-PL"/>
        </w:rPr>
        <w:t xml:space="preserve"> wartości wskaźnika wyniosły odpowiednio 5,2% i 5,3%. </w:t>
      </w:r>
      <w:r w:rsidR="004F0AE0" w:rsidRPr="004F0AE0">
        <w:rPr>
          <w:rFonts w:eastAsia="Times New Roman" w:cs="Times New Roman"/>
          <w:bCs/>
          <w:szCs w:val="24"/>
          <w:shd w:val="clear" w:color="auto" w:fill="FFFFFF"/>
          <w:lang w:eastAsia="pl-PL"/>
        </w:rPr>
        <w:t>Biorąc pod uwagę</w:t>
      </w:r>
      <w:r w:rsidR="00715764">
        <w:rPr>
          <w:rFonts w:eastAsia="Times New Roman" w:cs="Times New Roman"/>
          <w:bCs/>
          <w:szCs w:val="24"/>
          <w:shd w:val="clear" w:color="auto" w:fill="FFFFFF"/>
          <w:lang w:eastAsia="pl-PL"/>
        </w:rPr>
        <w:t>, że badanie jest oparte na próbie losowej</w:t>
      </w:r>
      <w:r w:rsidR="004F0AE0" w:rsidRPr="004F0AE0">
        <w:rPr>
          <w:rFonts w:eastAsia="Times New Roman" w:cs="Times New Roman"/>
          <w:bCs/>
          <w:szCs w:val="24"/>
          <w:shd w:val="clear" w:color="auto" w:fill="FFFFFF"/>
          <w:lang w:eastAsia="pl-PL"/>
        </w:rPr>
        <w:t>, jednoroczne wyższe oszacowanie należy interpretować ostrożnie, zwłaszcza w zestawieniu ze stabilniejszym przebiegiem wskaźnika w dłuższym okresie</w:t>
      </w:r>
      <w:r w:rsidR="00EC7E2D" w:rsidRPr="00EC7E2D">
        <w:rPr>
          <w:rFonts w:eastAsia="Times New Roman" w:cs="Times New Roman"/>
          <w:bCs/>
          <w:szCs w:val="24"/>
          <w:shd w:val="clear" w:color="auto" w:fill="FFFFFF"/>
          <w:lang w:eastAsia="pl-PL"/>
        </w:rPr>
        <w:t>.</w:t>
      </w:r>
    </w:p>
    <w:p w14:paraId="589FC2DD" w14:textId="58B5A2C3" w:rsidR="00B226CD" w:rsidRPr="00964346" w:rsidRDefault="00AF5748" w:rsidP="00F947BB">
      <w:pPr>
        <w:shd w:val="clear" w:color="auto" w:fill="FFFFFF" w:themeFill="background1"/>
        <w:spacing w:after="240" w:line="259" w:lineRule="auto"/>
        <w:rPr>
          <w:rFonts w:eastAsia="Times New Roman" w:cs="Times New Roman"/>
          <w:bCs/>
          <w:szCs w:val="24"/>
          <w:shd w:val="clear" w:color="auto" w:fill="FFFFFF"/>
          <w:lang w:eastAsia="pl-PL"/>
        </w:rPr>
      </w:pPr>
      <w:r w:rsidRPr="00E503EC">
        <w:rPr>
          <w:noProof/>
          <w:szCs w:val="19"/>
          <w:lang w:eastAsia="pl-PL"/>
        </w:rPr>
        <mc:AlternateContent>
          <mc:Choice Requires="wps">
            <w:drawing>
              <wp:anchor distT="45720" distB="45720" distL="114300" distR="114300" simplePos="0" relativeHeight="251887616" behindDoc="0" locked="0" layoutInCell="1" allowOverlap="1" wp14:anchorId="36048A23" wp14:editId="7036C025">
                <wp:simplePos x="0" y="0"/>
                <wp:positionH relativeFrom="margin">
                  <wp:posOffset>5267325</wp:posOffset>
                </wp:positionH>
                <wp:positionV relativeFrom="paragraph">
                  <wp:posOffset>367665</wp:posOffset>
                </wp:positionV>
                <wp:extent cx="1651635" cy="1323975"/>
                <wp:effectExtent l="0" t="0" r="0" b="0"/>
                <wp:wrapNone/>
                <wp:docPr id="2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635" cy="1323975"/>
                        </a:xfrm>
                        <a:prstGeom prst="rect">
                          <a:avLst/>
                        </a:prstGeom>
                        <a:noFill/>
                        <a:ln w="9525">
                          <a:noFill/>
                          <a:miter lim="800000"/>
                          <a:headEnd/>
                          <a:tailEnd/>
                        </a:ln>
                      </wps:spPr>
                      <wps:txbx>
                        <w:txbxContent>
                          <w:p w14:paraId="22D56862" w14:textId="669BED38" w:rsidR="00837C4C" w:rsidRPr="00E82F58" w:rsidRDefault="00C333E8" w:rsidP="0037494B">
                            <w:pPr>
                              <w:suppressAutoHyphens/>
                              <w:rPr>
                                <w:color w:val="001D77"/>
                                <w:sz w:val="18"/>
                              </w:rPr>
                            </w:pPr>
                            <w:r>
                              <w:rPr>
                                <w:color w:val="001D77"/>
                                <w:sz w:val="18"/>
                              </w:rPr>
                              <w:t xml:space="preserve">W 2025 r. </w:t>
                            </w:r>
                            <w:r w:rsidR="00E503EC">
                              <w:rPr>
                                <w:color w:val="001D77"/>
                                <w:sz w:val="18"/>
                              </w:rPr>
                              <w:t xml:space="preserve">oszacowane </w:t>
                            </w:r>
                            <w:r w:rsidR="00645B4B">
                              <w:rPr>
                                <w:color w:val="001D77"/>
                                <w:sz w:val="18"/>
                              </w:rPr>
                              <w:t xml:space="preserve">wskaźniki </w:t>
                            </w:r>
                            <w:r>
                              <w:rPr>
                                <w:color w:val="001D77"/>
                                <w:sz w:val="18"/>
                              </w:rPr>
                              <w:t>zasięg</w:t>
                            </w:r>
                            <w:r w:rsidR="00645B4B">
                              <w:rPr>
                                <w:color w:val="001D77"/>
                                <w:sz w:val="18"/>
                              </w:rPr>
                              <w:t>u</w:t>
                            </w:r>
                            <w:r>
                              <w:rPr>
                                <w:color w:val="001D77"/>
                                <w:sz w:val="18"/>
                              </w:rPr>
                              <w:t xml:space="preserve"> zagrożenia ubóstwem skrajnym i relatywnym pozostały na podobnym poziomie do oszacowań z 2024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048A23" id="_x0000_t202" coordsize="21600,21600" o:spt="202" path="m,l,21600r21600,l21600,xe">
                <v:stroke joinstyle="miter"/>
                <v:path gradientshapeok="t" o:connecttype="rect"/>
              </v:shapetype>
              <v:shape id="_x0000_s1029" type="#_x0000_t202" style="position:absolute;margin-left:414.75pt;margin-top:28.95pt;width:130.05pt;height:104.25pt;z-index:251887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" filled="f" stroked="f">
                <v:textbox>
                  <w:txbxContent>
                    <w:p w14:paraId="22D56862" w14:textId="669BED38" w:rsidR="00837C4C" w:rsidRPr="00E82F58" w:rsidRDefault="00C333E8" w:rsidP="0037494B">
                      <w:pPr>
                        <w:suppressAutoHyphens/>
                        <w:rPr>
                          <w:color w:val="001D77"/>
                          <w:sz w:val="18"/>
                        </w:rPr>
                      </w:pPr>
                      <w:r>
                        <w:rPr>
                          <w:color w:val="001D77"/>
                          <w:sz w:val="18"/>
                        </w:rPr>
                        <w:t xml:space="preserve">W 2025 r. </w:t>
                      </w:r>
                      <w:r w:rsidR="00E503EC">
                        <w:rPr>
                          <w:color w:val="001D77"/>
                          <w:sz w:val="18"/>
                        </w:rPr>
                        <w:t xml:space="preserve">oszacowane </w:t>
                      </w:r>
                      <w:r w:rsidR="00645B4B">
                        <w:rPr>
                          <w:color w:val="001D77"/>
                          <w:sz w:val="18"/>
                        </w:rPr>
                        <w:t xml:space="preserve">wskaźniki </w:t>
                      </w:r>
                      <w:r>
                        <w:rPr>
                          <w:color w:val="001D77"/>
                          <w:sz w:val="18"/>
                        </w:rPr>
                        <w:t>zasięg</w:t>
                      </w:r>
                      <w:r w:rsidR="00645B4B">
                        <w:rPr>
                          <w:color w:val="001D77"/>
                          <w:sz w:val="18"/>
                        </w:rPr>
                        <w:t>u</w:t>
                      </w:r>
                      <w:r>
                        <w:rPr>
                          <w:color w:val="001D77"/>
                          <w:sz w:val="18"/>
                        </w:rPr>
                        <w:t xml:space="preserve"> zagrożenia ubóstwem skrajnym i relatywnym pozostały na podobnym poziomie do oszacowań z 2024 r.</w:t>
                      </w:r>
                    </w:p>
                  </w:txbxContent>
                </v:textbox>
                <w10:wrap anchorx="margin"/>
              </v:shape>
            </w:pict>
          </mc:Fallback>
        </mc:AlternateContent>
      </w:r>
      <w:r w:rsidR="00995602" w:rsidRPr="00E503EC">
        <w:rPr>
          <w:noProof/>
          <w:szCs w:val="19"/>
          <w:lang w:eastAsia="pl-PL"/>
        </w:rPr>
        <w:t>Dla</w:t>
      </w:r>
      <w:r w:rsidR="00C263F3" w:rsidRPr="00E503EC">
        <w:rPr>
          <w:rFonts w:eastAsia="Times New Roman" w:cs="Times New Roman"/>
          <w:bCs/>
          <w:szCs w:val="24"/>
          <w:shd w:val="clear" w:color="auto" w:fill="FFFFFF"/>
          <w:lang w:eastAsia="pl-PL"/>
        </w:rPr>
        <w:t xml:space="preserve"> zagrożenia ubóstwem relatywnym moment obniżenia wartości wskaźnika był zbliżony do obserwowanego dla ubóstwa skrajnego. W latach 2010–2015 oszacowany zasięg </w:t>
      </w:r>
      <w:r w:rsidR="00675150">
        <w:rPr>
          <w:rFonts w:eastAsia="Times New Roman" w:cs="Times New Roman"/>
          <w:bCs/>
          <w:szCs w:val="24"/>
          <w:shd w:val="clear" w:color="auto" w:fill="FFFFFF"/>
          <w:lang w:eastAsia="pl-PL"/>
        </w:rPr>
        <w:t xml:space="preserve">zagrożenia </w:t>
      </w:r>
      <w:r w:rsidR="00C263F3" w:rsidRPr="00E503EC">
        <w:rPr>
          <w:rFonts w:eastAsia="Times New Roman" w:cs="Times New Roman"/>
          <w:bCs/>
          <w:szCs w:val="24"/>
          <w:shd w:val="clear" w:color="auto" w:fill="FFFFFF"/>
          <w:lang w:eastAsia="pl-PL"/>
        </w:rPr>
        <w:t>ubóstw</w:t>
      </w:r>
      <w:r w:rsidR="00A43907">
        <w:rPr>
          <w:rFonts w:eastAsia="Times New Roman" w:cs="Times New Roman"/>
          <w:bCs/>
          <w:szCs w:val="24"/>
          <w:shd w:val="clear" w:color="auto" w:fill="FFFFFF"/>
          <w:lang w:eastAsia="pl-PL"/>
        </w:rPr>
        <w:t>em</w:t>
      </w:r>
      <w:r w:rsidR="00C263F3" w:rsidRPr="00E503EC">
        <w:rPr>
          <w:rFonts w:eastAsia="Times New Roman" w:cs="Times New Roman"/>
          <w:bCs/>
          <w:szCs w:val="24"/>
          <w:shd w:val="clear" w:color="auto" w:fill="FFFFFF"/>
          <w:lang w:eastAsia="pl-PL"/>
        </w:rPr>
        <w:t xml:space="preserve"> relatywn</w:t>
      </w:r>
      <w:r w:rsidR="00A43907">
        <w:rPr>
          <w:rFonts w:eastAsia="Times New Roman" w:cs="Times New Roman"/>
          <w:bCs/>
          <w:szCs w:val="24"/>
          <w:shd w:val="clear" w:color="auto" w:fill="FFFFFF"/>
          <w:lang w:eastAsia="pl-PL"/>
        </w:rPr>
        <w:t>ym</w:t>
      </w:r>
      <w:r w:rsidR="00C263F3" w:rsidRPr="00E503EC">
        <w:rPr>
          <w:rFonts w:eastAsia="Times New Roman" w:cs="Times New Roman"/>
          <w:bCs/>
          <w:szCs w:val="24"/>
          <w:shd w:val="clear" w:color="auto" w:fill="FFFFFF"/>
          <w:lang w:eastAsia="pl-PL"/>
        </w:rPr>
        <w:t xml:space="preserve"> </w:t>
      </w:r>
      <w:r w:rsidR="00C263F3" w:rsidRPr="00C263F3">
        <w:rPr>
          <w:rFonts w:eastAsia="Times New Roman" w:cs="Times New Roman"/>
          <w:bCs/>
          <w:szCs w:val="24"/>
          <w:shd w:val="clear" w:color="auto" w:fill="FFFFFF"/>
          <w:lang w:eastAsia="pl-PL"/>
        </w:rPr>
        <w:t xml:space="preserve">wynosił około 16–17%, natomiast od 2016 r. był niższy i mieścił się w przedziale około 12–14%. W ostatnich latach oszacowane wartości wskaźnika stopniowo się zwiększały: z 11,7% w 2022 r. do 12,2% w 2023 r., 13,3% w 2024 r. i 13,5% w 2025 r. </w:t>
      </w:r>
      <w:r w:rsidR="004F0AE0" w:rsidRPr="004F0AE0">
        <w:rPr>
          <w:rFonts w:eastAsia="Times New Roman" w:cs="Times New Roman"/>
          <w:bCs/>
          <w:szCs w:val="24"/>
          <w:shd w:val="clear" w:color="auto" w:fill="FFFFFF"/>
          <w:lang w:eastAsia="pl-PL"/>
        </w:rPr>
        <w:t xml:space="preserve">Ponieważ granica </w:t>
      </w:r>
      <w:r w:rsidR="00311746">
        <w:rPr>
          <w:rFonts w:eastAsia="Times New Roman" w:cs="Times New Roman"/>
          <w:bCs/>
          <w:szCs w:val="24"/>
          <w:shd w:val="clear" w:color="auto" w:fill="FFFFFF"/>
          <w:lang w:eastAsia="pl-PL"/>
        </w:rPr>
        <w:t xml:space="preserve">zagrożenia </w:t>
      </w:r>
      <w:r w:rsidR="004F0AE0" w:rsidRPr="004F0AE0">
        <w:rPr>
          <w:rFonts w:eastAsia="Times New Roman" w:cs="Times New Roman"/>
          <w:bCs/>
          <w:szCs w:val="24"/>
          <w:shd w:val="clear" w:color="auto" w:fill="FFFFFF"/>
          <w:lang w:eastAsia="pl-PL"/>
        </w:rPr>
        <w:t>ubóstw</w:t>
      </w:r>
      <w:r w:rsidR="00311746">
        <w:rPr>
          <w:rFonts w:eastAsia="Times New Roman" w:cs="Times New Roman"/>
          <w:bCs/>
          <w:szCs w:val="24"/>
          <w:shd w:val="clear" w:color="auto" w:fill="FFFFFF"/>
          <w:lang w:eastAsia="pl-PL"/>
        </w:rPr>
        <w:t>em</w:t>
      </w:r>
      <w:r w:rsidR="004F0AE0" w:rsidRPr="004F0AE0">
        <w:rPr>
          <w:rFonts w:eastAsia="Times New Roman" w:cs="Times New Roman"/>
          <w:bCs/>
          <w:szCs w:val="24"/>
          <w:shd w:val="clear" w:color="auto" w:fill="FFFFFF"/>
          <w:lang w:eastAsia="pl-PL"/>
        </w:rPr>
        <w:t xml:space="preserve"> relatywn</w:t>
      </w:r>
      <w:r w:rsidR="00A43907">
        <w:rPr>
          <w:rFonts w:eastAsia="Times New Roman" w:cs="Times New Roman"/>
          <w:bCs/>
          <w:szCs w:val="24"/>
          <w:shd w:val="clear" w:color="auto" w:fill="FFFFFF"/>
          <w:lang w:eastAsia="pl-PL"/>
        </w:rPr>
        <w:t>ym</w:t>
      </w:r>
      <w:r w:rsidR="004F0AE0" w:rsidRPr="004F0AE0">
        <w:rPr>
          <w:rFonts w:eastAsia="Times New Roman" w:cs="Times New Roman"/>
          <w:bCs/>
          <w:szCs w:val="24"/>
          <w:shd w:val="clear" w:color="auto" w:fill="FFFFFF"/>
          <w:lang w:eastAsia="pl-PL"/>
        </w:rPr>
        <w:t xml:space="preserve"> zależy od przeciętnego poziomu wydatków gospodarstw domowych, wyższa wartość tego wskaźnika oznacza większy dystans części gospodarstw od przeciętnego poziomu konsumpcji, ale nie musi oznaczać pogorszenia ich sytuacji materialnej w ujęciu absolutnym.</w:t>
      </w:r>
    </w:p>
    <w:p w14:paraId="04037906" w14:textId="235C3202" w:rsidR="006F606A" w:rsidRPr="002F7F37" w:rsidRDefault="001D3BFC" w:rsidP="00F947BB">
      <w:pPr>
        <w:shd w:val="clear" w:color="auto" w:fill="FFFFFF" w:themeFill="background1"/>
        <w:spacing w:after="240" w:line="259" w:lineRule="auto"/>
        <w:rPr>
          <w:rFonts w:eastAsia="Times New Roman" w:cs="Times New Roman"/>
          <w:bCs/>
          <w:szCs w:val="24"/>
          <w:shd w:val="clear" w:color="auto" w:fill="FFFFFF"/>
          <w:lang w:eastAsia="pl-PL"/>
        </w:rPr>
      </w:pPr>
      <w:r w:rsidRPr="001D3BFC">
        <w:rPr>
          <w:rFonts w:eastAsia="Times New Roman" w:cs="Times New Roman"/>
          <w:bCs/>
          <w:szCs w:val="24"/>
          <w:shd w:val="clear" w:color="auto" w:fill="FFFFFF"/>
          <w:lang w:eastAsia="pl-PL"/>
        </w:rPr>
        <w:t xml:space="preserve">Inaczej należy odczytywać wskaźnik zagrożenia ubóstwem ustawowym. W odróżnieniu od </w:t>
      </w:r>
      <w:r w:rsidR="00DA7722">
        <w:rPr>
          <w:rFonts w:eastAsia="Times New Roman" w:cs="Times New Roman"/>
          <w:bCs/>
          <w:szCs w:val="24"/>
          <w:shd w:val="clear" w:color="auto" w:fill="FFFFFF"/>
          <w:lang w:eastAsia="pl-PL"/>
        </w:rPr>
        <w:t xml:space="preserve">zagrożenia </w:t>
      </w:r>
      <w:r w:rsidRPr="001D3BFC">
        <w:rPr>
          <w:rFonts w:eastAsia="Times New Roman" w:cs="Times New Roman"/>
          <w:bCs/>
          <w:szCs w:val="24"/>
          <w:shd w:val="clear" w:color="auto" w:fill="FFFFFF"/>
          <w:lang w:eastAsia="pl-PL"/>
        </w:rPr>
        <w:t>ubóstw</w:t>
      </w:r>
      <w:r w:rsidR="00DA7722">
        <w:rPr>
          <w:rFonts w:eastAsia="Times New Roman" w:cs="Times New Roman"/>
          <w:bCs/>
          <w:szCs w:val="24"/>
          <w:shd w:val="clear" w:color="auto" w:fill="FFFFFF"/>
          <w:lang w:eastAsia="pl-PL"/>
        </w:rPr>
        <w:t>em</w:t>
      </w:r>
      <w:r w:rsidRPr="001D3BFC">
        <w:rPr>
          <w:rFonts w:eastAsia="Times New Roman" w:cs="Times New Roman"/>
          <w:bCs/>
          <w:szCs w:val="24"/>
          <w:shd w:val="clear" w:color="auto" w:fill="FFFFFF"/>
          <w:lang w:eastAsia="pl-PL"/>
        </w:rPr>
        <w:t xml:space="preserve"> skrajn</w:t>
      </w:r>
      <w:r w:rsidR="00DA7722">
        <w:rPr>
          <w:rFonts w:eastAsia="Times New Roman" w:cs="Times New Roman"/>
          <w:bCs/>
          <w:szCs w:val="24"/>
          <w:shd w:val="clear" w:color="auto" w:fill="FFFFFF"/>
          <w:lang w:eastAsia="pl-PL"/>
        </w:rPr>
        <w:t>ym</w:t>
      </w:r>
      <w:r w:rsidRPr="001D3BFC">
        <w:rPr>
          <w:rFonts w:eastAsia="Times New Roman" w:cs="Times New Roman"/>
          <w:bCs/>
          <w:szCs w:val="24"/>
          <w:shd w:val="clear" w:color="auto" w:fill="FFFFFF"/>
          <w:lang w:eastAsia="pl-PL"/>
        </w:rPr>
        <w:t xml:space="preserve"> i relatywn</w:t>
      </w:r>
      <w:r w:rsidR="00DA7722">
        <w:rPr>
          <w:rFonts w:eastAsia="Times New Roman" w:cs="Times New Roman"/>
          <w:bCs/>
          <w:szCs w:val="24"/>
          <w:shd w:val="clear" w:color="auto" w:fill="FFFFFF"/>
          <w:lang w:eastAsia="pl-PL"/>
        </w:rPr>
        <w:t>ym</w:t>
      </w:r>
      <w:r w:rsidRPr="001D3BFC">
        <w:rPr>
          <w:rFonts w:eastAsia="Times New Roman" w:cs="Times New Roman"/>
          <w:bCs/>
          <w:szCs w:val="24"/>
          <w:shd w:val="clear" w:color="auto" w:fill="FFFFFF"/>
          <w:lang w:eastAsia="pl-PL"/>
        </w:rPr>
        <w:t>, jego wartość zależy bezpośrednio od wysokości progów dochodowych uprawniających do ubiegania się o świadczenia z pomocy społecznej. Wskaźnik ten pokazuje więc przede wszystkim potencjalny zakres populacji objętej instrumentami pomocy społecznej, a nie samodzielną diagnozę skali ubóstwa ekonomicznego. W latach, w których progi ustawowe były podnoszone</w:t>
      </w:r>
      <w:r>
        <w:rPr>
          <w:rFonts w:eastAsia="Times New Roman" w:cs="Times New Roman"/>
          <w:bCs/>
          <w:szCs w:val="24"/>
          <w:shd w:val="clear" w:color="auto" w:fill="FFFFFF"/>
          <w:lang w:eastAsia="pl-PL"/>
        </w:rPr>
        <w:t xml:space="preserve"> (Wykres</w:t>
      </w:r>
      <w:r w:rsidR="00F77AC0">
        <w:rPr>
          <w:rFonts w:eastAsia="Times New Roman" w:cs="Times New Roman"/>
          <w:bCs/>
          <w:szCs w:val="24"/>
          <w:shd w:val="clear" w:color="auto" w:fill="FFFFFF"/>
          <w:lang w:eastAsia="pl-PL"/>
        </w:rPr>
        <w:t>y 2 i</w:t>
      </w:r>
      <w:r>
        <w:rPr>
          <w:rFonts w:eastAsia="Times New Roman" w:cs="Times New Roman"/>
          <w:bCs/>
          <w:szCs w:val="24"/>
          <w:shd w:val="clear" w:color="auto" w:fill="FFFFFF"/>
          <w:lang w:eastAsia="pl-PL"/>
        </w:rPr>
        <w:t xml:space="preserve"> 3)</w:t>
      </w:r>
      <w:r w:rsidRPr="001D3BFC">
        <w:rPr>
          <w:rFonts w:eastAsia="Times New Roman" w:cs="Times New Roman"/>
          <w:bCs/>
          <w:szCs w:val="24"/>
          <w:shd w:val="clear" w:color="auto" w:fill="FFFFFF"/>
          <w:lang w:eastAsia="pl-PL"/>
        </w:rPr>
        <w:t xml:space="preserve">, oszacowana wartość wskaźnika wyraźnie rosła albo utrzymywała się na zbliżonym poziomie. Natomiast w okresach, gdy progi pozostawały niezmienione, </w:t>
      </w:r>
      <w:r>
        <w:rPr>
          <w:rFonts w:eastAsia="Times New Roman" w:cs="Times New Roman"/>
          <w:bCs/>
          <w:szCs w:val="24"/>
          <w:shd w:val="clear" w:color="auto" w:fill="FFFFFF"/>
          <w:lang w:eastAsia="pl-PL"/>
        </w:rPr>
        <w:t xml:space="preserve">wartość </w:t>
      </w:r>
      <w:r w:rsidRPr="001D3BFC">
        <w:rPr>
          <w:rFonts w:eastAsia="Times New Roman" w:cs="Times New Roman"/>
          <w:bCs/>
          <w:szCs w:val="24"/>
          <w:shd w:val="clear" w:color="auto" w:fill="FFFFFF"/>
          <w:lang w:eastAsia="pl-PL"/>
        </w:rPr>
        <w:t>wskaźnik</w:t>
      </w:r>
      <w:r>
        <w:rPr>
          <w:rFonts w:eastAsia="Times New Roman" w:cs="Times New Roman"/>
          <w:bCs/>
          <w:szCs w:val="24"/>
          <w:shd w:val="clear" w:color="auto" w:fill="FFFFFF"/>
          <w:lang w:eastAsia="pl-PL"/>
        </w:rPr>
        <w:t>a</w:t>
      </w:r>
      <w:r w:rsidRPr="001D3BFC">
        <w:rPr>
          <w:rFonts w:eastAsia="Times New Roman" w:cs="Times New Roman"/>
          <w:bCs/>
          <w:szCs w:val="24"/>
          <w:shd w:val="clear" w:color="auto" w:fill="FFFFFF"/>
          <w:lang w:eastAsia="pl-PL"/>
        </w:rPr>
        <w:t xml:space="preserve"> stopniowo się obniżał</w:t>
      </w:r>
      <w:r>
        <w:rPr>
          <w:rFonts w:eastAsia="Times New Roman" w:cs="Times New Roman"/>
          <w:bCs/>
          <w:szCs w:val="24"/>
          <w:shd w:val="clear" w:color="auto" w:fill="FFFFFF"/>
          <w:lang w:eastAsia="pl-PL"/>
        </w:rPr>
        <w:t>a</w:t>
      </w:r>
      <w:r w:rsidRPr="001D3BFC">
        <w:rPr>
          <w:rFonts w:eastAsia="Times New Roman" w:cs="Times New Roman"/>
          <w:bCs/>
          <w:szCs w:val="24"/>
          <w:shd w:val="clear" w:color="auto" w:fill="FFFFFF"/>
          <w:lang w:eastAsia="pl-PL"/>
        </w:rPr>
        <w:t xml:space="preserve">, co wynikało m.in. z inflacji oraz wzrostu nominalnych dochodów gospodarstw domowych przy braku bieżącego urealniania kryteriów dochodowych. Dlatego zmiany </w:t>
      </w:r>
      <w:r w:rsidR="004F0AE0">
        <w:rPr>
          <w:rFonts w:eastAsia="Times New Roman" w:cs="Times New Roman"/>
          <w:bCs/>
          <w:szCs w:val="24"/>
          <w:shd w:val="clear" w:color="auto" w:fill="FFFFFF"/>
          <w:lang w:eastAsia="pl-PL"/>
        </w:rPr>
        <w:t xml:space="preserve">oszacowań wartości </w:t>
      </w:r>
      <w:r w:rsidRPr="001D3BFC">
        <w:rPr>
          <w:rFonts w:eastAsia="Times New Roman" w:cs="Times New Roman"/>
          <w:bCs/>
          <w:szCs w:val="24"/>
          <w:shd w:val="clear" w:color="auto" w:fill="FFFFFF"/>
          <w:lang w:eastAsia="pl-PL"/>
        </w:rPr>
        <w:t>tego wskaźnika należy interpretować przede wszystkim w kontekście zmian parametrów systemu pomocy społecznej.</w:t>
      </w:r>
    </w:p>
    <w:p w14:paraId="078FF3BC" w14:textId="6F92C0C0" w:rsidR="00C1559E" w:rsidRDefault="00C1559E" w:rsidP="00153093">
      <w:pPr>
        <w:keepNext/>
        <w:keepLines/>
        <w:shd w:val="clear" w:color="auto" w:fill="FFFFFF" w:themeFill="background1"/>
        <w:spacing w:before="240" w:after="0"/>
        <w:ind w:left="851" w:hanging="851"/>
        <w:rPr>
          <w:b/>
          <w:noProof/>
          <w:sz w:val="18"/>
          <w:szCs w:val="19"/>
          <w:lang w:eastAsia="pl-PL"/>
        </w:rPr>
      </w:pPr>
      <w:r w:rsidRPr="00964346">
        <w:rPr>
          <w:b/>
          <w:noProof/>
          <w:sz w:val="18"/>
          <w:szCs w:val="19"/>
          <w:lang w:eastAsia="pl-PL"/>
        </w:rPr>
        <w:lastRenderedPageBreak/>
        <w:t xml:space="preserve">Wykres </w:t>
      </w:r>
      <w:r w:rsidR="007209BD" w:rsidRPr="00964346">
        <w:rPr>
          <w:b/>
          <w:noProof/>
          <w:sz w:val="18"/>
          <w:szCs w:val="19"/>
          <w:lang w:eastAsia="pl-PL"/>
        </w:rPr>
        <w:t>1</w:t>
      </w:r>
      <w:r w:rsidRPr="00964346">
        <w:rPr>
          <w:b/>
          <w:noProof/>
          <w:sz w:val="18"/>
          <w:szCs w:val="19"/>
          <w:lang w:eastAsia="pl-PL"/>
        </w:rPr>
        <w:t xml:space="preserve">. Zasięg </w:t>
      </w:r>
      <w:r w:rsidR="000B1AD5" w:rsidRPr="00964346">
        <w:rPr>
          <w:b/>
          <w:noProof/>
          <w:sz w:val="18"/>
          <w:szCs w:val="19"/>
          <w:lang w:eastAsia="pl-PL"/>
        </w:rPr>
        <w:t xml:space="preserve">zagrożenia </w:t>
      </w:r>
      <w:r w:rsidRPr="00964346">
        <w:rPr>
          <w:b/>
          <w:noProof/>
          <w:sz w:val="18"/>
          <w:szCs w:val="19"/>
          <w:lang w:eastAsia="pl-PL"/>
        </w:rPr>
        <w:t>ubóst</w:t>
      </w:r>
      <w:r w:rsidR="00845804" w:rsidRPr="00964346">
        <w:rPr>
          <w:b/>
          <w:noProof/>
          <w:sz w:val="18"/>
          <w:szCs w:val="19"/>
          <w:lang w:eastAsia="pl-PL"/>
        </w:rPr>
        <w:t>w</w:t>
      </w:r>
      <w:r w:rsidR="000B1AD5" w:rsidRPr="00964346">
        <w:rPr>
          <w:b/>
          <w:noProof/>
          <w:sz w:val="18"/>
          <w:szCs w:val="19"/>
          <w:lang w:eastAsia="pl-PL"/>
        </w:rPr>
        <w:t>em</w:t>
      </w:r>
      <w:r w:rsidR="00845804" w:rsidRPr="00964346">
        <w:rPr>
          <w:b/>
          <w:noProof/>
          <w:sz w:val="18"/>
          <w:szCs w:val="19"/>
          <w:lang w:eastAsia="pl-PL"/>
        </w:rPr>
        <w:t xml:space="preserve"> w Polsce w latach 20</w:t>
      </w:r>
      <w:r w:rsidR="00233B19" w:rsidRPr="00964346">
        <w:rPr>
          <w:b/>
          <w:noProof/>
          <w:sz w:val="18"/>
          <w:szCs w:val="19"/>
          <w:lang w:eastAsia="pl-PL"/>
        </w:rPr>
        <w:t>1</w:t>
      </w:r>
      <w:r w:rsidR="00A72EFF" w:rsidRPr="00964346">
        <w:rPr>
          <w:b/>
          <w:noProof/>
          <w:sz w:val="18"/>
          <w:szCs w:val="19"/>
          <w:lang w:eastAsia="pl-PL"/>
        </w:rPr>
        <w:t>0</w:t>
      </w:r>
      <w:r w:rsidR="00AE5E6B" w:rsidRPr="00964346">
        <w:rPr>
          <w:b/>
          <w:noProof/>
          <w:sz w:val="18"/>
          <w:szCs w:val="19"/>
          <w:lang w:eastAsia="pl-PL"/>
        </w:rPr>
        <w:t>–</w:t>
      </w:r>
      <w:r w:rsidR="00845804" w:rsidRPr="00964346">
        <w:rPr>
          <w:b/>
          <w:noProof/>
          <w:sz w:val="18"/>
          <w:szCs w:val="19"/>
          <w:lang w:eastAsia="pl-PL"/>
        </w:rPr>
        <w:t>202</w:t>
      </w:r>
      <w:r w:rsidR="007D594D">
        <w:rPr>
          <w:b/>
          <w:noProof/>
          <w:sz w:val="18"/>
          <w:szCs w:val="19"/>
          <w:lang w:eastAsia="pl-PL"/>
        </w:rPr>
        <w:t>5</w:t>
      </w:r>
      <w:r w:rsidRPr="00964346">
        <w:rPr>
          <w:b/>
          <w:noProof/>
          <w:sz w:val="18"/>
          <w:szCs w:val="19"/>
          <w:lang w:eastAsia="pl-PL"/>
        </w:rPr>
        <w:t xml:space="preserve"> według przyjętych</w:t>
      </w:r>
      <w:r w:rsidR="00192066" w:rsidRPr="00964346">
        <w:rPr>
          <w:b/>
          <w:noProof/>
          <w:sz w:val="18"/>
          <w:szCs w:val="19"/>
          <w:lang w:eastAsia="pl-PL"/>
        </w:rPr>
        <w:t xml:space="preserve"> w danym roku granic </w:t>
      </w:r>
      <w:r w:rsidR="000B1AD5" w:rsidRPr="00964346">
        <w:rPr>
          <w:b/>
          <w:noProof/>
          <w:sz w:val="18"/>
          <w:szCs w:val="19"/>
          <w:lang w:eastAsia="pl-PL"/>
        </w:rPr>
        <w:t xml:space="preserve">zagrożenia </w:t>
      </w:r>
      <w:r w:rsidR="00192066" w:rsidRPr="00964346">
        <w:rPr>
          <w:b/>
          <w:noProof/>
          <w:sz w:val="18"/>
          <w:szCs w:val="19"/>
          <w:lang w:eastAsia="pl-PL"/>
        </w:rPr>
        <w:t>ubóstw</w:t>
      </w:r>
      <w:r w:rsidR="000B1AD5" w:rsidRPr="00964346">
        <w:rPr>
          <w:b/>
          <w:noProof/>
          <w:sz w:val="18"/>
          <w:szCs w:val="19"/>
          <w:lang w:eastAsia="pl-PL"/>
        </w:rPr>
        <w:t>em</w:t>
      </w:r>
      <w:r w:rsidR="00192066" w:rsidRPr="00964346">
        <w:rPr>
          <w:b/>
          <w:noProof/>
          <w:sz w:val="18"/>
          <w:szCs w:val="19"/>
          <w:lang w:eastAsia="pl-PL"/>
        </w:rPr>
        <w:t xml:space="preserve"> (</w:t>
      </w:r>
      <w:r w:rsidRPr="00964346">
        <w:rPr>
          <w:b/>
          <w:noProof/>
          <w:sz w:val="18"/>
          <w:szCs w:val="19"/>
          <w:lang w:eastAsia="pl-PL"/>
        </w:rPr>
        <w:t>% osób</w:t>
      </w:r>
      <w:r w:rsidR="00B87BDF">
        <w:rPr>
          <w:b/>
          <w:noProof/>
          <w:sz w:val="18"/>
          <w:szCs w:val="19"/>
          <w:lang w:eastAsia="pl-PL"/>
        </w:rPr>
        <w:t xml:space="preserve"> w </w:t>
      </w:r>
      <w:r w:rsidR="00F77AC0">
        <w:rPr>
          <w:b/>
          <w:noProof/>
          <w:sz w:val="18"/>
          <w:szCs w:val="19"/>
          <w:lang w:eastAsia="pl-PL"/>
        </w:rPr>
        <w:t>gospodarstwach domowych</w:t>
      </w:r>
      <w:r w:rsidRPr="00964346">
        <w:rPr>
          <w:b/>
          <w:noProof/>
          <w:sz w:val="18"/>
          <w:szCs w:val="19"/>
          <w:lang w:eastAsia="pl-PL"/>
        </w:rPr>
        <w:t>)</w:t>
      </w:r>
    </w:p>
    <w:p w14:paraId="5E9E6156" w14:textId="1D41E12D" w:rsidR="007D594D" w:rsidRPr="00964346" w:rsidRDefault="00BE3BE3" w:rsidP="00153093">
      <w:pPr>
        <w:keepNext/>
        <w:keepLines/>
        <w:shd w:val="clear" w:color="auto" w:fill="FFFFFF" w:themeFill="background1"/>
        <w:spacing w:before="240" w:after="0" w:line="259" w:lineRule="auto"/>
        <w:rPr>
          <w:b/>
          <w:bCs/>
          <w:color w:val="000000"/>
          <w:sz w:val="18"/>
          <w:szCs w:val="18"/>
          <w:lang w:eastAsia="pl-PL"/>
        </w:rPr>
      </w:pPr>
      <w:r w:rsidRPr="00964346">
        <w:rPr>
          <w:noProof/>
          <w:color w:val="001D77"/>
          <w:szCs w:val="19"/>
          <w:lang w:eastAsia="pl-PL"/>
        </w:rPr>
        <mc:AlternateContent>
          <mc:Choice Requires="wps">
            <w:drawing>
              <wp:anchor distT="45720" distB="45720" distL="114300" distR="114300" simplePos="0" relativeHeight="251889664" behindDoc="0" locked="0" layoutInCell="1" allowOverlap="1" wp14:anchorId="5A49C4A9" wp14:editId="2A4C0EB4">
                <wp:simplePos x="0" y="0"/>
                <wp:positionH relativeFrom="margin">
                  <wp:posOffset>5286375</wp:posOffset>
                </wp:positionH>
                <wp:positionV relativeFrom="paragraph">
                  <wp:posOffset>168275</wp:posOffset>
                </wp:positionV>
                <wp:extent cx="1651635" cy="1543050"/>
                <wp:effectExtent l="0" t="0" r="0" b="0"/>
                <wp:wrapNone/>
                <wp:docPr id="2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635" cy="1543050"/>
                        </a:xfrm>
                        <a:prstGeom prst="rect">
                          <a:avLst/>
                        </a:prstGeom>
                        <a:noFill/>
                        <a:ln w="9525">
                          <a:noFill/>
                          <a:miter lim="800000"/>
                          <a:headEnd/>
                          <a:tailEnd/>
                        </a:ln>
                      </wps:spPr>
                      <wps:txbx>
                        <w:txbxContent>
                          <w:p w14:paraId="05252344" w14:textId="1BD20986" w:rsidR="00837C4C" w:rsidRDefault="00C333E8" w:rsidP="00AF5748">
                            <w:pPr>
                              <w:suppressAutoHyphens/>
                              <w:rPr>
                                <w:color w:val="001D77"/>
                                <w:sz w:val="18"/>
                              </w:rPr>
                            </w:pPr>
                            <w:r w:rsidRPr="007C2D61">
                              <w:rPr>
                                <w:color w:val="001D77"/>
                                <w:sz w:val="18"/>
                              </w:rPr>
                              <w:t xml:space="preserve">Wskaźniki </w:t>
                            </w:r>
                            <w:r w:rsidR="0090744E">
                              <w:rPr>
                                <w:color w:val="001D77"/>
                                <w:sz w:val="18"/>
                              </w:rPr>
                              <w:t xml:space="preserve">zasięgu zagrożenia </w:t>
                            </w:r>
                            <w:r w:rsidRPr="007C2D61">
                              <w:rPr>
                                <w:color w:val="001D77"/>
                                <w:sz w:val="18"/>
                              </w:rPr>
                              <w:t>ubóstw</w:t>
                            </w:r>
                            <w:r w:rsidR="0090744E">
                              <w:rPr>
                                <w:color w:val="001D77"/>
                                <w:sz w:val="18"/>
                              </w:rPr>
                              <w:t>em</w:t>
                            </w:r>
                            <w:r w:rsidRPr="007C2D61">
                              <w:rPr>
                                <w:color w:val="001D77"/>
                                <w:sz w:val="18"/>
                              </w:rPr>
                              <w:t xml:space="preserve"> skrajn</w:t>
                            </w:r>
                            <w:r w:rsidR="0090744E">
                              <w:rPr>
                                <w:color w:val="001D77"/>
                                <w:sz w:val="18"/>
                              </w:rPr>
                              <w:t>ym</w:t>
                            </w:r>
                            <w:r w:rsidRPr="007C2D61">
                              <w:rPr>
                                <w:color w:val="001D77"/>
                                <w:sz w:val="18"/>
                              </w:rPr>
                              <w:t xml:space="preserve"> i relatywn</w:t>
                            </w:r>
                            <w:r w:rsidR="0090744E">
                              <w:rPr>
                                <w:color w:val="001D77"/>
                                <w:sz w:val="18"/>
                              </w:rPr>
                              <w:t>ym</w:t>
                            </w:r>
                            <w:r w:rsidRPr="007C2D61">
                              <w:rPr>
                                <w:color w:val="001D77"/>
                                <w:sz w:val="18"/>
                              </w:rPr>
                              <w:t xml:space="preserve"> przebiegały w czasie podobnie, natomiast ubóstwo ustawowe reagowało głównie na zmiany progów pomocy społecznej.</w:t>
                            </w:r>
                          </w:p>
                          <w:p w14:paraId="7CC6ACDC" w14:textId="0BBE5E7C" w:rsidR="00837C4C" w:rsidRPr="00E82F58" w:rsidRDefault="00837C4C" w:rsidP="008067DA">
                            <w:pPr>
                              <w:suppressAutoHyphens/>
                              <w:rPr>
                                <w:color w:val="001D77"/>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49C4A9" id="_x0000_s1030" type="#_x0000_t202" style="position:absolute;margin-left:416.25pt;margin-top:13.25pt;width:130.05pt;height:121.5pt;z-index:251889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" filled="f" stroked="f">
                <v:textbox>
                  <w:txbxContent>
                    <w:p w14:paraId="05252344" w14:textId="1BD20986" w:rsidR="00837C4C" w:rsidRDefault="00C333E8" w:rsidP="00AF5748">
                      <w:pPr>
                        <w:suppressAutoHyphens/>
                        <w:rPr>
                          <w:color w:val="001D77"/>
                          <w:sz w:val="18"/>
                        </w:rPr>
                      </w:pPr>
                      <w:r w:rsidRPr="007C2D61">
                        <w:rPr>
                          <w:color w:val="001D77"/>
                          <w:sz w:val="18"/>
                        </w:rPr>
                        <w:t xml:space="preserve">Wskaźniki </w:t>
                      </w:r>
                      <w:r w:rsidR="0090744E">
                        <w:rPr>
                          <w:color w:val="001D77"/>
                          <w:sz w:val="18"/>
                        </w:rPr>
                        <w:t xml:space="preserve">zasięgu zagrożenia </w:t>
                      </w:r>
                      <w:r w:rsidRPr="007C2D61">
                        <w:rPr>
                          <w:color w:val="001D77"/>
                          <w:sz w:val="18"/>
                        </w:rPr>
                        <w:t>ubóstw</w:t>
                      </w:r>
                      <w:r w:rsidR="0090744E">
                        <w:rPr>
                          <w:color w:val="001D77"/>
                          <w:sz w:val="18"/>
                        </w:rPr>
                        <w:t>em</w:t>
                      </w:r>
                      <w:r w:rsidRPr="007C2D61">
                        <w:rPr>
                          <w:color w:val="001D77"/>
                          <w:sz w:val="18"/>
                        </w:rPr>
                        <w:t xml:space="preserve"> skrajn</w:t>
                      </w:r>
                      <w:r w:rsidR="0090744E">
                        <w:rPr>
                          <w:color w:val="001D77"/>
                          <w:sz w:val="18"/>
                        </w:rPr>
                        <w:t>ym</w:t>
                      </w:r>
                      <w:r w:rsidRPr="007C2D61">
                        <w:rPr>
                          <w:color w:val="001D77"/>
                          <w:sz w:val="18"/>
                        </w:rPr>
                        <w:t xml:space="preserve"> i relatywn</w:t>
                      </w:r>
                      <w:r w:rsidR="0090744E">
                        <w:rPr>
                          <w:color w:val="001D77"/>
                          <w:sz w:val="18"/>
                        </w:rPr>
                        <w:t>ym</w:t>
                      </w:r>
                      <w:r w:rsidRPr="007C2D61">
                        <w:rPr>
                          <w:color w:val="001D77"/>
                          <w:sz w:val="18"/>
                        </w:rPr>
                        <w:t xml:space="preserve"> przebiegały w czasie podobnie, natomiast ubóstwo ustawowe reagowało głównie na zmiany progów pomocy społecznej.</w:t>
                      </w:r>
                    </w:p>
                    <w:p w14:paraId="7CC6ACDC" w14:textId="0BBE5E7C" w:rsidR="00837C4C" w:rsidRPr="00E82F58" w:rsidRDefault="00837C4C" w:rsidP="008067DA">
                      <w:pPr>
                        <w:suppressAutoHyphens/>
                        <w:rPr>
                          <w:color w:val="001D77"/>
                          <w:sz w:val="18"/>
                        </w:rPr>
                      </w:pPr>
                    </w:p>
                  </w:txbxContent>
                </v:textbox>
                <w10:wrap anchorx="margin"/>
              </v:shape>
            </w:pict>
          </mc:Fallback>
        </mc:AlternateContent>
      </w:r>
      <w:r w:rsidR="007D594D">
        <w:rPr>
          <w:noProof/>
          <w:lang w:eastAsia="pl-PL"/>
        </w:rPr>
        <w:drawing>
          <wp:inline distT="0" distB="0" distL="0" distR="0" wp14:anchorId="7EBF182F" wp14:editId="06C789E1">
            <wp:extent cx="5122545" cy="2641600"/>
            <wp:effectExtent l="0" t="0" r="1905" b="6350"/>
            <wp:docPr id="12" name="Wykres 12">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E172545" w14:textId="30177F1F" w:rsidR="0061088B" w:rsidRPr="00964346" w:rsidRDefault="0022005F" w:rsidP="00F947BB">
      <w:pPr>
        <w:shd w:val="clear" w:color="auto" w:fill="FFFFFF" w:themeFill="background1"/>
        <w:rPr>
          <w:bCs/>
          <w:color w:val="000000"/>
          <w:szCs w:val="19"/>
          <w:lang w:eastAsia="pl-PL"/>
        </w:rPr>
      </w:pPr>
      <w:r w:rsidRPr="0022005F">
        <w:rPr>
          <w:bCs/>
          <w:color w:val="000000"/>
          <w:szCs w:val="19"/>
          <w:lang w:eastAsia="pl-PL"/>
        </w:rPr>
        <w:t>Zmiany oszacowanych wartości wskaźników zagrożenia ubóstwem ekonomicznym zależą zarówno od sytuacji materialnej gospodarstw domowych, mierzonej poziomem ich wydatków, jak i od wysokości stosowanych progów ubóstwa (Wykresy 2 i 3).</w:t>
      </w:r>
    </w:p>
    <w:p w14:paraId="28FD70FB" w14:textId="046A4793" w:rsidR="00F830BF" w:rsidRPr="00964346" w:rsidRDefault="003B3F1E" w:rsidP="00F947BB">
      <w:pPr>
        <w:shd w:val="clear" w:color="auto" w:fill="FFFFFF" w:themeFill="background1"/>
        <w:rPr>
          <w:bCs/>
          <w:szCs w:val="19"/>
          <w:lang w:eastAsia="pl-PL"/>
        </w:rPr>
      </w:pPr>
      <w:r w:rsidRPr="003B3F1E">
        <w:rPr>
          <w:bCs/>
          <w:color w:val="000000"/>
          <w:szCs w:val="19"/>
          <w:lang w:eastAsia="pl-PL"/>
        </w:rPr>
        <w:t xml:space="preserve">Granica zagrożenia ubóstwem skrajnym jest powiązana z minimum egzystencji szacowanym przez </w:t>
      </w:r>
      <w:proofErr w:type="spellStart"/>
      <w:r w:rsidRPr="003B3F1E">
        <w:rPr>
          <w:bCs/>
          <w:color w:val="000000"/>
          <w:szCs w:val="19"/>
          <w:lang w:eastAsia="pl-PL"/>
        </w:rPr>
        <w:t>IPiSS</w:t>
      </w:r>
      <w:proofErr w:type="spellEnd"/>
      <w:r w:rsidRPr="003B3F1E">
        <w:rPr>
          <w:bCs/>
          <w:color w:val="000000"/>
          <w:szCs w:val="19"/>
          <w:lang w:eastAsia="pl-PL"/>
        </w:rPr>
        <w:t xml:space="preserve">, a więc zależy od cen dóbr i usług uwzględnianych w koszyku minimum egzystencji. Granica zagrożenia ubóstwem relatywnym zależy natomiast od </w:t>
      </w:r>
      <w:r>
        <w:rPr>
          <w:bCs/>
          <w:color w:val="000000"/>
          <w:szCs w:val="19"/>
          <w:lang w:eastAsia="pl-PL"/>
        </w:rPr>
        <w:t>oszacowanego (też na podstawie BBGD</w:t>
      </w:r>
      <w:r w:rsidR="00311746">
        <w:rPr>
          <w:rStyle w:val="Odwoanieprzypisudolnego"/>
          <w:bCs/>
          <w:color w:val="000000"/>
          <w:szCs w:val="19"/>
          <w:lang w:eastAsia="pl-PL"/>
        </w:rPr>
        <w:footnoteReference w:id="7"/>
      </w:r>
      <w:r>
        <w:rPr>
          <w:bCs/>
          <w:color w:val="000000"/>
          <w:szCs w:val="19"/>
          <w:lang w:eastAsia="pl-PL"/>
        </w:rPr>
        <w:t xml:space="preserve">) </w:t>
      </w:r>
      <w:r w:rsidRPr="003B3F1E">
        <w:rPr>
          <w:bCs/>
          <w:color w:val="000000"/>
          <w:szCs w:val="19"/>
          <w:lang w:eastAsia="pl-PL"/>
        </w:rPr>
        <w:t xml:space="preserve">przeciętnego poziomu wydatków gospodarstw domowych w kraju </w:t>
      </w:r>
      <w:r w:rsidR="00054874">
        <w:rPr>
          <w:bCs/>
          <w:color w:val="000000"/>
          <w:szCs w:val="19"/>
          <w:lang w:eastAsia="pl-PL"/>
        </w:rPr>
        <w:br/>
      </w:r>
      <w:r w:rsidRPr="003B3F1E">
        <w:rPr>
          <w:bCs/>
          <w:color w:val="000000"/>
          <w:szCs w:val="19"/>
          <w:lang w:eastAsia="pl-PL"/>
        </w:rPr>
        <w:t>i odpowiada 50% tych wydatków.</w:t>
      </w:r>
    </w:p>
    <w:p w14:paraId="4FFCD96D" w14:textId="2FFE4390" w:rsidR="00C1559E" w:rsidRDefault="002E5059" w:rsidP="00153093">
      <w:pPr>
        <w:keepNext/>
        <w:keepLines/>
        <w:shd w:val="clear" w:color="auto" w:fill="FFFFFF" w:themeFill="background1"/>
        <w:spacing w:before="240" w:after="0" w:line="259" w:lineRule="auto"/>
        <w:ind w:left="851" w:hanging="851"/>
        <w:rPr>
          <w:b/>
          <w:bCs/>
          <w:color w:val="000000"/>
          <w:sz w:val="18"/>
          <w:szCs w:val="18"/>
          <w:lang w:eastAsia="pl-PL"/>
        </w:rPr>
      </w:pPr>
      <w:r w:rsidRPr="00964346">
        <w:rPr>
          <w:noProof/>
          <w:color w:val="001D77"/>
          <w:szCs w:val="19"/>
          <w:lang w:eastAsia="pl-PL"/>
        </w:rPr>
        <w:lastRenderedPageBreak/>
        <mc:AlternateContent>
          <mc:Choice Requires="wps">
            <w:drawing>
              <wp:anchor distT="45720" distB="45720" distL="114300" distR="114300" simplePos="0" relativeHeight="251876352" behindDoc="0" locked="0" layoutInCell="1" allowOverlap="1" wp14:anchorId="0A99C6B3" wp14:editId="1E19E4BE">
                <wp:simplePos x="0" y="0"/>
                <wp:positionH relativeFrom="rightMargin">
                  <wp:posOffset>145995</wp:posOffset>
                </wp:positionH>
                <wp:positionV relativeFrom="paragraph">
                  <wp:posOffset>311994</wp:posOffset>
                </wp:positionV>
                <wp:extent cx="1828800" cy="2695575"/>
                <wp:effectExtent l="0" t="0" r="0" b="0"/>
                <wp:wrapNone/>
                <wp:docPr id="2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695575"/>
                        </a:xfrm>
                        <a:prstGeom prst="rect">
                          <a:avLst/>
                        </a:prstGeom>
                        <a:noFill/>
                        <a:ln w="9525">
                          <a:noFill/>
                          <a:miter lim="800000"/>
                          <a:headEnd/>
                          <a:tailEnd/>
                        </a:ln>
                      </wps:spPr>
                      <wps:txbx>
                        <w:txbxContent>
                          <w:p w14:paraId="4490F856" w14:textId="7544B1AA" w:rsidR="00837C4C" w:rsidRPr="00E82F58" w:rsidRDefault="0093439A" w:rsidP="00FA3268">
                            <w:pPr>
                              <w:suppressAutoHyphens/>
                              <w:rPr>
                                <w:color w:val="001D77"/>
                                <w:sz w:val="18"/>
                              </w:rPr>
                            </w:pPr>
                            <w:r w:rsidRPr="0093439A">
                              <w:rPr>
                                <w:color w:val="001D77"/>
                                <w:sz w:val="18"/>
                              </w:rPr>
                              <w:t xml:space="preserve">W 2025 r., po trzech latach obowiązywania niezmienionych kryteriów, podwyższono progi dochodowe uprawniające do ubiegania się o świadczenia z pomocy społecznej. Znalazło to odzwierciedlenie w wyraźnie wyższej oszacowanej wartości wskaźnika </w:t>
                            </w:r>
                            <w:r w:rsidR="00043153">
                              <w:rPr>
                                <w:color w:val="001D77"/>
                                <w:sz w:val="18"/>
                              </w:rPr>
                              <w:t>zasięgu zagrożenia</w:t>
                            </w:r>
                            <w:r w:rsidR="00043153" w:rsidRPr="0093439A">
                              <w:rPr>
                                <w:color w:val="001D77"/>
                                <w:sz w:val="18"/>
                              </w:rPr>
                              <w:t xml:space="preserve"> </w:t>
                            </w:r>
                            <w:r w:rsidRPr="0093439A">
                              <w:rPr>
                                <w:color w:val="001D77"/>
                                <w:sz w:val="18"/>
                              </w:rPr>
                              <w:t>ubóstw</w:t>
                            </w:r>
                            <w:r w:rsidR="00043153">
                              <w:rPr>
                                <w:color w:val="001D77"/>
                                <w:sz w:val="18"/>
                              </w:rPr>
                              <w:t>em</w:t>
                            </w:r>
                            <w:r w:rsidRPr="0093439A">
                              <w:rPr>
                                <w:color w:val="001D77"/>
                                <w:sz w:val="18"/>
                              </w:rPr>
                              <w:t xml:space="preserve"> ustawow</w:t>
                            </w:r>
                            <w:r w:rsidR="00043153">
                              <w:rPr>
                                <w:color w:val="001D77"/>
                                <w:sz w:val="18"/>
                              </w:rPr>
                              <w:t>ym</w:t>
                            </w:r>
                            <w:r w:rsidRPr="0093439A">
                              <w:rPr>
                                <w:color w:val="001D77"/>
                                <w:sz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99C6B3" id="_x0000_s1031" type="#_x0000_t202" style="position:absolute;left:0;text-align:left;margin-left:11.5pt;margin-top:24.55pt;width:2in;height:212.25pt;z-index:25187635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" filled="f" stroked="f">
                <v:textbox>
                  <w:txbxContent>
                    <w:p w14:paraId="4490F856" w14:textId="7544B1AA" w:rsidR="00837C4C" w:rsidRPr="00E82F58" w:rsidRDefault="0093439A" w:rsidP="00FA3268">
                      <w:pPr>
                        <w:suppressAutoHyphens/>
                        <w:rPr>
                          <w:color w:val="001D77"/>
                          <w:sz w:val="18"/>
                        </w:rPr>
                      </w:pPr>
                      <w:r w:rsidRPr="0093439A">
                        <w:rPr>
                          <w:color w:val="001D77"/>
                          <w:sz w:val="18"/>
                        </w:rPr>
                        <w:t xml:space="preserve">W 2025 r., po trzech latach obowiązywania niezmienionych kryteriów, podwyższono progi dochodowe uprawniające do ubiegania się o świadczenia z pomocy społecznej. Znalazło to odzwierciedlenie w wyraźnie wyższej oszacowanej wartości wskaźnika </w:t>
                      </w:r>
                      <w:r w:rsidR="00043153">
                        <w:rPr>
                          <w:color w:val="001D77"/>
                          <w:sz w:val="18"/>
                        </w:rPr>
                        <w:t>zasięgu zagrożenia</w:t>
                      </w:r>
                      <w:r w:rsidR="00043153" w:rsidRPr="0093439A">
                        <w:rPr>
                          <w:color w:val="001D77"/>
                          <w:sz w:val="18"/>
                        </w:rPr>
                        <w:t xml:space="preserve"> </w:t>
                      </w:r>
                      <w:r w:rsidRPr="0093439A">
                        <w:rPr>
                          <w:color w:val="001D77"/>
                          <w:sz w:val="18"/>
                        </w:rPr>
                        <w:t>ubóstw</w:t>
                      </w:r>
                      <w:r w:rsidR="00043153">
                        <w:rPr>
                          <w:color w:val="001D77"/>
                          <w:sz w:val="18"/>
                        </w:rPr>
                        <w:t>em</w:t>
                      </w:r>
                      <w:r w:rsidRPr="0093439A">
                        <w:rPr>
                          <w:color w:val="001D77"/>
                          <w:sz w:val="18"/>
                        </w:rPr>
                        <w:t xml:space="preserve"> ustawow</w:t>
                      </w:r>
                      <w:r w:rsidR="00043153">
                        <w:rPr>
                          <w:color w:val="001D77"/>
                          <w:sz w:val="18"/>
                        </w:rPr>
                        <w:t>ym</w:t>
                      </w:r>
                      <w:r w:rsidRPr="0093439A">
                        <w:rPr>
                          <w:color w:val="001D77"/>
                          <w:sz w:val="18"/>
                        </w:rPr>
                        <w:t>.</w:t>
                      </w:r>
                    </w:p>
                  </w:txbxContent>
                </v:textbox>
                <w10:wrap anchorx="margin"/>
              </v:shape>
            </w:pict>
          </mc:Fallback>
        </mc:AlternateContent>
      </w:r>
      <w:r w:rsidR="00C1559E" w:rsidRPr="00964346">
        <w:rPr>
          <w:b/>
          <w:bCs/>
          <w:color w:val="000000"/>
          <w:sz w:val="18"/>
          <w:szCs w:val="18"/>
          <w:lang w:eastAsia="pl-PL"/>
        </w:rPr>
        <w:t xml:space="preserve">Wykres </w:t>
      </w:r>
      <w:r w:rsidR="007209BD" w:rsidRPr="00964346">
        <w:rPr>
          <w:b/>
          <w:bCs/>
          <w:color w:val="000000"/>
          <w:sz w:val="18"/>
          <w:szCs w:val="18"/>
          <w:lang w:eastAsia="pl-PL"/>
        </w:rPr>
        <w:t>2</w:t>
      </w:r>
      <w:r w:rsidR="00C1559E" w:rsidRPr="00964346">
        <w:rPr>
          <w:b/>
          <w:bCs/>
          <w:color w:val="000000"/>
          <w:sz w:val="18"/>
          <w:szCs w:val="18"/>
          <w:lang w:eastAsia="pl-PL"/>
        </w:rPr>
        <w:t>. Granice</w:t>
      </w:r>
      <w:r w:rsidR="00E2370A" w:rsidRPr="00964346">
        <w:rPr>
          <w:b/>
          <w:bCs/>
          <w:color w:val="000000"/>
          <w:sz w:val="18"/>
          <w:szCs w:val="18"/>
          <w:lang w:eastAsia="pl-PL"/>
        </w:rPr>
        <w:t xml:space="preserve"> (progi)</w:t>
      </w:r>
      <w:r w:rsidR="00C1559E" w:rsidRPr="00964346">
        <w:rPr>
          <w:b/>
          <w:bCs/>
          <w:color w:val="000000"/>
          <w:sz w:val="18"/>
          <w:szCs w:val="18"/>
          <w:lang w:eastAsia="pl-PL"/>
        </w:rPr>
        <w:t xml:space="preserve"> </w:t>
      </w:r>
      <w:r w:rsidR="000B1AD5" w:rsidRPr="00964346">
        <w:rPr>
          <w:b/>
          <w:bCs/>
          <w:color w:val="000000"/>
          <w:sz w:val="18"/>
          <w:szCs w:val="18"/>
          <w:lang w:eastAsia="pl-PL"/>
        </w:rPr>
        <w:t xml:space="preserve">zagrożenia </w:t>
      </w:r>
      <w:proofErr w:type="spellStart"/>
      <w:r w:rsidR="00C1559E" w:rsidRPr="00964346">
        <w:rPr>
          <w:b/>
          <w:bCs/>
          <w:color w:val="000000"/>
          <w:sz w:val="18"/>
          <w:szCs w:val="18"/>
          <w:lang w:eastAsia="pl-PL"/>
        </w:rPr>
        <w:t>ubóstw</w:t>
      </w:r>
      <w:r w:rsidR="000B1AD5" w:rsidRPr="00964346">
        <w:rPr>
          <w:b/>
          <w:bCs/>
          <w:color w:val="000000"/>
          <w:sz w:val="18"/>
          <w:szCs w:val="18"/>
          <w:lang w:eastAsia="pl-PL"/>
        </w:rPr>
        <w:t>em</w:t>
      </w:r>
      <w:r w:rsidR="00C1559E" w:rsidRPr="00964346">
        <w:rPr>
          <w:b/>
          <w:bCs/>
          <w:color w:val="000000"/>
          <w:sz w:val="18"/>
          <w:szCs w:val="18"/>
          <w:vertAlign w:val="superscript"/>
          <w:lang w:eastAsia="pl-PL"/>
        </w:rPr>
        <w:t>a</w:t>
      </w:r>
      <w:proofErr w:type="spellEnd"/>
      <w:r w:rsidR="00C1559E" w:rsidRPr="00964346">
        <w:rPr>
          <w:b/>
          <w:bCs/>
          <w:color w:val="000000"/>
          <w:sz w:val="18"/>
          <w:szCs w:val="18"/>
          <w:lang w:eastAsia="pl-PL"/>
        </w:rPr>
        <w:t xml:space="preserve"> dla gospodarstw 1</w:t>
      </w:r>
      <w:r w:rsidR="00C93B3B" w:rsidRPr="00964346">
        <w:rPr>
          <w:b/>
          <w:bCs/>
          <w:color w:val="000000"/>
          <w:sz w:val="18"/>
          <w:szCs w:val="18"/>
          <w:lang w:eastAsia="pl-PL"/>
        </w:rPr>
        <w:t>-</w:t>
      </w:r>
      <w:r w:rsidR="00C1559E" w:rsidRPr="00964346">
        <w:rPr>
          <w:b/>
          <w:bCs/>
          <w:color w:val="000000"/>
          <w:sz w:val="18"/>
          <w:szCs w:val="18"/>
          <w:lang w:eastAsia="pl-PL"/>
        </w:rPr>
        <w:t xml:space="preserve">osobowych w latach </w:t>
      </w:r>
      <w:r w:rsidR="002B44AC">
        <w:rPr>
          <w:b/>
          <w:bCs/>
          <w:color w:val="000000"/>
          <w:sz w:val="18"/>
          <w:szCs w:val="18"/>
          <w:lang w:eastAsia="pl-PL"/>
        </w:rPr>
        <w:br/>
      </w:r>
      <w:r w:rsidR="00C1559E" w:rsidRPr="00964346">
        <w:rPr>
          <w:b/>
          <w:bCs/>
          <w:color w:val="000000"/>
          <w:sz w:val="18"/>
          <w:szCs w:val="18"/>
          <w:lang w:eastAsia="pl-PL"/>
        </w:rPr>
        <w:t>20</w:t>
      </w:r>
      <w:r w:rsidR="00A75F7C" w:rsidRPr="00964346">
        <w:rPr>
          <w:b/>
          <w:bCs/>
          <w:sz w:val="18"/>
          <w:szCs w:val="18"/>
          <w:lang w:eastAsia="pl-PL"/>
        </w:rPr>
        <w:t>10</w:t>
      </w:r>
      <w:r w:rsidR="00AE5E6B" w:rsidRPr="00964346">
        <w:rPr>
          <w:b/>
          <w:bCs/>
          <w:color w:val="000000"/>
          <w:sz w:val="18"/>
          <w:szCs w:val="18"/>
          <w:lang w:eastAsia="pl-PL"/>
        </w:rPr>
        <w:t>–</w:t>
      </w:r>
      <w:r w:rsidR="00495978" w:rsidRPr="00964346">
        <w:rPr>
          <w:b/>
          <w:bCs/>
          <w:color w:val="000000"/>
          <w:sz w:val="18"/>
          <w:szCs w:val="18"/>
          <w:lang w:eastAsia="pl-PL"/>
        </w:rPr>
        <w:t>202</w:t>
      </w:r>
      <w:r w:rsidR="00F77AC0">
        <w:rPr>
          <w:b/>
          <w:bCs/>
          <w:color w:val="000000"/>
          <w:sz w:val="18"/>
          <w:szCs w:val="18"/>
          <w:lang w:eastAsia="pl-PL"/>
        </w:rPr>
        <w:t>5</w:t>
      </w:r>
    </w:p>
    <w:p w14:paraId="4B337465" w14:textId="7CFA78EE" w:rsidR="00E40C2E" w:rsidRPr="00964346" w:rsidRDefault="00E40C2E" w:rsidP="00153093">
      <w:pPr>
        <w:keepNext/>
        <w:keepLines/>
        <w:shd w:val="clear" w:color="auto" w:fill="FFFFFF" w:themeFill="background1"/>
        <w:spacing w:before="240" w:after="0" w:line="259" w:lineRule="auto"/>
        <w:ind w:left="851" w:hanging="851"/>
        <w:rPr>
          <w:rFonts w:eastAsia="Times New Roman" w:cs="Times New Roman"/>
          <w:bCs/>
          <w:szCs w:val="24"/>
          <w:shd w:val="clear" w:color="auto" w:fill="FFFFFF"/>
          <w:lang w:eastAsia="pl-PL"/>
        </w:rPr>
      </w:pPr>
      <w:r w:rsidRPr="008D21B2">
        <w:rPr>
          <w:noProof/>
          <w:sz w:val="16"/>
          <w:szCs w:val="16"/>
          <w:lang w:eastAsia="pl-PL"/>
        </w:rPr>
        <w:drawing>
          <wp:inline distT="0" distB="0" distL="0" distR="0" wp14:anchorId="734FED9D" wp14:editId="396C566E">
            <wp:extent cx="5122545" cy="2887980"/>
            <wp:effectExtent l="0" t="0" r="1905" b="7620"/>
            <wp:docPr id="21" name="Wykres 2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C447927" w14:textId="77777777" w:rsidR="00F2356A" w:rsidRPr="00964346" w:rsidRDefault="00C1559E" w:rsidP="00153093">
      <w:pPr>
        <w:keepNext/>
        <w:keepLines/>
        <w:shd w:val="clear" w:color="auto" w:fill="FFFFFF" w:themeFill="background1"/>
        <w:spacing w:before="0" w:line="240" w:lineRule="auto"/>
        <w:rPr>
          <w:rFonts w:eastAsia="Calibri" w:cs="Arial"/>
          <w:sz w:val="16"/>
          <w:szCs w:val="16"/>
          <w:lang w:eastAsia="pl-PL"/>
        </w:rPr>
      </w:pPr>
      <w:r w:rsidRPr="00964346">
        <w:rPr>
          <w:rFonts w:eastAsia="Calibri" w:cs="Arial"/>
          <w:i/>
          <w:sz w:val="16"/>
          <w:szCs w:val="16"/>
          <w:vertAlign w:val="superscript"/>
          <w:lang w:eastAsia="pl-PL"/>
        </w:rPr>
        <w:t>a</w:t>
      </w:r>
      <w:r w:rsidRPr="00964346">
        <w:rPr>
          <w:rFonts w:eastAsia="Calibri" w:cs="Times New Roman"/>
          <w:i/>
          <w:sz w:val="16"/>
          <w:szCs w:val="16"/>
          <w:lang w:eastAsia="pl-PL"/>
        </w:rPr>
        <w:t xml:space="preserve"> </w:t>
      </w:r>
      <w:r w:rsidR="002D606E" w:rsidRPr="00964346">
        <w:rPr>
          <w:rFonts w:eastAsia="Calibri" w:cs="Arial"/>
          <w:sz w:val="16"/>
          <w:szCs w:val="16"/>
          <w:lang w:eastAsia="pl-PL"/>
        </w:rPr>
        <w:t>Średnio w miesiącu w IV kwartale.</w:t>
      </w:r>
    </w:p>
    <w:p w14:paraId="25052357" w14:textId="01ED216E" w:rsidR="003B3F1E" w:rsidRPr="003B3F1E" w:rsidRDefault="003B3F1E" w:rsidP="00F947BB">
      <w:pPr>
        <w:keepLines/>
        <w:shd w:val="clear" w:color="auto" w:fill="FFFFFF" w:themeFill="background1"/>
        <w:spacing w:before="240"/>
        <w:rPr>
          <w:bCs/>
          <w:color w:val="000000"/>
          <w:szCs w:val="19"/>
          <w:lang w:eastAsia="pl-PL"/>
        </w:rPr>
      </w:pPr>
      <w:r w:rsidRPr="003B3F1E">
        <w:rPr>
          <w:bCs/>
          <w:color w:val="000000"/>
          <w:szCs w:val="19"/>
          <w:lang w:eastAsia="pl-PL"/>
        </w:rPr>
        <w:t>Odmienny charakter ma granica zagrożenia ubóstwem ustawowym. Jej wysokość wynika z decyzji dotyczących progów dochodowych uprawniających do ubiegania się o świadczenia pieniężne z pomocy społecznej. Progi te są zmieniane okresowo, w kilkuletnich odstępach. Do końca września 2012 r. obowiązywały progi ustalone jeszcze w 2006 r. Następnie takie same granice obowiązywały w okresach: od października 2012 r. do września 2015 r., od października 2015 r. do września 2018 r. oraz od października 2018 r. do grudnia 2021 r. W latach 2022–2024 stosowano progi ustalone od 1 stycznia 2022 r.</w:t>
      </w:r>
    </w:p>
    <w:p w14:paraId="59E88EE1" w14:textId="01010EF9" w:rsidR="000F5023" w:rsidRPr="00964346" w:rsidRDefault="003B3F1E" w:rsidP="00F947BB">
      <w:pPr>
        <w:keepLines/>
        <w:shd w:val="clear" w:color="auto" w:fill="FFFFFF" w:themeFill="background1"/>
        <w:spacing w:before="240"/>
        <w:rPr>
          <w:bCs/>
          <w:color w:val="000000"/>
          <w:szCs w:val="19"/>
          <w:lang w:eastAsia="pl-PL"/>
        </w:rPr>
      </w:pPr>
      <w:r w:rsidRPr="003B3F1E">
        <w:rPr>
          <w:bCs/>
          <w:color w:val="000000"/>
          <w:szCs w:val="19"/>
          <w:lang w:eastAsia="pl-PL"/>
        </w:rPr>
        <w:t xml:space="preserve">W 2025 r. progi dochodowe zostały ponownie zwaloryzowane, przy czym skala tej waloryzacji była większa niż przy wcześniejszych zmianach progów. Miało to bezpośrednie przełożenie na </w:t>
      </w:r>
      <w:r w:rsidR="004F0AE0">
        <w:rPr>
          <w:bCs/>
          <w:color w:val="000000"/>
          <w:szCs w:val="19"/>
          <w:lang w:eastAsia="pl-PL"/>
        </w:rPr>
        <w:t>skokowo</w:t>
      </w:r>
      <w:r w:rsidRPr="003B3F1E">
        <w:rPr>
          <w:bCs/>
          <w:color w:val="000000"/>
          <w:szCs w:val="19"/>
          <w:lang w:eastAsia="pl-PL"/>
        </w:rPr>
        <w:t xml:space="preserve"> wyższą oszacowaną wartość wskaźnika zagrożenia ubóstwem ustawowym. Z tego względu zmiany tego wskaźnika należy interpretować przede wszystkim w kontekście zmian parametrów systemu pomocy społecznej, a nie wyłącznie jako obraz zmian sytuacji materialnej gospodarstw domowych.</w:t>
      </w:r>
    </w:p>
    <w:p w14:paraId="49BE330B" w14:textId="57DE8DA7" w:rsidR="00F2356A" w:rsidRPr="00964346" w:rsidRDefault="00C1559E" w:rsidP="00153093">
      <w:pPr>
        <w:keepNext/>
        <w:keepLines/>
        <w:shd w:val="clear" w:color="auto" w:fill="FFFFFF" w:themeFill="background1"/>
        <w:spacing w:before="240" w:after="0" w:line="259" w:lineRule="auto"/>
        <w:ind w:left="851" w:hanging="851"/>
        <w:rPr>
          <w:b/>
          <w:bCs/>
          <w:color w:val="000000"/>
          <w:sz w:val="18"/>
          <w:szCs w:val="18"/>
          <w:lang w:eastAsia="pl-PL"/>
        </w:rPr>
      </w:pPr>
      <w:r w:rsidRPr="00964346">
        <w:rPr>
          <w:b/>
          <w:bCs/>
          <w:color w:val="000000"/>
          <w:sz w:val="18"/>
          <w:szCs w:val="18"/>
          <w:lang w:eastAsia="pl-PL"/>
        </w:rPr>
        <w:lastRenderedPageBreak/>
        <w:t xml:space="preserve">Wykres </w:t>
      </w:r>
      <w:r w:rsidR="007209BD" w:rsidRPr="00964346">
        <w:rPr>
          <w:b/>
          <w:bCs/>
          <w:color w:val="000000"/>
          <w:sz w:val="18"/>
          <w:szCs w:val="18"/>
          <w:lang w:eastAsia="pl-PL"/>
        </w:rPr>
        <w:t>3</w:t>
      </w:r>
      <w:r w:rsidRPr="00964346">
        <w:rPr>
          <w:b/>
          <w:bCs/>
          <w:color w:val="000000"/>
          <w:sz w:val="18"/>
          <w:szCs w:val="18"/>
          <w:lang w:eastAsia="pl-PL"/>
        </w:rPr>
        <w:t xml:space="preserve">. Granice </w:t>
      </w:r>
      <w:r w:rsidR="00E2370A" w:rsidRPr="00964346">
        <w:rPr>
          <w:b/>
          <w:bCs/>
          <w:color w:val="000000"/>
          <w:sz w:val="18"/>
          <w:szCs w:val="18"/>
          <w:lang w:eastAsia="pl-PL"/>
        </w:rPr>
        <w:t xml:space="preserve">(progi) </w:t>
      </w:r>
      <w:r w:rsidR="000B1AD5" w:rsidRPr="00964346">
        <w:rPr>
          <w:b/>
          <w:bCs/>
          <w:color w:val="000000"/>
          <w:sz w:val="18"/>
          <w:szCs w:val="18"/>
          <w:lang w:eastAsia="pl-PL"/>
        </w:rPr>
        <w:t xml:space="preserve">zagrożenia </w:t>
      </w:r>
      <w:proofErr w:type="spellStart"/>
      <w:r w:rsidRPr="00964346">
        <w:rPr>
          <w:b/>
          <w:bCs/>
          <w:color w:val="000000"/>
          <w:sz w:val="18"/>
          <w:szCs w:val="18"/>
          <w:lang w:eastAsia="pl-PL"/>
        </w:rPr>
        <w:t>ubóstw</w:t>
      </w:r>
      <w:r w:rsidR="000B1AD5" w:rsidRPr="00964346">
        <w:rPr>
          <w:b/>
          <w:bCs/>
          <w:color w:val="000000"/>
          <w:sz w:val="18"/>
          <w:szCs w:val="18"/>
          <w:lang w:eastAsia="pl-PL"/>
        </w:rPr>
        <w:t>em</w:t>
      </w:r>
      <w:r w:rsidRPr="00964346">
        <w:rPr>
          <w:b/>
          <w:bCs/>
          <w:color w:val="000000"/>
          <w:sz w:val="18"/>
          <w:szCs w:val="18"/>
          <w:vertAlign w:val="superscript"/>
          <w:lang w:eastAsia="pl-PL"/>
        </w:rPr>
        <w:t>a</w:t>
      </w:r>
      <w:proofErr w:type="spellEnd"/>
      <w:r w:rsidRPr="00964346">
        <w:rPr>
          <w:b/>
          <w:bCs/>
          <w:color w:val="000000"/>
          <w:sz w:val="18"/>
          <w:szCs w:val="18"/>
          <w:lang w:eastAsia="pl-PL"/>
        </w:rPr>
        <w:t xml:space="preserve"> dla gospodarstw </w:t>
      </w:r>
      <w:r w:rsidRPr="00964346">
        <w:rPr>
          <w:b/>
          <w:bCs/>
          <w:color w:val="000000"/>
          <w:sz w:val="18"/>
          <w:szCs w:val="18"/>
        </w:rPr>
        <w:t>4</w:t>
      </w:r>
      <w:r w:rsidR="00C93B3B" w:rsidRPr="00964346">
        <w:rPr>
          <w:b/>
          <w:bCs/>
          <w:color w:val="000000"/>
          <w:sz w:val="18"/>
          <w:szCs w:val="18"/>
        </w:rPr>
        <w:t>-</w:t>
      </w:r>
      <w:r w:rsidRPr="00964346">
        <w:rPr>
          <w:b/>
          <w:bCs/>
          <w:color w:val="000000"/>
          <w:sz w:val="18"/>
          <w:szCs w:val="18"/>
        </w:rPr>
        <w:t xml:space="preserve">osobowych </w:t>
      </w:r>
      <w:r w:rsidRPr="00964346">
        <w:rPr>
          <w:b/>
          <w:bCs/>
          <w:color w:val="000000"/>
          <w:sz w:val="18"/>
          <w:szCs w:val="18"/>
          <w:lang w:eastAsia="pl-PL"/>
        </w:rPr>
        <w:t>(2 osoby dorosłe + 2 dzieci do lat 14) w</w:t>
      </w:r>
      <w:r w:rsidR="00BD7BDE" w:rsidRPr="00964346">
        <w:rPr>
          <w:b/>
          <w:bCs/>
          <w:color w:val="000000"/>
          <w:sz w:val="18"/>
          <w:szCs w:val="18"/>
          <w:lang w:eastAsia="pl-PL"/>
        </w:rPr>
        <w:t> </w:t>
      </w:r>
      <w:r w:rsidRPr="00964346">
        <w:rPr>
          <w:b/>
          <w:bCs/>
          <w:color w:val="000000"/>
          <w:sz w:val="18"/>
          <w:szCs w:val="18"/>
          <w:lang w:eastAsia="pl-PL"/>
        </w:rPr>
        <w:t>latach 20</w:t>
      </w:r>
      <w:r w:rsidR="00A75F7C" w:rsidRPr="00964346">
        <w:rPr>
          <w:b/>
          <w:bCs/>
          <w:sz w:val="18"/>
          <w:szCs w:val="18"/>
          <w:lang w:eastAsia="pl-PL"/>
        </w:rPr>
        <w:t>10</w:t>
      </w:r>
      <w:r w:rsidR="00AE5E6B" w:rsidRPr="00964346">
        <w:rPr>
          <w:b/>
          <w:bCs/>
          <w:color w:val="000000"/>
          <w:sz w:val="18"/>
          <w:szCs w:val="18"/>
          <w:lang w:eastAsia="pl-PL"/>
        </w:rPr>
        <w:t>–</w:t>
      </w:r>
      <w:r w:rsidR="009037AB" w:rsidRPr="00964346">
        <w:rPr>
          <w:b/>
          <w:bCs/>
          <w:color w:val="000000"/>
          <w:sz w:val="18"/>
          <w:szCs w:val="18"/>
          <w:lang w:eastAsia="pl-PL"/>
        </w:rPr>
        <w:t>202</w:t>
      </w:r>
      <w:r w:rsidR="00F77AC0">
        <w:rPr>
          <w:b/>
          <w:bCs/>
          <w:color w:val="000000"/>
          <w:sz w:val="18"/>
          <w:szCs w:val="18"/>
          <w:lang w:eastAsia="pl-PL"/>
        </w:rPr>
        <w:t>5</w:t>
      </w:r>
    </w:p>
    <w:p w14:paraId="20B8F6A7" w14:textId="1996BCE8" w:rsidR="00F2356A" w:rsidRPr="00964346" w:rsidRDefault="00E40C2E" w:rsidP="00153093">
      <w:pPr>
        <w:keepNext/>
        <w:keepLines/>
        <w:shd w:val="clear" w:color="auto" w:fill="FFFFFF" w:themeFill="background1"/>
        <w:spacing w:before="240" w:after="0" w:line="259" w:lineRule="auto"/>
        <w:rPr>
          <w:b/>
          <w:bCs/>
          <w:color w:val="000000"/>
          <w:sz w:val="18"/>
          <w:szCs w:val="18"/>
          <w:lang w:eastAsia="pl-PL"/>
        </w:rPr>
      </w:pPr>
      <w:r w:rsidRPr="00D53621">
        <w:rPr>
          <w:noProof/>
          <w:sz w:val="16"/>
          <w:szCs w:val="16"/>
          <w:lang w:eastAsia="pl-PL"/>
        </w:rPr>
        <w:drawing>
          <wp:inline distT="0" distB="0" distL="0" distR="0" wp14:anchorId="46D9CDF2" wp14:editId="6D08B4B0">
            <wp:extent cx="4902200" cy="2971800"/>
            <wp:effectExtent l="0" t="0" r="0" b="0"/>
            <wp:docPr id="25" name="Wykres 25">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2DB2D58" w14:textId="77777777" w:rsidR="0051054F" w:rsidRPr="00964346" w:rsidRDefault="00C1559E" w:rsidP="00153093">
      <w:pPr>
        <w:keepNext/>
        <w:keepLines/>
        <w:shd w:val="clear" w:color="auto" w:fill="FFFFFF" w:themeFill="background1"/>
        <w:spacing w:before="0" w:line="240" w:lineRule="auto"/>
        <w:rPr>
          <w:noProof/>
          <w:sz w:val="18"/>
          <w:szCs w:val="18"/>
          <w:lang w:eastAsia="pl-PL"/>
        </w:rPr>
      </w:pPr>
      <w:r w:rsidRPr="00964346">
        <w:rPr>
          <w:rFonts w:eastAsia="Calibri" w:cs="Arial"/>
          <w:i/>
          <w:sz w:val="16"/>
          <w:szCs w:val="16"/>
          <w:vertAlign w:val="superscript"/>
          <w:lang w:eastAsia="pl-PL"/>
        </w:rPr>
        <w:t>a</w:t>
      </w:r>
      <w:r w:rsidRPr="00964346">
        <w:rPr>
          <w:rFonts w:eastAsia="Calibri" w:cs="Times New Roman"/>
          <w:i/>
          <w:sz w:val="16"/>
          <w:szCs w:val="16"/>
          <w:lang w:eastAsia="pl-PL"/>
        </w:rPr>
        <w:t xml:space="preserve"> </w:t>
      </w:r>
      <w:r w:rsidR="002D606E" w:rsidRPr="00964346">
        <w:rPr>
          <w:rFonts w:eastAsia="Calibri" w:cs="Arial"/>
          <w:sz w:val="16"/>
          <w:szCs w:val="16"/>
          <w:lang w:eastAsia="pl-PL"/>
        </w:rPr>
        <w:t>Średnio w miesiącu w IV kwartale.</w:t>
      </w:r>
    </w:p>
    <w:p w14:paraId="5D679083" w14:textId="232412CF" w:rsidR="00F455AD" w:rsidRPr="00964346" w:rsidRDefault="00E84672" w:rsidP="00964346">
      <w:pPr>
        <w:shd w:val="clear" w:color="auto" w:fill="FFFFFF" w:themeFill="background1"/>
        <w:spacing w:before="240" w:line="259" w:lineRule="auto"/>
      </w:pPr>
      <w:r w:rsidRPr="00964346">
        <w:rPr>
          <w:rFonts w:ascii="Fira Sans SemiBold" w:eastAsia="Times New Roman" w:hAnsi="Fira Sans SemiBold" w:cs="Times New Roman"/>
          <w:b/>
          <w:bCs/>
          <w:color w:val="001D77"/>
          <w:szCs w:val="24"/>
          <w:shd w:val="clear" w:color="auto" w:fill="FFFFFF"/>
          <w:lang w:eastAsia="pl-PL"/>
        </w:rPr>
        <w:t xml:space="preserve">Zróżnicowanie zasięgu </w:t>
      </w:r>
      <w:r w:rsidR="000B1AD5" w:rsidRPr="00964346">
        <w:rPr>
          <w:rFonts w:ascii="Fira Sans SemiBold" w:eastAsia="Times New Roman" w:hAnsi="Fira Sans SemiBold" w:cs="Times New Roman"/>
          <w:b/>
          <w:bCs/>
          <w:color w:val="001D77"/>
          <w:szCs w:val="24"/>
          <w:shd w:val="clear" w:color="auto" w:fill="FFFFFF"/>
          <w:lang w:eastAsia="pl-PL"/>
        </w:rPr>
        <w:t xml:space="preserve">zagrożenia </w:t>
      </w:r>
      <w:r w:rsidRPr="00964346">
        <w:rPr>
          <w:rFonts w:ascii="Fira Sans SemiBold" w:eastAsia="Times New Roman" w:hAnsi="Fira Sans SemiBold" w:cs="Times New Roman"/>
          <w:b/>
          <w:bCs/>
          <w:color w:val="001D77"/>
          <w:szCs w:val="24"/>
          <w:shd w:val="clear" w:color="auto" w:fill="FFFFFF"/>
          <w:lang w:eastAsia="pl-PL"/>
        </w:rPr>
        <w:t>ubóstw</w:t>
      </w:r>
      <w:r w:rsidR="000B1AD5" w:rsidRPr="00964346">
        <w:rPr>
          <w:rFonts w:ascii="Fira Sans SemiBold" w:eastAsia="Times New Roman" w:hAnsi="Fira Sans SemiBold" w:cs="Times New Roman"/>
          <w:b/>
          <w:bCs/>
          <w:color w:val="001D77"/>
          <w:szCs w:val="24"/>
          <w:shd w:val="clear" w:color="auto" w:fill="FFFFFF"/>
          <w:lang w:eastAsia="pl-PL"/>
        </w:rPr>
        <w:t>em</w:t>
      </w:r>
      <w:r w:rsidRPr="00964346">
        <w:rPr>
          <w:rFonts w:ascii="Fira Sans SemiBold" w:eastAsia="Times New Roman" w:hAnsi="Fira Sans SemiBold" w:cs="Times New Roman"/>
          <w:b/>
          <w:bCs/>
          <w:color w:val="001D77"/>
          <w:szCs w:val="24"/>
          <w:shd w:val="clear" w:color="auto" w:fill="FFFFFF"/>
          <w:lang w:eastAsia="pl-PL"/>
        </w:rPr>
        <w:t xml:space="preserve"> skrajn</w:t>
      </w:r>
      <w:r w:rsidR="000B1AD5" w:rsidRPr="00964346">
        <w:rPr>
          <w:rFonts w:ascii="Fira Sans SemiBold" w:eastAsia="Times New Roman" w:hAnsi="Fira Sans SemiBold" w:cs="Times New Roman"/>
          <w:b/>
          <w:bCs/>
          <w:color w:val="001D77"/>
          <w:szCs w:val="24"/>
          <w:shd w:val="clear" w:color="auto" w:fill="FFFFFF"/>
          <w:lang w:eastAsia="pl-PL"/>
        </w:rPr>
        <w:t>ym</w:t>
      </w:r>
      <w:r w:rsidRPr="00964346">
        <w:rPr>
          <w:rFonts w:ascii="Fira Sans SemiBold" w:eastAsia="Times New Roman" w:hAnsi="Fira Sans SemiBold" w:cs="Times New Roman"/>
          <w:b/>
          <w:bCs/>
          <w:color w:val="001D77"/>
          <w:szCs w:val="24"/>
          <w:shd w:val="clear" w:color="auto" w:fill="FFFFFF"/>
          <w:lang w:eastAsia="pl-PL"/>
        </w:rPr>
        <w:t xml:space="preserve"> w 202</w:t>
      </w:r>
      <w:r w:rsidR="004F0AE0">
        <w:rPr>
          <w:rFonts w:ascii="Fira Sans SemiBold" w:eastAsia="Times New Roman" w:hAnsi="Fira Sans SemiBold" w:cs="Times New Roman"/>
          <w:b/>
          <w:bCs/>
          <w:color w:val="001D77"/>
          <w:szCs w:val="24"/>
          <w:shd w:val="clear" w:color="auto" w:fill="FFFFFF"/>
          <w:lang w:eastAsia="pl-PL"/>
        </w:rPr>
        <w:t>5</w:t>
      </w:r>
      <w:r w:rsidRPr="00964346">
        <w:rPr>
          <w:rFonts w:ascii="Fira Sans SemiBold" w:eastAsia="Times New Roman" w:hAnsi="Fira Sans SemiBold" w:cs="Times New Roman"/>
          <w:b/>
          <w:bCs/>
          <w:color w:val="001D77"/>
          <w:szCs w:val="24"/>
          <w:shd w:val="clear" w:color="auto" w:fill="FFFFFF"/>
          <w:lang w:eastAsia="pl-PL"/>
        </w:rPr>
        <w:t xml:space="preserve"> r.</w:t>
      </w:r>
      <w:r w:rsidR="00DB590A" w:rsidRPr="00964346">
        <w:t xml:space="preserve"> </w:t>
      </w:r>
    </w:p>
    <w:p w14:paraId="4718A135" w14:textId="04B66046" w:rsidR="00EA6204" w:rsidRPr="00EA6204" w:rsidRDefault="00EA6204" w:rsidP="00F947BB">
      <w:pPr>
        <w:shd w:val="clear" w:color="auto" w:fill="FFFFFF" w:themeFill="background1"/>
        <w:spacing w:before="240" w:line="259" w:lineRule="auto"/>
        <w:rPr>
          <w:rFonts w:eastAsia="Times New Roman" w:cs="Times New Roman"/>
          <w:bCs/>
          <w:szCs w:val="24"/>
          <w:shd w:val="clear" w:color="auto" w:fill="FFFFFF"/>
          <w:lang w:eastAsia="pl-PL"/>
        </w:rPr>
      </w:pPr>
      <w:r w:rsidRPr="00EA6204">
        <w:rPr>
          <w:rFonts w:eastAsia="Times New Roman" w:cs="Times New Roman"/>
          <w:bCs/>
          <w:szCs w:val="24"/>
          <w:shd w:val="clear" w:color="auto" w:fill="FFFFFF"/>
          <w:lang w:eastAsia="pl-PL"/>
        </w:rPr>
        <w:t xml:space="preserve">W 2025 r., podobnie jak rok wcześniej, oszacowany zasięg zagrożenia ubóstwem skrajnym był zróżnicowany w zależności od grupy społeczno-ekonomicznej gospodarstwa domowego (Wykres 4). Najwyższe wartości wskaźnika </w:t>
      </w:r>
      <w:r w:rsidR="00A26225">
        <w:rPr>
          <w:rFonts w:eastAsia="Times New Roman" w:cs="Times New Roman"/>
          <w:bCs/>
          <w:szCs w:val="24"/>
          <w:shd w:val="clear" w:color="auto" w:fill="FFFFFF"/>
          <w:lang w:eastAsia="pl-PL"/>
        </w:rPr>
        <w:t>oszacowano dla</w:t>
      </w:r>
      <w:r w:rsidRPr="00EA6204">
        <w:rPr>
          <w:rFonts w:eastAsia="Times New Roman" w:cs="Times New Roman"/>
          <w:bCs/>
          <w:szCs w:val="24"/>
          <w:shd w:val="clear" w:color="auto" w:fill="FFFFFF"/>
          <w:lang w:eastAsia="pl-PL"/>
        </w:rPr>
        <w:t xml:space="preserve"> osób z gospodarstw domowych rolników (17,5%), rencistów (12,1%) oraz utrzymujących się głównie z innych niezarobkowych źródeł (12,1%). Wyraźnie niższe wartości dotyczyły</w:t>
      </w:r>
      <w:r w:rsidR="004F0AE0">
        <w:rPr>
          <w:rFonts w:eastAsia="Times New Roman" w:cs="Times New Roman"/>
          <w:bCs/>
          <w:szCs w:val="24"/>
          <w:shd w:val="clear" w:color="auto" w:fill="FFFFFF"/>
          <w:lang w:eastAsia="pl-PL"/>
        </w:rPr>
        <w:t xml:space="preserve"> osób z</w:t>
      </w:r>
      <w:r w:rsidRPr="00EA6204">
        <w:rPr>
          <w:rFonts w:eastAsia="Times New Roman" w:cs="Times New Roman"/>
          <w:bCs/>
          <w:szCs w:val="24"/>
          <w:shd w:val="clear" w:color="auto" w:fill="FFFFFF"/>
          <w:lang w:eastAsia="pl-PL"/>
        </w:rPr>
        <w:t xml:space="preserve"> gospodarstw pracowników (4,4%), emerytów (4,3%) oraz osób pracujących na własny rachunek (4,2%).</w:t>
      </w:r>
    </w:p>
    <w:p w14:paraId="5D1E6738" w14:textId="4D1E7A1D" w:rsidR="002B44AC" w:rsidRDefault="00EA6204" w:rsidP="00F947BB">
      <w:pPr>
        <w:shd w:val="clear" w:color="auto" w:fill="FFFFFF" w:themeFill="background1"/>
        <w:spacing w:before="240" w:line="259" w:lineRule="auto"/>
        <w:rPr>
          <w:rFonts w:eastAsia="Times New Roman" w:cs="Times New Roman"/>
          <w:bCs/>
          <w:szCs w:val="24"/>
          <w:shd w:val="clear" w:color="auto" w:fill="FFFFFF"/>
          <w:lang w:eastAsia="pl-PL"/>
        </w:rPr>
      </w:pPr>
      <w:r w:rsidRPr="00EA6204">
        <w:rPr>
          <w:rFonts w:eastAsia="Times New Roman" w:cs="Times New Roman"/>
          <w:bCs/>
          <w:szCs w:val="24"/>
          <w:shd w:val="clear" w:color="auto" w:fill="FFFFFF"/>
          <w:lang w:eastAsia="pl-PL"/>
        </w:rPr>
        <w:t xml:space="preserve">W porównaniu z </w:t>
      </w:r>
      <w:r w:rsidR="00A26225">
        <w:rPr>
          <w:rFonts w:eastAsia="Times New Roman" w:cs="Times New Roman"/>
          <w:bCs/>
          <w:szCs w:val="24"/>
          <w:shd w:val="clear" w:color="auto" w:fill="FFFFFF"/>
          <w:lang w:eastAsia="pl-PL"/>
        </w:rPr>
        <w:t xml:space="preserve">badaniem z </w:t>
      </w:r>
      <w:r w:rsidRPr="00EA6204">
        <w:rPr>
          <w:rFonts w:eastAsia="Times New Roman" w:cs="Times New Roman"/>
          <w:bCs/>
          <w:szCs w:val="24"/>
          <w:shd w:val="clear" w:color="auto" w:fill="FFFFFF"/>
          <w:lang w:eastAsia="pl-PL"/>
        </w:rPr>
        <w:t xml:space="preserve">2024 r. największe różnice między oszacowaniami dotyczyły gospodarstw rolników, rencistów oraz </w:t>
      </w:r>
      <w:r w:rsidR="00C20304">
        <w:rPr>
          <w:rFonts w:eastAsia="Times New Roman" w:cs="Times New Roman"/>
          <w:bCs/>
          <w:szCs w:val="24"/>
          <w:shd w:val="clear" w:color="auto" w:fill="FFFFFF"/>
          <w:lang w:eastAsia="pl-PL"/>
        </w:rPr>
        <w:t xml:space="preserve">osób </w:t>
      </w:r>
      <w:r w:rsidRPr="00EA6204">
        <w:rPr>
          <w:rFonts w:eastAsia="Times New Roman" w:cs="Times New Roman"/>
          <w:bCs/>
          <w:szCs w:val="24"/>
          <w:shd w:val="clear" w:color="auto" w:fill="FFFFFF"/>
          <w:lang w:eastAsia="pl-PL"/>
        </w:rPr>
        <w:t xml:space="preserve">utrzymujących się z innych niezarobkowych źródeł. W pozostałych grupach wartości wskaźnika były zbliżone do oszacowanych rok wcześniej. Ze względu na </w:t>
      </w:r>
      <w:proofErr w:type="spellStart"/>
      <w:r w:rsidRPr="00EA6204">
        <w:rPr>
          <w:rFonts w:eastAsia="Times New Roman" w:cs="Times New Roman"/>
          <w:bCs/>
          <w:szCs w:val="24"/>
          <w:shd w:val="clear" w:color="auto" w:fill="FFFFFF"/>
          <w:lang w:eastAsia="pl-PL"/>
        </w:rPr>
        <w:t>próbkowy</w:t>
      </w:r>
      <w:proofErr w:type="spellEnd"/>
      <w:r w:rsidRPr="00EA6204">
        <w:rPr>
          <w:rFonts w:eastAsia="Times New Roman" w:cs="Times New Roman"/>
          <w:bCs/>
          <w:szCs w:val="24"/>
          <w:shd w:val="clear" w:color="auto" w:fill="FFFFFF"/>
          <w:lang w:eastAsia="pl-PL"/>
        </w:rPr>
        <w:t xml:space="preserve"> charakter badania, szczególnie duże zmiany </w:t>
      </w:r>
      <w:r w:rsidR="00C20304">
        <w:rPr>
          <w:rFonts w:eastAsia="Times New Roman" w:cs="Times New Roman"/>
          <w:bCs/>
          <w:szCs w:val="24"/>
          <w:shd w:val="clear" w:color="auto" w:fill="FFFFFF"/>
          <w:lang w:eastAsia="pl-PL"/>
        </w:rPr>
        <w:t xml:space="preserve">wartości </w:t>
      </w:r>
      <w:r w:rsidRPr="00EA6204">
        <w:rPr>
          <w:rFonts w:eastAsia="Times New Roman" w:cs="Times New Roman"/>
          <w:bCs/>
          <w:szCs w:val="24"/>
          <w:shd w:val="clear" w:color="auto" w:fill="FFFFFF"/>
          <w:lang w:eastAsia="pl-PL"/>
        </w:rPr>
        <w:t>w przekrojach należy jednak interpretować ostrożnie</w:t>
      </w:r>
      <w:r w:rsidR="00A26225">
        <w:rPr>
          <w:rFonts w:eastAsia="Times New Roman" w:cs="Times New Roman"/>
          <w:bCs/>
          <w:szCs w:val="24"/>
          <w:shd w:val="clear" w:color="auto" w:fill="FFFFFF"/>
          <w:lang w:eastAsia="pl-PL"/>
        </w:rPr>
        <w:t>.</w:t>
      </w:r>
    </w:p>
    <w:p w14:paraId="726AC1FB" w14:textId="18054641" w:rsidR="00F92310" w:rsidRPr="00964346" w:rsidRDefault="00006617" w:rsidP="00E377C7">
      <w:pPr>
        <w:keepNext/>
        <w:shd w:val="clear" w:color="auto" w:fill="FFFFFF" w:themeFill="background1"/>
        <w:spacing w:before="240" w:line="240" w:lineRule="auto"/>
        <w:ind w:left="851" w:hanging="851"/>
        <w:rPr>
          <w:b/>
          <w:noProof/>
          <w:sz w:val="18"/>
          <w:szCs w:val="19"/>
          <w:lang w:eastAsia="pl-PL"/>
        </w:rPr>
      </w:pPr>
      <w:r w:rsidRPr="00FD19A9">
        <w:rPr>
          <w:b/>
          <w:noProof/>
          <w:sz w:val="18"/>
          <w:szCs w:val="19"/>
          <w:lang w:eastAsia="pl-PL"/>
        </w:rPr>
        <w:t xml:space="preserve">Wykres 4. Zasięg </w:t>
      </w:r>
      <w:r w:rsidR="009F7972" w:rsidRPr="00FD19A9">
        <w:rPr>
          <w:b/>
          <w:noProof/>
          <w:sz w:val="18"/>
          <w:szCs w:val="19"/>
          <w:lang w:eastAsia="pl-PL"/>
        </w:rPr>
        <w:t xml:space="preserve">zagrożenia </w:t>
      </w:r>
      <w:r w:rsidRPr="00FD19A9">
        <w:rPr>
          <w:b/>
          <w:noProof/>
          <w:sz w:val="18"/>
          <w:szCs w:val="19"/>
          <w:lang w:eastAsia="pl-PL"/>
        </w:rPr>
        <w:t>ubóstw</w:t>
      </w:r>
      <w:r w:rsidR="009F7972" w:rsidRPr="00FD19A9">
        <w:rPr>
          <w:b/>
          <w:noProof/>
          <w:sz w:val="18"/>
          <w:szCs w:val="19"/>
          <w:lang w:eastAsia="pl-PL"/>
        </w:rPr>
        <w:t>em</w:t>
      </w:r>
      <w:r w:rsidRPr="00FD19A9">
        <w:rPr>
          <w:b/>
          <w:noProof/>
          <w:sz w:val="18"/>
          <w:szCs w:val="19"/>
          <w:lang w:eastAsia="pl-PL"/>
        </w:rPr>
        <w:t xml:space="preserve"> skrajn</w:t>
      </w:r>
      <w:r w:rsidR="009F7972" w:rsidRPr="00FD19A9">
        <w:rPr>
          <w:b/>
          <w:noProof/>
          <w:sz w:val="18"/>
          <w:szCs w:val="19"/>
          <w:lang w:eastAsia="pl-PL"/>
        </w:rPr>
        <w:t>ym</w:t>
      </w:r>
      <w:r w:rsidRPr="00FD19A9">
        <w:rPr>
          <w:b/>
          <w:noProof/>
          <w:sz w:val="18"/>
          <w:szCs w:val="19"/>
          <w:lang w:eastAsia="pl-PL"/>
        </w:rPr>
        <w:t xml:space="preserve"> w 202</w:t>
      </w:r>
      <w:r w:rsidR="00F77AC0">
        <w:rPr>
          <w:b/>
          <w:noProof/>
          <w:sz w:val="18"/>
          <w:szCs w:val="19"/>
          <w:lang w:eastAsia="pl-PL"/>
        </w:rPr>
        <w:t>4</w:t>
      </w:r>
      <w:r w:rsidRPr="00FD19A9">
        <w:rPr>
          <w:b/>
          <w:noProof/>
          <w:sz w:val="18"/>
          <w:szCs w:val="19"/>
          <w:lang w:eastAsia="pl-PL"/>
        </w:rPr>
        <w:t xml:space="preserve"> r. i 202</w:t>
      </w:r>
      <w:r w:rsidR="00F77AC0">
        <w:rPr>
          <w:b/>
          <w:noProof/>
          <w:sz w:val="18"/>
          <w:szCs w:val="19"/>
          <w:lang w:eastAsia="pl-PL"/>
        </w:rPr>
        <w:t>5</w:t>
      </w:r>
      <w:r w:rsidRPr="00FD19A9">
        <w:rPr>
          <w:b/>
          <w:noProof/>
          <w:sz w:val="18"/>
          <w:szCs w:val="19"/>
          <w:lang w:eastAsia="pl-PL"/>
        </w:rPr>
        <w:t xml:space="preserve"> r. według grup społeczno-</w:t>
      </w:r>
      <w:r w:rsidR="00001C96" w:rsidRPr="00FD19A9">
        <w:rPr>
          <w:b/>
          <w:noProof/>
          <w:sz w:val="18"/>
          <w:szCs w:val="19"/>
          <w:lang w:eastAsia="pl-PL"/>
        </w:rPr>
        <w:br/>
        <w:t>-</w:t>
      </w:r>
      <w:r w:rsidRPr="00FD19A9">
        <w:rPr>
          <w:b/>
          <w:noProof/>
          <w:sz w:val="18"/>
          <w:szCs w:val="19"/>
          <w:lang w:eastAsia="pl-PL"/>
        </w:rPr>
        <w:t>ekonomicznych</w:t>
      </w:r>
      <w:r w:rsidR="00F92310" w:rsidRPr="00964346">
        <w:rPr>
          <w:b/>
          <w:noProof/>
          <w:sz w:val="18"/>
          <w:szCs w:val="19"/>
          <w:lang w:eastAsia="pl-PL"/>
        </w:rPr>
        <w:t xml:space="preserve"> </w:t>
      </w:r>
      <w:r w:rsidR="00F92310" w:rsidRPr="00964346">
        <w:rPr>
          <w:b/>
          <w:noProof/>
          <w:sz w:val="18"/>
          <w:szCs w:val="18"/>
          <w:lang w:eastAsia="pl-PL"/>
        </w:rPr>
        <w:t>(% osób w gospodarstwach domowych)</w:t>
      </w:r>
    </w:p>
    <w:p w14:paraId="04A0B6F1" w14:textId="6A14F519" w:rsidR="00006617" w:rsidRPr="00964346" w:rsidRDefault="00C9757E" w:rsidP="00964346">
      <w:pPr>
        <w:shd w:val="clear" w:color="auto" w:fill="FFFFFF" w:themeFill="background1"/>
        <w:spacing w:before="0" w:after="0" w:line="240" w:lineRule="auto"/>
        <w:rPr>
          <w:b/>
          <w:noProof/>
          <w:sz w:val="18"/>
          <w:szCs w:val="19"/>
          <w:lang w:eastAsia="pl-PL"/>
        </w:rPr>
      </w:pPr>
      <w:r w:rsidRPr="00964346">
        <w:rPr>
          <w:noProof/>
          <w:color w:val="001D77"/>
          <w:szCs w:val="19"/>
          <w:lang w:eastAsia="pl-PL"/>
        </w:rPr>
        <mc:AlternateContent>
          <mc:Choice Requires="wps">
            <w:drawing>
              <wp:anchor distT="45720" distB="45720" distL="114300" distR="114300" simplePos="0" relativeHeight="251874304" behindDoc="0" locked="0" layoutInCell="1" allowOverlap="1" wp14:anchorId="45346C45" wp14:editId="072A76BA">
                <wp:simplePos x="0" y="0"/>
                <wp:positionH relativeFrom="rightMargin">
                  <wp:posOffset>167952</wp:posOffset>
                </wp:positionH>
                <wp:positionV relativeFrom="paragraph">
                  <wp:posOffset>209550</wp:posOffset>
                </wp:positionV>
                <wp:extent cx="1753086" cy="1310640"/>
                <wp:effectExtent l="0" t="0" r="0" b="0"/>
                <wp:wrapNone/>
                <wp:docPr id="2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3086" cy="1310640"/>
                        </a:xfrm>
                        <a:prstGeom prst="rect">
                          <a:avLst/>
                        </a:prstGeom>
                        <a:noFill/>
                        <a:ln w="9525">
                          <a:noFill/>
                          <a:miter lim="800000"/>
                          <a:headEnd/>
                          <a:tailEnd/>
                        </a:ln>
                      </wps:spPr>
                      <wps:txbx>
                        <w:txbxContent>
                          <w:p w14:paraId="728A0455" w14:textId="7841B26C" w:rsidR="00837C4C" w:rsidRPr="00E12297" w:rsidRDefault="007C2D61" w:rsidP="003500C4">
                            <w:pPr>
                              <w:suppressAutoHyphens/>
                              <w:rPr>
                                <w:color w:val="001D77"/>
                                <w:sz w:val="18"/>
                                <w:szCs w:val="18"/>
                              </w:rPr>
                            </w:pPr>
                            <w:r w:rsidRPr="007C2D61">
                              <w:rPr>
                                <w:color w:val="001D77"/>
                                <w:sz w:val="18"/>
                                <w:szCs w:val="18"/>
                              </w:rPr>
                              <w:t>W 2025 r. najsilniej od wartości z poprzedniego roku odbiegały oszacowania dla gospodarstw rolników i rencistów.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346C45" id="_x0000_s1032" type="#_x0000_t202" style="position:absolute;margin-left:13.2pt;margin-top:16.5pt;width:138.05pt;height:103.2pt;z-index:251874304;visibility:visible;mso-wrap-style:square;mso-width-percent:0;mso-height-percent:200;mso-wrap-distance-left:9pt;mso-wrap-distance-top:3.6pt;mso-wrap-distance-right:9pt;mso-wrap-distance-bottom:3.6pt;mso-position-horizontal:absolute;mso-position-horizontal-relative:righ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" filled="f" stroked="f">
                <v:textbox style="mso-fit-shape-to-text:t">
                  <w:txbxContent>
                    <w:p w14:paraId="728A0455" w14:textId="7841B26C" w:rsidR="00837C4C" w:rsidRPr="00E12297" w:rsidRDefault="007C2D61" w:rsidP="003500C4">
                      <w:pPr>
                        <w:suppressAutoHyphens/>
                        <w:rPr>
                          <w:color w:val="001D77"/>
                          <w:sz w:val="18"/>
                          <w:szCs w:val="18"/>
                        </w:rPr>
                      </w:pPr>
                      <w:r w:rsidRPr="007C2D61">
                        <w:rPr>
                          <w:color w:val="001D77"/>
                          <w:sz w:val="18"/>
                          <w:szCs w:val="18"/>
                        </w:rPr>
                        <w:t>W 2025 r. najsilniej od wartości z poprzedniego roku odbiegały oszacowania dla gospodarstw rolników i rencistów.</w:t>
                      </w:r>
                    </w:p>
                  </w:txbxContent>
                </v:textbox>
                <w10:wrap anchorx="margin"/>
              </v:shape>
            </w:pict>
          </mc:Fallback>
        </mc:AlternateContent>
      </w:r>
      <w:r w:rsidR="00E40C2E" w:rsidRPr="00E40C2E">
        <w:rPr>
          <w:noProof/>
        </w:rPr>
        <w:t xml:space="preserve"> </w:t>
      </w:r>
      <w:r w:rsidR="00E40C2E">
        <w:rPr>
          <w:noProof/>
          <w:lang w:eastAsia="pl-PL"/>
        </w:rPr>
        <w:drawing>
          <wp:inline distT="0" distB="0" distL="0" distR="0" wp14:anchorId="0332E812" wp14:editId="79B3AA54">
            <wp:extent cx="5122545" cy="2995295"/>
            <wp:effectExtent l="0" t="0" r="1905" b="0"/>
            <wp:docPr id="1" name="Wykres 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496FFAA" w14:textId="288123DF" w:rsidR="006C1FBD" w:rsidRPr="00964346" w:rsidRDefault="006C1FBD" w:rsidP="00AB355B">
      <w:pPr>
        <w:shd w:val="clear" w:color="auto" w:fill="FFFFFF" w:themeFill="background1"/>
        <w:spacing w:after="0" w:line="259" w:lineRule="auto"/>
        <w:ind w:left="851" w:hanging="851"/>
        <w:jc w:val="both"/>
        <w:rPr>
          <w:b/>
          <w:noProof/>
          <w:sz w:val="18"/>
          <w:szCs w:val="18"/>
          <w:lang w:eastAsia="pl-PL"/>
        </w:rPr>
      </w:pPr>
      <w:r w:rsidRPr="00964346">
        <w:rPr>
          <w:rFonts w:eastAsia="Times New Roman" w:cs="Times New Roman"/>
          <w:b/>
          <w:bCs/>
          <w:sz w:val="18"/>
          <w:szCs w:val="18"/>
          <w:shd w:val="clear" w:color="auto" w:fill="FFFFFF"/>
          <w:lang w:eastAsia="pl-PL"/>
        </w:rPr>
        <w:lastRenderedPageBreak/>
        <w:t>Wykres 5.</w:t>
      </w:r>
      <w:r w:rsidRPr="00964346">
        <w:rPr>
          <w:b/>
          <w:noProof/>
          <w:sz w:val="18"/>
          <w:szCs w:val="18"/>
          <w:lang w:eastAsia="pl-PL"/>
        </w:rPr>
        <w:t xml:space="preserve"> Zasięg zagrożenia ubóstwem skrajnym w 202</w:t>
      </w:r>
      <w:r w:rsidR="00F77AC0">
        <w:rPr>
          <w:b/>
          <w:noProof/>
          <w:sz w:val="18"/>
          <w:szCs w:val="18"/>
          <w:lang w:eastAsia="pl-PL"/>
        </w:rPr>
        <w:t>4</w:t>
      </w:r>
      <w:r w:rsidRPr="00964346">
        <w:rPr>
          <w:b/>
          <w:noProof/>
          <w:sz w:val="18"/>
          <w:szCs w:val="18"/>
          <w:lang w:eastAsia="pl-PL"/>
        </w:rPr>
        <w:t xml:space="preserve"> r. i 202</w:t>
      </w:r>
      <w:r w:rsidR="00F77AC0">
        <w:rPr>
          <w:b/>
          <w:noProof/>
          <w:sz w:val="18"/>
          <w:szCs w:val="18"/>
          <w:lang w:eastAsia="pl-PL"/>
        </w:rPr>
        <w:t>5</w:t>
      </w:r>
      <w:r w:rsidRPr="00964346">
        <w:rPr>
          <w:b/>
          <w:noProof/>
          <w:sz w:val="18"/>
          <w:szCs w:val="18"/>
          <w:lang w:eastAsia="pl-PL"/>
        </w:rPr>
        <w:t xml:space="preserve"> r. według typu gospodarstwa domowego</w:t>
      </w:r>
      <w:r w:rsidRPr="00964346">
        <w:rPr>
          <w:b/>
          <w:noProof/>
          <w:sz w:val="18"/>
          <w:szCs w:val="18"/>
          <w:vertAlign w:val="superscript"/>
          <w:lang w:eastAsia="pl-PL"/>
        </w:rPr>
        <w:t>a</w:t>
      </w:r>
      <w:r w:rsidRPr="00964346">
        <w:rPr>
          <w:b/>
          <w:noProof/>
          <w:sz w:val="18"/>
          <w:szCs w:val="18"/>
          <w:lang w:eastAsia="pl-PL"/>
        </w:rPr>
        <w:t xml:space="preserve"> </w:t>
      </w:r>
      <w:bookmarkStart w:id="3" w:name="_Hlk170149957"/>
      <w:r w:rsidRPr="00964346">
        <w:rPr>
          <w:b/>
          <w:noProof/>
          <w:sz w:val="18"/>
          <w:szCs w:val="18"/>
          <w:lang w:eastAsia="pl-PL"/>
        </w:rPr>
        <w:t>(% osób w gospodarstwach domowych)</w:t>
      </w:r>
      <w:bookmarkEnd w:id="3"/>
    </w:p>
    <w:p w14:paraId="4FDAD481" w14:textId="0A73F979" w:rsidR="006C1FBD" w:rsidRDefault="006C1FBD" w:rsidP="00871050">
      <w:pPr>
        <w:shd w:val="clear" w:color="auto" w:fill="FFFFFF" w:themeFill="background1"/>
        <w:spacing w:before="240" w:line="259" w:lineRule="auto"/>
        <w:jc w:val="both"/>
        <w:rPr>
          <w:rFonts w:eastAsia="Times New Roman" w:cs="Times New Roman"/>
          <w:bCs/>
          <w:szCs w:val="24"/>
          <w:shd w:val="clear" w:color="auto" w:fill="FFFFFF"/>
          <w:lang w:eastAsia="pl-PL"/>
        </w:rPr>
      </w:pPr>
      <w:r w:rsidRPr="00964346">
        <w:rPr>
          <w:noProof/>
          <w:color w:val="001D77"/>
          <w:szCs w:val="19"/>
          <w:lang w:eastAsia="pl-PL"/>
        </w:rPr>
        <mc:AlternateContent>
          <mc:Choice Requires="wps">
            <w:drawing>
              <wp:anchor distT="45720" distB="45720" distL="114300" distR="114300" simplePos="0" relativeHeight="251878400" behindDoc="0" locked="0" layoutInCell="1" allowOverlap="1" wp14:anchorId="725BA6B2" wp14:editId="4116DC72">
                <wp:simplePos x="0" y="0"/>
                <wp:positionH relativeFrom="margin">
                  <wp:posOffset>5328920</wp:posOffset>
                </wp:positionH>
                <wp:positionV relativeFrom="paragraph">
                  <wp:posOffset>582541</wp:posOffset>
                </wp:positionV>
                <wp:extent cx="1652127" cy="1248770"/>
                <wp:effectExtent l="0" t="0" r="0" b="0"/>
                <wp:wrapNone/>
                <wp:docPr id="3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2127" cy="1248770"/>
                        </a:xfrm>
                        <a:prstGeom prst="rect">
                          <a:avLst/>
                        </a:prstGeom>
                        <a:noFill/>
                        <a:ln w="9525">
                          <a:noFill/>
                          <a:miter lim="800000"/>
                          <a:headEnd/>
                          <a:tailEnd/>
                        </a:ln>
                      </wps:spPr>
                      <wps:txbx>
                        <w:txbxContent>
                          <w:p w14:paraId="125340A0" w14:textId="31C834F0" w:rsidR="00837C4C" w:rsidRPr="00E82F58" w:rsidRDefault="007C05F7" w:rsidP="00460C9C">
                            <w:pPr>
                              <w:suppressAutoHyphens/>
                              <w:rPr>
                                <w:color w:val="001D77"/>
                                <w:sz w:val="18"/>
                              </w:rPr>
                            </w:pPr>
                            <w:r w:rsidRPr="007C05F7">
                              <w:rPr>
                                <w:color w:val="001D77"/>
                                <w:sz w:val="18"/>
                              </w:rPr>
                              <w:t>Wśród małżeństw z dziećmi oszacowany zasięg zagrożenia ubóstwem skrajnym zwiększał się wraz z liczbą dzieci.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5BA6B2" id="_x0000_s1033" type="#_x0000_t202" style="position:absolute;left:0;text-align:left;margin-left:419.6pt;margin-top:45.85pt;width:130.1pt;height:98.35pt;z-index:251878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" filled="f" stroked="f">
                <v:textbox>
                  <w:txbxContent>
                    <w:p w14:paraId="125340A0" w14:textId="31C834F0" w:rsidR="00837C4C" w:rsidRPr="00E82F58" w:rsidRDefault="007C05F7" w:rsidP="00460C9C">
                      <w:pPr>
                        <w:suppressAutoHyphens/>
                        <w:rPr>
                          <w:color w:val="001D77"/>
                          <w:sz w:val="18"/>
                        </w:rPr>
                      </w:pPr>
                      <w:r w:rsidRPr="007C05F7">
                        <w:rPr>
                          <w:color w:val="001D77"/>
                          <w:sz w:val="18"/>
                        </w:rPr>
                        <w:t>Wśród małżeństw z dziećmi oszacowany zasięg zagrożenia ubóstwem skrajnym zwiększał się wraz z liczbą dzieci.</w:t>
                      </w:r>
                    </w:p>
                  </w:txbxContent>
                </v:textbox>
                <w10:wrap anchorx="margin"/>
              </v:shape>
            </w:pict>
          </mc:Fallback>
        </mc:AlternateContent>
      </w:r>
      <w:r w:rsidR="00E40C2E" w:rsidRPr="00E40C2E">
        <w:rPr>
          <w:noProof/>
        </w:rPr>
        <w:t xml:space="preserve"> </w:t>
      </w:r>
      <w:r w:rsidR="0042218D">
        <w:rPr>
          <w:noProof/>
          <w:lang w:eastAsia="pl-PL"/>
        </w:rPr>
        <w:drawing>
          <wp:inline distT="0" distB="0" distL="0" distR="0" wp14:anchorId="1E364D95" wp14:editId="6060B95A">
            <wp:extent cx="5122545" cy="3271520"/>
            <wp:effectExtent l="0" t="0" r="1905" b="5080"/>
            <wp:docPr id="55" name="Wykres 55">
              <a:extLst xmlns:a="http://schemas.openxmlformats.org/drawingml/2006/main">
                <a:ext uri="{FF2B5EF4-FFF2-40B4-BE49-F238E27FC236}">
                  <a16:creationId xmlns:a16="http://schemas.microsoft.com/office/drawing/2014/main" id="{00000000-0008-0000-03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917381A" w14:textId="77777777" w:rsidR="006C1FBD" w:rsidRPr="00964346" w:rsidRDefault="006C1FBD" w:rsidP="006C1FBD">
      <w:pPr>
        <w:shd w:val="clear" w:color="auto" w:fill="FFFFFF" w:themeFill="background1"/>
        <w:spacing w:before="0" w:after="0" w:line="240" w:lineRule="auto"/>
        <w:rPr>
          <w:sz w:val="14"/>
          <w:szCs w:val="14"/>
        </w:rPr>
      </w:pPr>
      <w:bookmarkStart w:id="4" w:name="_Hlk170148389"/>
      <w:r w:rsidRPr="00964346">
        <w:rPr>
          <w:rFonts w:eastAsia="Times New Roman" w:cs="Times New Roman"/>
          <w:bCs/>
          <w:szCs w:val="24"/>
          <w:shd w:val="clear" w:color="auto" w:fill="FFFFFF"/>
          <w:vertAlign w:val="superscript"/>
          <w:lang w:eastAsia="pl-PL"/>
        </w:rPr>
        <w:t>a</w:t>
      </w:r>
      <w:r w:rsidRPr="00964346">
        <w:rPr>
          <w:sz w:val="14"/>
          <w:szCs w:val="14"/>
          <w:vertAlign w:val="superscript"/>
        </w:rPr>
        <w:t xml:space="preserve"> </w:t>
      </w:r>
      <w:r w:rsidRPr="00964346">
        <w:rPr>
          <w:sz w:val="14"/>
          <w:szCs w:val="14"/>
        </w:rPr>
        <w:t>Dziecko na utrzymaniu to osoba w wieku 0-14 lat będąca w składzie gospodarstwa domowego lub osoba w wieku 15-25 lat, o ile nie posiada własnego źródła utrzymania i nie pozostaje w związku małżeńskim lub związku nieformalnym.</w:t>
      </w:r>
    </w:p>
    <w:p w14:paraId="2ACFEBC1" w14:textId="77777777" w:rsidR="006C1FBD" w:rsidRDefault="006C1FBD" w:rsidP="006C1FBD">
      <w:pPr>
        <w:shd w:val="clear" w:color="auto" w:fill="FFFFFF" w:themeFill="background1"/>
        <w:spacing w:before="0" w:after="0" w:line="259" w:lineRule="auto"/>
        <w:jc w:val="both"/>
        <w:rPr>
          <w:sz w:val="14"/>
          <w:szCs w:val="14"/>
        </w:rPr>
      </w:pPr>
      <w:r w:rsidRPr="00964346">
        <w:rPr>
          <w:sz w:val="14"/>
          <w:szCs w:val="14"/>
        </w:rPr>
        <w:t>W grupie małżeństw uwzględnione zostały także związki nieformalne.</w:t>
      </w:r>
    </w:p>
    <w:p w14:paraId="05940855" w14:textId="77777777" w:rsidR="006C1FBD" w:rsidRPr="00964346" w:rsidRDefault="006C1FBD" w:rsidP="006C1FBD">
      <w:pPr>
        <w:shd w:val="clear" w:color="auto" w:fill="FFFFFF" w:themeFill="background1"/>
        <w:spacing w:before="0" w:after="0" w:line="259" w:lineRule="auto"/>
        <w:jc w:val="both"/>
        <w:rPr>
          <w:rFonts w:eastAsia="Times New Roman" w:cs="Times New Roman"/>
          <w:bCs/>
          <w:szCs w:val="24"/>
          <w:shd w:val="clear" w:color="auto" w:fill="FFFFFF"/>
          <w:lang w:eastAsia="pl-PL"/>
        </w:rPr>
      </w:pPr>
      <w:r>
        <w:rPr>
          <w:sz w:val="14"/>
          <w:szCs w:val="14"/>
        </w:rPr>
        <w:t>*</w:t>
      </w:r>
      <w:r w:rsidRPr="00955593">
        <w:t xml:space="preserve"> </w:t>
      </w:r>
      <w:r w:rsidRPr="00955593">
        <w:rPr>
          <w:sz w:val="14"/>
          <w:szCs w:val="14"/>
        </w:rPr>
        <w:t>Inne gospodarstwa domowe mogą tworzyć m.in. małżeństwa z dziećmi na utrzymaniu i innymi osobami, matka lub ojciec z</w:t>
      </w:r>
      <w:r w:rsidR="00D63A13">
        <w:rPr>
          <w:sz w:val="14"/>
          <w:szCs w:val="14"/>
        </w:rPr>
        <w:t> </w:t>
      </w:r>
      <w:r w:rsidRPr="00955593">
        <w:rPr>
          <w:sz w:val="14"/>
          <w:szCs w:val="14"/>
        </w:rPr>
        <w:t>dziećmi na utrzymaniu i innymi osobami, inne osoby z dziećmi na utrzymaniu.</w:t>
      </w:r>
    </w:p>
    <w:bookmarkEnd w:id="4"/>
    <w:p w14:paraId="196645A9" w14:textId="22F73C90" w:rsidR="003B1239" w:rsidRPr="007C05F7" w:rsidRDefault="007C05F7" w:rsidP="00F947BB">
      <w:pPr>
        <w:shd w:val="clear" w:color="auto" w:fill="FFFFFF" w:themeFill="background1"/>
        <w:spacing w:before="240" w:line="259" w:lineRule="auto"/>
        <w:rPr>
          <w:rFonts w:eastAsia="Times New Roman" w:cs="Times New Roman"/>
          <w:bCs/>
          <w:szCs w:val="24"/>
          <w:shd w:val="clear" w:color="auto" w:fill="FFFFFF"/>
          <w:lang w:eastAsia="pl-PL"/>
        </w:rPr>
      </w:pPr>
      <w:r w:rsidRPr="007C05F7">
        <w:rPr>
          <w:rFonts w:eastAsia="Times New Roman" w:cs="Times New Roman"/>
          <w:bCs/>
          <w:szCs w:val="24"/>
          <w:shd w:val="clear" w:color="auto" w:fill="FFFFFF"/>
          <w:lang w:eastAsia="pl-PL"/>
        </w:rPr>
        <w:t xml:space="preserve">Zróżnicowanie </w:t>
      </w:r>
      <w:r w:rsidR="00BB0C8E">
        <w:rPr>
          <w:rFonts w:eastAsia="Times New Roman" w:cs="Times New Roman"/>
          <w:bCs/>
          <w:szCs w:val="24"/>
          <w:shd w:val="clear" w:color="auto" w:fill="FFFFFF"/>
          <w:lang w:eastAsia="pl-PL"/>
        </w:rPr>
        <w:t xml:space="preserve">zagrożenia ubóstwem skrajnym </w:t>
      </w:r>
      <w:r w:rsidRPr="007C05F7">
        <w:rPr>
          <w:rFonts w:eastAsia="Times New Roman" w:cs="Times New Roman"/>
          <w:bCs/>
          <w:szCs w:val="24"/>
          <w:shd w:val="clear" w:color="auto" w:fill="FFFFFF"/>
          <w:lang w:eastAsia="pl-PL"/>
        </w:rPr>
        <w:t xml:space="preserve">widoczne było również </w:t>
      </w:r>
      <w:r w:rsidR="00BB0C8E">
        <w:rPr>
          <w:rFonts w:eastAsia="Times New Roman" w:cs="Times New Roman"/>
          <w:bCs/>
          <w:szCs w:val="24"/>
          <w:shd w:val="clear" w:color="auto" w:fill="FFFFFF"/>
          <w:lang w:eastAsia="pl-PL"/>
        </w:rPr>
        <w:t>ze względu na</w:t>
      </w:r>
      <w:r w:rsidR="00BB0C8E" w:rsidRPr="007C05F7">
        <w:rPr>
          <w:rFonts w:eastAsia="Times New Roman" w:cs="Times New Roman"/>
          <w:bCs/>
          <w:szCs w:val="24"/>
          <w:shd w:val="clear" w:color="auto" w:fill="FFFFFF"/>
          <w:lang w:eastAsia="pl-PL"/>
        </w:rPr>
        <w:t xml:space="preserve"> </w:t>
      </w:r>
      <w:r w:rsidRPr="007C05F7">
        <w:rPr>
          <w:rFonts w:eastAsia="Times New Roman" w:cs="Times New Roman"/>
          <w:bCs/>
          <w:szCs w:val="24"/>
          <w:shd w:val="clear" w:color="auto" w:fill="FFFFFF"/>
          <w:lang w:eastAsia="pl-PL"/>
        </w:rPr>
        <w:t xml:space="preserve">typ gospodarstwa domowego (Wykres 5). Wśród małżeństw oszacowany zasięg zagrożenia ubóstwem skrajnym zwiększał się wraz z liczbą dzieci na utrzymaniu: od 0,9% </w:t>
      </w:r>
      <w:r w:rsidR="00C20304">
        <w:rPr>
          <w:rFonts w:eastAsia="Times New Roman" w:cs="Times New Roman"/>
          <w:bCs/>
          <w:szCs w:val="24"/>
          <w:shd w:val="clear" w:color="auto" w:fill="FFFFFF"/>
          <w:lang w:eastAsia="pl-PL"/>
        </w:rPr>
        <w:t xml:space="preserve">dla osób </w:t>
      </w:r>
      <w:r w:rsidR="00C06605">
        <w:rPr>
          <w:rFonts w:eastAsia="Times New Roman" w:cs="Times New Roman"/>
          <w:bCs/>
          <w:szCs w:val="24"/>
          <w:shd w:val="clear" w:color="auto" w:fill="FFFFFF"/>
          <w:lang w:eastAsia="pl-PL"/>
        </w:rPr>
        <w:br/>
      </w:r>
      <w:r w:rsidRPr="007C05F7">
        <w:rPr>
          <w:rFonts w:eastAsia="Times New Roman" w:cs="Times New Roman"/>
          <w:bCs/>
          <w:szCs w:val="24"/>
          <w:shd w:val="clear" w:color="auto" w:fill="FFFFFF"/>
          <w:lang w:eastAsia="pl-PL"/>
        </w:rPr>
        <w:t>w gospodarstwach bez dzieci na utrzymaniu, przez 1,</w:t>
      </w:r>
      <w:r w:rsidR="004F0AE0">
        <w:rPr>
          <w:rFonts w:eastAsia="Times New Roman" w:cs="Times New Roman"/>
          <w:bCs/>
          <w:szCs w:val="24"/>
          <w:shd w:val="clear" w:color="auto" w:fill="FFFFFF"/>
          <w:lang w:eastAsia="pl-PL"/>
        </w:rPr>
        <w:t>4</w:t>
      </w:r>
      <w:r w:rsidRPr="007C05F7">
        <w:rPr>
          <w:rFonts w:eastAsia="Times New Roman" w:cs="Times New Roman"/>
          <w:bCs/>
          <w:szCs w:val="24"/>
          <w:shd w:val="clear" w:color="auto" w:fill="FFFFFF"/>
          <w:lang w:eastAsia="pl-PL"/>
        </w:rPr>
        <w:t>% z jednym dzieckiem</w:t>
      </w:r>
      <w:r w:rsidR="00C20304">
        <w:rPr>
          <w:rFonts w:eastAsia="Times New Roman" w:cs="Times New Roman"/>
          <w:bCs/>
          <w:szCs w:val="24"/>
          <w:shd w:val="clear" w:color="auto" w:fill="FFFFFF"/>
          <w:lang w:eastAsia="pl-PL"/>
        </w:rPr>
        <w:t>,</w:t>
      </w:r>
      <w:r w:rsidRPr="007C05F7">
        <w:rPr>
          <w:rFonts w:eastAsia="Times New Roman" w:cs="Times New Roman"/>
          <w:bCs/>
          <w:szCs w:val="24"/>
          <w:shd w:val="clear" w:color="auto" w:fill="FFFFFF"/>
          <w:lang w:eastAsia="pl-PL"/>
        </w:rPr>
        <w:t xml:space="preserve"> 3,</w:t>
      </w:r>
      <w:r w:rsidR="004F0AE0">
        <w:rPr>
          <w:rFonts w:eastAsia="Times New Roman" w:cs="Times New Roman"/>
          <w:bCs/>
          <w:szCs w:val="24"/>
          <w:shd w:val="clear" w:color="auto" w:fill="FFFFFF"/>
          <w:lang w:eastAsia="pl-PL"/>
        </w:rPr>
        <w:t>1</w:t>
      </w:r>
      <w:r w:rsidRPr="007C05F7">
        <w:rPr>
          <w:rFonts w:eastAsia="Times New Roman" w:cs="Times New Roman"/>
          <w:bCs/>
          <w:szCs w:val="24"/>
          <w:shd w:val="clear" w:color="auto" w:fill="FFFFFF"/>
          <w:lang w:eastAsia="pl-PL"/>
        </w:rPr>
        <w:t>% z dwojgiem dzieci, do 6%</w:t>
      </w:r>
      <w:r w:rsidR="00C20304">
        <w:rPr>
          <w:rFonts w:eastAsia="Times New Roman" w:cs="Times New Roman"/>
          <w:bCs/>
          <w:szCs w:val="24"/>
          <w:shd w:val="clear" w:color="auto" w:fill="FFFFFF"/>
          <w:lang w:eastAsia="pl-PL"/>
        </w:rPr>
        <w:t xml:space="preserve"> dla osób</w:t>
      </w:r>
      <w:r w:rsidRPr="007C05F7">
        <w:rPr>
          <w:rFonts w:eastAsia="Times New Roman" w:cs="Times New Roman"/>
          <w:bCs/>
          <w:szCs w:val="24"/>
          <w:shd w:val="clear" w:color="auto" w:fill="FFFFFF"/>
          <w:lang w:eastAsia="pl-PL"/>
        </w:rPr>
        <w:t xml:space="preserve"> w gospodarstwach z co najmniej trojgiem dzieci na utrzymaniu. Najwyższą wartość wskaźnika odnotowano jednak w kategorii innych gospodarstw domowych, obejmującej m.in. bardziej złożone układy rodzinne i wieloosobowe (7,1%).</w:t>
      </w:r>
    </w:p>
    <w:p w14:paraId="59ECD129" w14:textId="77777777" w:rsidR="007C05F7" w:rsidRPr="007C05F7" w:rsidRDefault="007C05F7" w:rsidP="00F947BB">
      <w:pPr>
        <w:shd w:val="clear" w:color="auto" w:fill="FFFFFF" w:themeFill="background1"/>
        <w:spacing w:before="240" w:line="259" w:lineRule="auto"/>
        <w:rPr>
          <w:rFonts w:eastAsia="Times New Roman" w:cs="Times New Roman"/>
          <w:bCs/>
          <w:szCs w:val="24"/>
          <w:shd w:val="clear" w:color="auto" w:fill="FFFFFF"/>
          <w:lang w:eastAsia="pl-PL"/>
        </w:rPr>
      </w:pPr>
    </w:p>
    <w:p w14:paraId="282CE6E9" w14:textId="1378445E" w:rsidR="001E519C" w:rsidRPr="00E377C7" w:rsidRDefault="007C05F7" w:rsidP="00F947BB">
      <w:pPr>
        <w:shd w:val="clear" w:color="auto" w:fill="FFFFFF" w:themeFill="background1"/>
        <w:spacing w:before="240" w:line="259" w:lineRule="auto"/>
        <w:rPr>
          <w:rFonts w:eastAsia="Times New Roman" w:cs="Times New Roman"/>
          <w:bCs/>
          <w:szCs w:val="24"/>
          <w:shd w:val="clear" w:color="auto" w:fill="FFFFFF"/>
          <w:lang w:eastAsia="pl-PL"/>
        </w:rPr>
      </w:pPr>
      <w:r w:rsidRPr="007C05F7">
        <w:rPr>
          <w:rFonts w:eastAsia="Times New Roman" w:cs="Times New Roman"/>
          <w:bCs/>
          <w:szCs w:val="24"/>
          <w:shd w:val="clear" w:color="auto" w:fill="FFFFFF"/>
          <w:lang w:eastAsia="pl-PL"/>
        </w:rPr>
        <w:t xml:space="preserve">Wartości oszacowane dla 2025 r. były wyższe niż w 2024 r. przede wszystkim wśród małżeństw z </w:t>
      </w:r>
      <w:r w:rsidR="00C06605">
        <w:rPr>
          <w:rFonts w:eastAsia="Times New Roman" w:cs="Times New Roman"/>
          <w:bCs/>
          <w:szCs w:val="24"/>
          <w:shd w:val="clear" w:color="auto" w:fill="FFFFFF"/>
          <w:lang w:eastAsia="pl-PL"/>
        </w:rPr>
        <w:t xml:space="preserve">co </w:t>
      </w:r>
      <w:r w:rsidR="00D245AB">
        <w:rPr>
          <w:rFonts w:eastAsia="Times New Roman" w:cs="Times New Roman"/>
          <w:bCs/>
          <w:szCs w:val="24"/>
          <w:shd w:val="clear" w:color="auto" w:fill="FFFFFF"/>
          <w:lang w:eastAsia="pl-PL"/>
        </w:rPr>
        <w:t>najmniej</w:t>
      </w:r>
      <w:r w:rsidR="00C06605">
        <w:rPr>
          <w:rFonts w:eastAsia="Times New Roman" w:cs="Times New Roman"/>
          <w:bCs/>
          <w:szCs w:val="24"/>
          <w:shd w:val="clear" w:color="auto" w:fill="FFFFFF"/>
          <w:lang w:eastAsia="pl-PL"/>
        </w:rPr>
        <w:t xml:space="preserve"> trojgiem </w:t>
      </w:r>
      <w:r w:rsidRPr="007C05F7">
        <w:rPr>
          <w:rFonts w:eastAsia="Times New Roman" w:cs="Times New Roman"/>
          <w:bCs/>
          <w:szCs w:val="24"/>
          <w:shd w:val="clear" w:color="auto" w:fill="FFFFFF"/>
          <w:lang w:eastAsia="pl-PL"/>
        </w:rPr>
        <w:t xml:space="preserve">oraz </w:t>
      </w:r>
      <w:r w:rsidR="00C06605">
        <w:rPr>
          <w:rFonts w:eastAsia="Times New Roman" w:cs="Times New Roman"/>
          <w:bCs/>
          <w:szCs w:val="24"/>
          <w:shd w:val="clear" w:color="auto" w:fill="FFFFFF"/>
          <w:lang w:eastAsia="pl-PL"/>
        </w:rPr>
        <w:t>dwojgiem</w:t>
      </w:r>
      <w:r w:rsidRPr="007C05F7">
        <w:rPr>
          <w:rFonts w:eastAsia="Times New Roman" w:cs="Times New Roman"/>
          <w:bCs/>
          <w:szCs w:val="24"/>
          <w:shd w:val="clear" w:color="auto" w:fill="FFFFFF"/>
          <w:lang w:eastAsia="pl-PL"/>
        </w:rPr>
        <w:t xml:space="preserve"> dzieci na utrzymaniu. W przypadku gospodarstw jednoosobowych, małżeństw bez dzieci, małżeństw z jednym dzieckiem oraz innych gospodarstw domowych różnice względem 2024 r. były niewielkie. Niższą wartość niż rok wcześniej odnotowano natomiast dla </w:t>
      </w:r>
      <w:r w:rsidR="00CC45B9">
        <w:rPr>
          <w:rFonts w:eastAsia="Times New Roman" w:cs="Times New Roman"/>
          <w:bCs/>
          <w:szCs w:val="24"/>
          <w:shd w:val="clear" w:color="auto" w:fill="FFFFFF"/>
          <w:lang w:eastAsia="pl-PL"/>
        </w:rPr>
        <w:t xml:space="preserve">osób z gospodarstw </w:t>
      </w:r>
      <w:r w:rsidRPr="007C05F7">
        <w:rPr>
          <w:rFonts w:eastAsia="Times New Roman" w:cs="Times New Roman"/>
          <w:bCs/>
          <w:szCs w:val="24"/>
          <w:shd w:val="clear" w:color="auto" w:fill="FFFFFF"/>
          <w:lang w:eastAsia="pl-PL"/>
        </w:rPr>
        <w:t>samotnych rodziców z dziećmi na utrzymaniu, choć ze względu na charakter tej grupy i możliwą większą zmienność oszacowań wynik ten wymaga ostrożnej interpretacji.</w:t>
      </w:r>
    </w:p>
    <w:p w14:paraId="5DA346F1" w14:textId="03D4E30F" w:rsidR="00006617" w:rsidRPr="00964346" w:rsidRDefault="00006617" w:rsidP="00F947BB">
      <w:pPr>
        <w:keepNext/>
        <w:keepLines/>
        <w:shd w:val="clear" w:color="auto" w:fill="FFFFFF" w:themeFill="background1"/>
        <w:spacing w:line="259" w:lineRule="auto"/>
        <w:ind w:left="851" w:hanging="851"/>
        <w:rPr>
          <w:b/>
          <w:noProof/>
          <w:sz w:val="18"/>
          <w:szCs w:val="19"/>
          <w:lang w:eastAsia="pl-PL"/>
        </w:rPr>
      </w:pPr>
      <w:r w:rsidRPr="00964346">
        <w:rPr>
          <w:b/>
          <w:noProof/>
          <w:sz w:val="18"/>
          <w:szCs w:val="19"/>
          <w:lang w:eastAsia="pl-PL"/>
        </w:rPr>
        <w:lastRenderedPageBreak/>
        <w:t xml:space="preserve">Wykres </w:t>
      </w:r>
      <w:r w:rsidR="00867CA1" w:rsidRPr="00964346">
        <w:rPr>
          <w:b/>
          <w:noProof/>
          <w:sz w:val="18"/>
          <w:szCs w:val="19"/>
          <w:lang w:eastAsia="pl-PL"/>
        </w:rPr>
        <w:t>6</w:t>
      </w:r>
      <w:r w:rsidRPr="00964346">
        <w:rPr>
          <w:b/>
          <w:noProof/>
          <w:sz w:val="18"/>
          <w:szCs w:val="19"/>
          <w:lang w:eastAsia="pl-PL"/>
        </w:rPr>
        <w:t xml:space="preserve">. Zasięg </w:t>
      </w:r>
      <w:r w:rsidR="009F7972" w:rsidRPr="00964346">
        <w:rPr>
          <w:b/>
          <w:noProof/>
          <w:sz w:val="18"/>
          <w:szCs w:val="19"/>
          <w:lang w:eastAsia="pl-PL"/>
        </w:rPr>
        <w:t xml:space="preserve">zagrożenia </w:t>
      </w:r>
      <w:r w:rsidRPr="00964346">
        <w:rPr>
          <w:b/>
          <w:noProof/>
          <w:sz w:val="18"/>
          <w:szCs w:val="19"/>
          <w:lang w:eastAsia="pl-PL"/>
        </w:rPr>
        <w:t>ubóstw</w:t>
      </w:r>
      <w:r w:rsidR="009F7972" w:rsidRPr="00964346">
        <w:rPr>
          <w:b/>
          <w:noProof/>
          <w:sz w:val="18"/>
          <w:szCs w:val="19"/>
          <w:lang w:eastAsia="pl-PL"/>
        </w:rPr>
        <w:t>em</w:t>
      </w:r>
      <w:r w:rsidRPr="00964346">
        <w:rPr>
          <w:b/>
          <w:noProof/>
          <w:sz w:val="18"/>
          <w:szCs w:val="19"/>
          <w:lang w:eastAsia="pl-PL"/>
        </w:rPr>
        <w:t xml:space="preserve"> skrajn</w:t>
      </w:r>
      <w:r w:rsidR="009F7972" w:rsidRPr="00964346">
        <w:rPr>
          <w:b/>
          <w:noProof/>
          <w:sz w:val="18"/>
          <w:szCs w:val="19"/>
          <w:lang w:eastAsia="pl-PL"/>
        </w:rPr>
        <w:t>ym</w:t>
      </w:r>
      <w:r w:rsidRPr="00964346">
        <w:rPr>
          <w:b/>
          <w:noProof/>
          <w:sz w:val="18"/>
          <w:szCs w:val="19"/>
          <w:lang w:eastAsia="pl-PL"/>
        </w:rPr>
        <w:t xml:space="preserve"> w 202</w:t>
      </w:r>
      <w:r w:rsidR="00F77AC0">
        <w:rPr>
          <w:b/>
          <w:noProof/>
          <w:sz w:val="18"/>
          <w:szCs w:val="19"/>
          <w:lang w:eastAsia="pl-PL"/>
        </w:rPr>
        <w:t>4</w:t>
      </w:r>
      <w:r w:rsidRPr="00964346">
        <w:rPr>
          <w:b/>
          <w:noProof/>
          <w:sz w:val="18"/>
          <w:szCs w:val="19"/>
          <w:lang w:eastAsia="pl-PL"/>
        </w:rPr>
        <w:t xml:space="preserve"> r. i 202</w:t>
      </w:r>
      <w:r w:rsidR="00F77AC0">
        <w:rPr>
          <w:b/>
          <w:noProof/>
          <w:sz w:val="18"/>
          <w:szCs w:val="19"/>
          <w:lang w:eastAsia="pl-PL"/>
        </w:rPr>
        <w:t>5</w:t>
      </w:r>
      <w:r w:rsidRPr="00964346">
        <w:rPr>
          <w:b/>
          <w:noProof/>
          <w:sz w:val="18"/>
          <w:szCs w:val="19"/>
          <w:lang w:eastAsia="pl-PL"/>
        </w:rPr>
        <w:t xml:space="preserve"> r. w gospodarstwach domowych z osobami w wieku 0–17 lat</w:t>
      </w:r>
      <w:r w:rsidR="0010700C" w:rsidRPr="00964346">
        <w:rPr>
          <w:b/>
          <w:noProof/>
          <w:sz w:val="18"/>
          <w:szCs w:val="19"/>
          <w:vertAlign w:val="superscript"/>
          <w:lang w:eastAsia="pl-PL"/>
        </w:rPr>
        <w:t>a</w:t>
      </w:r>
      <w:r w:rsidR="00F34872" w:rsidRPr="00964346">
        <w:rPr>
          <w:b/>
          <w:noProof/>
          <w:sz w:val="18"/>
          <w:szCs w:val="19"/>
          <w:vertAlign w:val="superscript"/>
          <w:lang w:eastAsia="pl-PL"/>
        </w:rPr>
        <w:t xml:space="preserve"> </w:t>
      </w:r>
      <w:r w:rsidR="00F34872" w:rsidRPr="00964346">
        <w:rPr>
          <w:b/>
          <w:noProof/>
          <w:sz w:val="18"/>
          <w:szCs w:val="18"/>
          <w:lang w:eastAsia="pl-PL"/>
        </w:rPr>
        <w:t>(% osób w gospodarstwach domowych)</w:t>
      </w:r>
    </w:p>
    <w:p w14:paraId="5BE584A2" w14:textId="41F4BCE4" w:rsidR="00006617" w:rsidRPr="00964346" w:rsidRDefault="0033034E" w:rsidP="00F947BB">
      <w:pPr>
        <w:keepNext/>
        <w:keepLines/>
        <w:shd w:val="clear" w:color="auto" w:fill="FFFFFF" w:themeFill="background1"/>
        <w:spacing w:before="240" w:line="240" w:lineRule="auto"/>
        <w:rPr>
          <w:noProof/>
          <w:szCs w:val="19"/>
          <w:lang w:eastAsia="pl-PL"/>
        </w:rPr>
      </w:pPr>
      <w:r w:rsidRPr="00964346">
        <w:rPr>
          <w:noProof/>
          <w:color w:val="001D77"/>
          <w:szCs w:val="19"/>
          <w:lang w:eastAsia="pl-PL"/>
        </w:rPr>
        <mc:AlternateContent>
          <mc:Choice Requires="wps">
            <w:drawing>
              <wp:anchor distT="45720" distB="45720" distL="114300" distR="114300" simplePos="0" relativeHeight="251904000" behindDoc="0" locked="0" layoutInCell="1" allowOverlap="1" wp14:anchorId="0B0ADCF9" wp14:editId="587A391B">
                <wp:simplePos x="0" y="0"/>
                <wp:positionH relativeFrom="margin">
                  <wp:posOffset>5267325</wp:posOffset>
                </wp:positionH>
                <wp:positionV relativeFrom="paragraph">
                  <wp:posOffset>92075</wp:posOffset>
                </wp:positionV>
                <wp:extent cx="1645920" cy="1371600"/>
                <wp:effectExtent l="0" t="0" r="0" b="0"/>
                <wp:wrapNone/>
                <wp:docPr id="4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1371600"/>
                        </a:xfrm>
                        <a:prstGeom prst="rect">
                          <a:avLst/>
                        </a:prstGeom>
                        <a:noFill/>
                        <a:ln w="9525">
                          <a:noFill/>
                          <a:miter lim="800000"/>
                          <a:headEnd/>
                          <a:tailEnd/>
                        </a:ln>
                      </wps:spPr>
                      <wps:txbx>
                        <w:txbxContent>
                          <w:p w14:paraId="7B551326" w14:textId="4C7A785C" w:rsidR="0033034E" w:rsidRPr="00E82F58" w:rsidRDefault="0033034E" w:rsidP="0033034E">
                            <w:pPr>
                              <w:suppressAutoHyphens/>
                              <w:rPr>
                                <w:color w:val="001D77"/>
                                <w:sz w:val="18"/>
                              </w:rPr>
                            </w:pPr>
                            <w:r w:rsidRPr="0033034E">
                              <w:rPr>
                                <w:color w:val="001D77"/>
                                <w:sz w:val="18"/>
                              </w:rPr>
                              <w:t xml:space="preserve">W 2025 r., inaczej niż w 2024 r., osoby żyjące w gospodarstwach z większą liczbą dzieci były </w:t>
                            </w:r>
                            <w:r>
                              <w:rPr>
                                <w:color w:val="001D77"/>
                                <w:sz w:val="18"/>
                              </w:rPr>
                              <w:t>silni</w:t>
                            </w:r>
                            <w:r w:rsidRPr="0033034E">
                              <w:rPr>
                                <w:color w:val="001D77"/>
                                <w:sz w:val="18"/>
                              </w:rPr>
                              <w:t>ej narażone na ubóstwo skrajne.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0ADCF9" id="_x0000_s1034" type="#_x0000_t202" style="position:absolute;margin-left:414.75pt;margin-top:7.25pt;width:129.6pt;height:108pt;z-index:251904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" filled="f" stroked="f">
                <v:textbox>
                  <w:txbxContent>
                    <w:p w14:paraId="7B551326" w14:textId="4C7A785C" w:rsidR="0033034E" w:rsidRPr="00E82F58" w:rsidRDefault="0033034E" w:rsidP="0033034E">
                      <w:pPr>
                        <w:suppressAutoHyphens/>
                        <w:rPr>
                          <w:color w:val="001D77"/>
                          <w:sz w:val="18"/>
                        </w:rPr>
                      </w:pPr>
                      <w:r w:rsidRPr="0033034E">
                        <w:rPr>
                          <w:color w:val="001D77"/>
                          <w:sz w:val="18"/>
                        </w:rPr>
                        <w:t xml:space="preserve">W 2025 r., inaczej niż w 2024 r., osoby żyjące w gospodarstwach z większą liczbą dzieci były </w:t>
                      </w:r>
                      <w:r>
                        <w:rPr>
                          <w:color w:val="001D77"/>
                          <w:sz w:val="18"/>
                        </w:rPr>
                        <w:t>silni</w:t>
                      </w:r>
                      <w:r w:rsidRPr="0033034E">
                        <w:rPr>
                          <w:color w:val="001D77"/>
                          <w:sz w:val="18"/>
                        </w:rPr>
                        <w:t>ej narażone na ubóstwo skrajne.</w:t>
                      </w:r>
                    </w:p>
                  </w:txbxContent>
                </v:textbox>
                <w10:wrap anchorx="margin"/>
              </v:shape>
            </w:pict>
          </mc:Fallback>
        </mc:AlternateContent>
      </w:r>
      <w:r w:rsidR="00E40C2E">
        <w:rPr>
          <w:noProof/>
          <w:lang w:eastAsia="pl-PL"/>
        </w:rPr>
        <w:drawing>
          <wp:inline distT="0" distB="0" distL="0" distR="0" wp14:anchorId="6D9BD320" wp14:editId="593066F6">
            <wp:extent cx="5056435" cy="2776781"/>
            <wp:effectExtent l="0" t="0" r="0" b="5080"/>
            <wp:docPr id="35" name="Wykres 35">
              <a:extLst xmlns:a="http://schemas.openxmlformats.org/drawingml/2006/main">
                <a:ext uri="{FF2B5EF4-FFF2-40B4-BE49-F238E27FC236}">
                  <a16:creationId xmlns:a16="http://schemas.microsoft.com/office/drawing/2014/main" id="{00000000-0008-0000-04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F1E2913" w14:textId="33F01F2D" w:rsidR="0010700C" w:rsidRPr="00964346" w:rsidRDefault="0010700C" w:rsidP="00F947BB">
      <w:pPr>
        <w:pStyle w:val="Tekstprzypisudolnego"/>
        <w:keepNext/>
        <w:keepLines/>
        <w:shd w:val="clear" w:color="auto" w:fill="FFFFFF" w:themeFill="background1"/>
        <w:rPr>
          <w:sz w:val="14"/>
          <w:szCs w:val="14"/>
        </w:rPr>
      </w:pPr>
      <w:r w:rsidRPr="00964346">
        <w:rPr>
          <w:sz w:val="14"/>
          <w:szCs w:val="14"/>
          <w:vertAlign w:val="superscript"/>
        </w:rPr>
        <w:t xml:space="preserve">a </w:t>
      </w:r>
      <w:r w:rsidRPr="00964346">
        <w:rPr>
          <w:sz w:val="14"/>
          <w:szCs w:val="14"/>
        </w:rPr>
        <w:t>Dane odnoszą się do gospodarstw domowych z osobami (dziećmi) w wieku 0–17 lat niezależnie od tego czy są utrzymywane przez rodziców (lub innych członków gospodarstwa), czy mają własne źródło utrzymania, takie jak np. renta rodzinna lub alimenty. W skład tych gospodarstw oprócz rodziców i dzieci w wieku 0–17 lat mogą wchodzić także inne osoby, takie jak np.</w:t>
      </w:r>
      <w:r w:rsidR="00C630AD" w:rsidRPr="00964346">
        <w:rPr>
          <w:sz w:val="14"/>
          <w:szCs w:val="14"/>
        </w:rPr>
        <w:t> </w:t>
      </w:r>
      <w:r w:rsidRPr="00964346">
        <w:rPr>
          <w:sz w:val="14"/>
          <w:szCs w:val="14"/>
        </w:rPr>
        <w:t>starsze rodzeństwo, dziadkowie czy bracia lub siostry jednego z rodziców.</w:t>
      </w:r>
    </w:p>
    <w:p w14:paraId="131A78CD" w14:textId="5BB746DA" w:rsidR="006125F3" w:rsidRPr="00964346" w:rsidRDefault="0033034E" w:rsidP="00F947BB">
      <w:pPr>
        <w:shd w:val="clear" w:color="auto" w:fill="FFFFFF" w:themeFill="background1"/>
        <w:spacing w:before="240" w:after="0" w:line="259" w:lineRule="auto"/>
        <w:rPr>
          <w:rFonts w:eastAsia="Times New Roman" w:cs="Times New Roman"/>
          <w:bCs/>
          <w:szCs w:val="24"/>
          <w:shd w:val="clear" w:color="auto" w:fill="FFFFFF"/>
          <w:lang w:eastAsia="pl-PL"/>
        </w:rPr>
      </w:pPr>
      <w:r w:rsidRPr="0033034E">
        <w:rPr>
          <w:rFonts w:eastAsia="Times New Roman" w:cs="Times New Roman"/>
          <w:bCs/>
          <w:szCs w:val="24"/>
          <w:shd w:val="clear" w:color="auto" w:fill="FFFFFF"/>
          <w:lang w:eastAsia="pl-PL"/>
        </w:rPr>
        <w:t>W 2025 r. oszacowany zasięg zagrożenia ubóstwem skrajnym był wyższy wśród osób żyjących w gospodarstwach domowych z osobami w wieku 0–17 lat niż wśród osób z gospodarstw bez takich osób</w:t>
      </w:r>
      <w:r w:rsidR="00995602">
        <w:rPr>
          <w:rFonts w:eastAsia="Times New Roman" w:cs="Times New Roman"/>
          <w:bCs/>
          <w:szCs w:val="24"/>
          <w:shd w:val="clear" w:color="auto" w:fill="FFFFFF"/>
          <w:lang w:eastAsia="pl-PL"/>
        </w:rPr>
        <w:t xml:space="preserve"> (Wykres 6)</w:t>
      </w:r>
      <w:r w:rsidRPr="0033034E">
        <w:rPr>
          <w:rFonts w:eastAsia="Times New Roman" w:cs="Times New Roman"/>
          <w:bCs/>
          <w:szCs w:val="24"/>
          <w:shd w:val="clear" w:color="auto" w:fill="FFFFFF"/>
          <w:lang w:eastAsia="pl-PL"/>
        </w:rPr>
        <w:t>. Najwyższą wartość wskaźnika odnotowano wśród osób z gospodarstw, w których mieszkały co najmniej trzy osoby w wieku 0–17 lat (8,9%). Wśród osób z gospodarstw z dwiema osobami w tym wieku wskaźnik wyniósł 7,2%, a z jedną osobą — 5,9%. Dla osób z gospodarstw bez osób w wieku 0–17 lat oszacowana wartość wskaźnika była niższa i wyniosła 3,8%.</w:t>
      </w:r>
    </w:p>
    <w:p w14:paraId="7CE62235" w14:textId="1DE8C4B6" w:rsidR="00E679A9" w:rsidRPr="00964346" w:rsidRDefault="0033034E" w:rsidP="00E377C7">
      <w:pPr>
        <w:shd w:val="clear" w:color="auto" w:fill="FFFFFF" w:themeFill="background1"/>
        <w:spacing w:before="240" w:after="160" w:line="259" w:lineRule="auto"/>
        <w:ind w:left="851" w:hanging="851"/>
        <w:rPr>
          <w:noProof/>
          <w:sz w:val="18"/>
          <w:szCs w:val="19"/>
          <w:lang w:eastAsia="pl-PL"/>
        </w:rPr>
      </w:pPr>
      <w:r w:rsidRPr="00964346">
        <w:rPr>
          <w:noProof/>
          <w:color w:val="001D77"/>
          <w:szCs w:val="19"/>
          <w:lang w:eastAsia="pl-PL"/>
        </w:rPr>
        <mc:AlternateContent>
          <mc:Choice Requires="wps">
            <w:drawing>
              <wp:anchor distT="45720" distB="45720" distL="114300" distR="114300" simplePos="0" relativeHeight="251882496" behindDoc="0" locked="0" layoutInCell="1" allowOverlap="1" wp14:anchorId="120298C7" wp14:editId="7CC84415">
                <wp:simplePos x="0" y="0"/>
                <wp:positionH relativeFrom="margin">
                  <wp:posOffset>5248275</wp:posOffset>
                </wp:positionH>
                <wp:positionV relativeFrom="paragraph">
                  <wp:posOffset>58420</wp:posOffset>
                </wp:positionV>
                <wp:extent cx="1645920" cy="1371600"/>
                <wp:effectExtent l="0" t="0" r="0" b="0"/>
                <wp:wrapNone/>
                <wp:docPr id="3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1371600"/>
                        </a:xfrm>
                        <a:prstGeom prst="rect">
                          <a:avLst/>
                        </a:prstGeom>
                        <a:noFill/>
                        <a:ln w="9525">
                          <a:noFill/>
                          <a:miter lim="800000"/>
                          <a:headEnd/>
                          <a:tailEnd/>
                        </a:ln>
                      </wps:spPr>
                      <wps:txbx>
                        <w:txbxContent>
                          <w:p w14:paraId="05B5FC9C" w14:textId="144367F9" w:rsidR="00837C4C" w:rsidRPr="00E82F58" w:rsidRDefault="0033034E" w:rsidP="005A1307">
                            <w:pPr>
                              <w:suppressAutoHyphens/>
                              <w:rPr>
                                <w:color w:val="001D77"/>
                                <w:sz w:val="18"/>
                              </w:rPr>
                            </w:pPr>
                            <w:r w:rsidRPr="0033034E">
                              <w:rPr>
                                <w:color w:val="001D77"/>
                                <w:sz w:val="18"/>
                              </w:rPr>
                              <w:t xml:space="preserve">W 2025 r. </w:t>
                            </w:r>
                            <w:r w:rsidR="00C328BD">
                              <w:rPr>
                                <w:color w:val="001D77"/>
                                <w:sz w:val="18"/>
                              </w:rPr>
                              <w:t xml:space="preserve">zasięg zagrożenia </w:t>
                            </w:r>
                            <w:r w:rsidRPr="0033034E">
                              <w:rPr>
                                <w:color w:val="001D77"/>
                                <w:sz w:val="18"/>
                              </w:rPr>
                              <w:t>ubóstw</w:t>
                            </w:r>
                            <w:r w:rsidR="00C328BD">
                              <w:rPr>
                                <w:color w:val="001D77"/>
                                <w:sz w:val="18"/>
                              </w:rPr>
                              <w:t>em</w:t>
                            </w:r>
                            <w:r w:rsidRPr="0033034E">
                              <w:rPr>
                                <w:color w:val="001D77"/>
                                <w:sz w:val="18"/>
                              </w:rPr>
                              <w:t xml:space="preserve"> skrajn</w:t>
                            </w:r>
                            <w:r w:rsidR="00C328BD">
                              <w:rPr>
                                <w:color w:val="001D77"/>
                                <w:sz w:val="18"/>
                              </w:rPr>
                              <w:t>ym</w:t>
                            </w:r>
                            <w:r w:rsidRPr="0033034E">
                              <w:rPr>
                                <w:color w:val="001D77"/>
                                <w:sz w:val="18"/>
                              </w:rPr>
                              <w:t xml:space="preserve"> był najwyższ</w:t>
                            </w:r>
                            <w:r w:rsidR="00C328BD">
                              <w:rPr>
                                <w:color w:val="001D77"/>
                                <w:sz w:val="18"/>
                              </w:rPr>
                              <w:t>y</w:t>
                            </w:r>
                            <w:r w:rsidRPr="0033034E">
                              <w:rPr>
                                <w:color w:val="001D77"/>
                                <w:sz w:val="18"/>
                              </w:rPr>
                              <w:t xml:space="preserve"> wśród dzieci</w:t>
                            </w:r>
                            <w:r w:rsidR="00C328BD">
                              <w:rPr>
                                <w:color w:val="001D77"/>
                                <w:sz w:val="18"/>
                              </w:rPr>
                              <w:t xml:space="preserve"> do lat 17</w:t>
                            </w:r>
                            <w:r w:rsidRPr="0033034E">
                              <w:rPr>
                                <w:color w:val="001D77"/>
                                <w:sz w:val="18"/>
                              </w:rPr>
                              <w:t>, a najniższ</w:t>
                            </w:r>
                            <w:r w:rsidR="00C328BD">
                              <w:rPr>
                                <w:color w:val="001D77"/>
                                <w:sz w:val="18"/>
                              </w:rPr>
                              <w:t>y</w:t>
                            </w:r>
                            <w:r w:rsidRPr="0033034E">
                              <w:rPr>
                                <w:color w:val="001D77"/>
                                <w:sz w:val="18"/>
                              </w:rPr>
                              <w:t xml:space="preserve"> wśród osób w wieku 65 lat lub więcej.</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0298C7" id="_x0000_s1035" type="#_x0000_t202" style="position:absolute;left:0;text-align:left;margin-left:413.25pt;margin-top:4.6pt;width:129.6pt;height:108pt;z-index:251882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" filled="f" stroked="f">
                <v:textbox>
                  <w:txbxContent>
                    <w:p w14:paraId="05B5FC9C" w14:textId="144367F9" w:rsidR="00837C4C" w:rsidRPr="00E82F58" w:rsidRDefault="0033034E" w:rsidP="005A1307">
                      <w:pPr>
                        <w:suppressAutoHyphens/>
                        <w:rPr>
                          <w:color w:val="001D77"/>
                          <w:sz w:val="18"/>
                        </w:rPr>
                      </w:pPr>
                      <w:r w:rsidRPr="0033034E">
                        <w:rPr>
                          <w:color w:val="001D77"/>
                          <w:sz w:val="18"/>
                        </w:rPr>
                        <w:t xml:space="preserve">W 2025 r. </w:t>
                      </w:r>
                      <w:r w:rsidR="00C328BD">
                        <w:rPr>
                          <w:color w:val="001D77"/>
                          <w:sz w:val="18"/>
                        </w:rPr>
                        <w:t xml:space="preserve">zasięg zagrożenia </w:t>
                      </w:r>
                      <w:r w:rsidRPr="0033034E">
                        <w:rPr>
                          <w:color w:val="001D77"/>
                          <w:sz w:val="18"/>
                        </w:rPr>
                        <w:t>ubóstw</w:t>
                      </w:r>
                      <w:r w:rsidR="00C328BD">
                        <w:rPr>
                          <w:color w:val="001D77"/>
                          <w:sz w:val="18"/>
                        </w:rPr>
                        <w:t>em</w:t>
                      </w:r>
                      <w:r w:rsidRPr="0033034E">
                        <w:rPr>
                          <w:color w:val="001D77"/>
                          <w:sz w:val="18"/>
                        </w:rPr>
                        <w:t xml:space="preserve"> skrajn</w:t>
                      </w:r>
                      <w:r w:rsidR="00C328BD">
                        <w:rPr>
                          <w:color w:val="001D77"/>
                          <w:sz w:val="18"/>
                        </w:rPr>
                        <w:t>ym</w:t>
                      </w:r>
                      <w:r w:rsidRPr="0033034E">
                        <w:rPr>
                          <w:color w:val="001D77"/>
                          <w:sz w:val="18"/>
                        </w:rPr>
                        <w:t xml:space="preserve"> był najwyższ</w:t>
                      </w:r>
                      <w:r w:rsidR="00C328BD">
                        <w:rPr>
                          <w:color w:val="001D77"/>
                          <w:sz w:val="18"/>
                        </w:rPr>
                        <w:t>y</w:t>
                      </w:r>
                      <w:r w:rsidRPr="0033034E">
                        <w:rPr>
                          <w:color w:val="001D77"/>
                          <w:sz w:val="18"/>
                        </w:rPr>
                        <w:t xml:space="preserve"> wśród dzieci</w:t>
                      </w:r>
                      <w:r w:rsidR="00C328BD">
                        <w:rPr>
                          <w:color w:val="001D77"/>
                          <w:sz w:val="18"/>
                        </w:rPr>
                        <w:t xml:space="preserve"> do lat 17</w:t>
                      </w:r>
                      <w:r w:rsidRPr="0033034E">
                        <w:rPr>
                          <w:color w:val="001D77"/>
                          <w:sz w:val="18"/>
                        </w:rPr>
                        <w:t>, a najniższ</w:t>
                      </w:r>
                      <w:r w:rsidR="00C328BD">
                        <w:rPr>
                          <w:color w:val="001D77"/>
                          <w:sz w:val="18"/>
                        </w:rPr>
                        <w:t>y</w:t>
                      </w:r>
                      <w:r w:rsidRPr="0033034E">
                        <w:rPr>
                          <w:color w:val="001D77"/>
                          <w:sz w:val="18"/>
                        </w:rPr>
                        <w:t xml:space="preserve"> wśród osób w wieku 65 lat lub więcej.</w:t>
                      </w:r>
                    </w:p>
                  </w:txbxContent>
                </v:textbox>
                <w10:wrap anchorx="margin"/>
              </v:shape>
            </w:pict>
          </mc:Fallback>
        </mc:AlternateContent>
      </w:r>
      <w:r w:rsidR="00E679A9" w:rsidRPr="00964346">
        <w:rPr>
          <w:b/>
          <w:noProof/>
          <w:sz w:val="18"/>
          <w:szCs w:val="19"/>
          <w:lang w:eastAsia="pl-PL"/>
        </w:rPr>
        <w:t xml:space="preserve">Wykres </w:t>
      </w:r>
      <w:r w:rsidR="00E0646A" w:rsidRPr="00964346">
        <w:rPr>
          <w:b/>
          <w:noProof/>
          <w:sz w:val="18"/>
          <w:szCs w:val="19"/>
          <w:lang w:eastAsia="pl-PL"/>
        </w:rPr>
        <w:t>7</w:t>
      </w:r>
      <w:r w:rsidR="00E679A9" w:rsidRPr="00964346">
        <w:rPr>
          <w:b/>
          <w:noProof/>
          <w:sz w:val="18"/>
          <w:szCs w:val="19"/>
          <w:lang w:eastAsia="pl-PL"/>
        </w:rPr>
        <w:t xml:space="preserve">. Zasięg </w:t>
      </w:r>
      <w:r w:rsidR="009F7972" w:rsidRPr="00964346">
        <w:rPr>
          <w:b/>
          <w:noProof/>
          <w:sz w:val="18"/>
          <w:szCs w:val="19"/>
          <w:lang w:eastAsia="pl-PL"/>
        </w:rPr>
        <w:t>zagro</w:t>
      </w:r>
      <w:r w:rsidR="006831D3" w:rsidRPr="00964346">
        <w:rPr>
          <w:b/>
          <w:noProof/>
          <w:sz w:val="18"/>
          <w:szCs w:val="19"/>
          <w:lang w:eastAsia="pl-PL"/>
        </w:rPr>
        <w:t>ż</w:t>
      </w:r>
      <w:r w:rsidR="009F7972" w:rsidRPr="00964346">
        <w:rPr>
          <w:b/>
          <w:noProof/>
          <w:sz w:val="18"/>
          <w:szCs w:val="19"/>
          <w:lang w:eastAsia="pl-PL"/>
        </w:rPr>
        <w:t xml:space="preserve">enia </w:t>
      </w:r>
      <w:r w:rsidR="00E679A9" w:rsidRPr="00964346">
        <w:rPr>
          <w:b/>
          <w:noProof/>
          <w:sz w:val="18"/>
          <w:szCs w:val="19"/>
          <w:lang w:eastAsia="pl-PL"/>
        </w:rPr>
        <w:t>ubóstw</w:t>
      </w:r>
      <w:r w:rsidR="009F7972" w:rsidRPr="00964346">
        <w:rPr>
          <w:b/>
          <w:noProof/>
          <w:sz w:val="18"/>
          <w:szCs w:val="19"/>
          <w:lang w:eastAsia="pl-PL"/>
        </w:rPr>
        <w:t>em</w:t>
      </w:r>
      <w:r w:rsidR="00E679A9" w:rsidRPr="00964346">
        <w:rPr>
          <w:b/>
          <w:noProof/>
          <w:sz w:val="18"/>
          <w:szCs w:val="19"/>
          <w:lang w:eastAsia="pl-PL"/>
        </w:rPr>
        <w:t xml:space="preserve"> skrajn</w:t>
      </w:r>
      <w:r w:rsidR="009F7972" w:rsidRPr="00964346">
        <w:rPr>
          <w:b/>
          <w:noProof/>
          <w:sz w:val="18"/>
          <w:szCs w:val="19"/>
          <w:lang w:eastAsia="pl-PL"/>
        </w:rPr>
        <w:t>ym</w:t>
      </w:r>
      <w:r w:rsidR="00E679A9" w:rsidRPr="00964346">
        <w:rPr>
          <w:b/>
          <w:noProof/>
          <w:sz w:val="18"/>
          <w:szCs w:val="19"/>
          <w:lang w:eastAsia="pl-PL"/>
        </w:rPr>
        <w:t xml:space="preserve"> w 202</w:t>
      </w:r>
      <w:r w:rsidR="00F77AC0">
        <w:rPr>
          <w:b/>
          <w:noProof/>
          <w:sz w:val="18"/>
          <w:szCs w:val="19"/>
          <w:lang w:eastAsia="pl-PL"/>
        </w:rPr>
        <w:t>4</w:t>
      </w:r>
      <w:r w:rsidR="00E679A9" w:rsidRPr="00964346">
        <w:rPr>
          <w:b/>
          <w:noProof/>
          <w:sz w:val="18"/>
          <w:szCs w:val="19"/>
          <w:lang w:eastAsia="pl-PL"/>
        </w:rPr>
        <w:t xml:space="preserve"> r. i 202</w:t>
      </w:r>
      <w:r w:rsidR="00F77AC0">
        <w:rPr>
          <w:b/>
          <w:noProof/>
          <w:sz w:val="18"/>
          <w:szCs w:val="19"/>
          <w:lang w:eastAsia="pl-PL"/>
        </w:rPr>
        <w:t>5</w:t>
      </w:r>
      <w:r w:rsidR="00E679A9" w:rsidRPr="00964346">
        <w:rPr>
          <w:b/>
          <w:noProof/>
          <w:sz w:val="18"/>
          <w:szCs w:val="19"/>
          <w:lang w:eastAsia="pl-PL"/>
        </w:rPr>
        <w:t xml:space="preserve"> r. według wieku osób</w:t>
      </w:r>
      <w:r w:rsidR="00F34872" w:rsidRPr="00964346">
        <w:rPr>
          <w:b/>
          <w:noProof/>
          <w:sz w:val="18"/>
          <w:szCs w:val="19"/>
          <w:lang w:eastAsia="pl-PL"/>
        </w:rPr>
        <w:t xml:space="preserve"> </w:t>
      </w:r>
      <w:r w:rsidR="00F34872" w:rsidRPr="00964346">
        <w:rPr>
          <w:b/>
          <w:noProof/>
          <w:sz w:val="18"/>
          <w:szCs w:val="18"/>
          <w:lang w:eastAsia="pl-PL"/>
        </w:rPr>
        <w:t>(% osób w</w:t>
      </w:r>
      <w:r w:rsidR="00806ECE" w:rsidRPr="00964346">
        <w:rPr>
          <w:b/>
          <w:noProof/>
          <w:sz w:val="18"/>
          <w:szCs w:val="18"/>
          <w:lang w:eastAsia="pl-PL"/>
        </w:rPr>
        <w:t> </w:t>
      </w:r>
      <w:r w:rsidR="00F34872" w:rsidRPr="00964346">
        <w:rPr>
          <w:b/>
          <w:noProof/>
          <w:sz w:val="18"/>
          <w:szCs w:val="18"/>
          <w:lang w:eastAsia="pl-PL"/>
        </w:rPr>
        <w:t>gospodarstwach domowych)</w:t>
      </w:r>
    </w:p>
    <w:p w14:paraId="23BB3E92" w14:textId="6D433BA2" w:rsidR="00E679A9" w:rsidRPr="00964346" w:rsidRDefault="00B11238" w:rsidP="00964346">
      <w:pPr>
        <w:shd w:val="clear" w:color="auto" w:fill="FFFFFF" w:themeFill="background1"/>
        <w:spacing w:before="240" w:line="240" w:lineRule="auto"/>
        <w:rPr>
          <w:b/>
          <w:noProof/>
          <w:sz w:val="18"/>
          <w:szCs w:val="19"/>
          <w:lang w:eastAsia="pl-PL"/>
        </w:rPr>
      </w:pPr>
      <w:r>
        <w:rPr>
          <w:noProof/>
        </w:rPr>
        <w:drawing>
          <wp:inline distT="0" distB="0" distL="0" distR="0" wp14:anchorId="4753BA06" wp14:editId="721461E7">
            <wp:extent cx="5046439" cy="2075511"/>
            <wp:effectExtent l="0" t="0" r="1905" b="1270"/>
            <wp:docPr id="8" name="Wykres 8">
              <a:extLst xmlns:a="http://schemas.openxmlformats.org/drawingml/2006/main">
                <a:ext uri="{FF2B5EF4-FFF2-40B4-BE49-F238E27FC236}">
                  <a16:creationId xmlns:a16="http://schemas.microsoft.com/office/drawing/2014/main" id="{00000000-0008-0000-05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15C2F7E" w14:textId="65153C80" w:rsidR="00CF3C0A" w:rsidRPr="00964346" w:rsidRDefault="0033034E" w:rsidP="00F947BB">
      <w:pPr>
        <w:shd w:val="clear" w:color="auto" w:fill="FFFFFF" w:themeFill="background1"/>
        <w:spacing w:before="240" w:line="259" w:lineRule="auto"/>
        <w:rPr>
          <w:rFonts w:eastAsia="Times New Roman" w:cs="Times New Roman"/>
          <w:bCs/>
          <w:szCs w:val="24"/>
          <w:shd w:val="clear" w:color="auto" w:fill="FFFFFF"/>
          <w:lang w:eastAsia="pl-PL"/>
        </w:rPr>
      </w:pPr>
      <w:r w:rsidRPr="0033034E">
        <w:rPr>
          <w:rFonts w:eastAsia="Times New Roman" w:cs="Times New Roman"/>
          <w:bCs/>
          <w:szCs w:val="24"/>
          <w:shd w:val="clear" w:color="auto" w:fill="FFFFFF"/>
          <w:lang w:eastAsia="pl-PL"/>
        </w:rPr>
        <w:t>W podziale według wieku najwyższą oszacowaną wartość wskaźnika odnotowano wśród osób w wieku 0–17 lat (6,6%), a najniższą wśród osób w wieku 65 lat lub więcej (4,1%). Dla osób w wieku 18–64 lata wskaźnik wyniósł 5,4%</w:t>
      </w:r>
      <w:r w:rsidR="00995602">
        <w:rPr>
          <w:rFonts w:eastAsia="Times New Roman" w:cs="Times New Roman"/>
          <w:bCs/>
          <w:szCs w:val="24"/>
          <w:shd w:val="clear" w:color="auto" w:fill="FFFFFF"/>
          <w:lang w:eastAsia="pl-PL"/>
        </w:rPr>
        <w:t xml:space="preserve"> (Wykres 7)</w:t>
      </w:r>
      <w:r w:rsidRPr="0033034E">
        <w:rPr>
          <w:rFonts w:eastAsia="Times New Roman" w:cs="Times New Roman"/>
          <w:bCs/>
          <w:szCs w:val="24"/>
          <w:shd w:val="clear" w:color="auto" w:fill="FFFFFF"/>
          <w:lang w:eastAsia="pl-PL"/>
        </w:rPr>
        <w:t>. Na tle 2024 r. wyróżnia się przede wszystkim wyższe oszacowanie dla dzieci oraz niższe dla osób starszych.</w:t>
      </w:r>
    </w:p>
    <w:p w14:paraId="2896E76A" w14:textId="676B5392" w:rsidR="005E6CC8" w:rsidRPr="00964346" w:rsidRDefault="005E6CC8" w:rsidP="00995602">
      <w:pPr>
        <w:keepNext/>
        <w:keepLines/>
        <w:shd w:val="clear" w:color="auto" w:fill="FFFFFF" w:themeFill="background1"/>
        <w:spacing w:before="240" w:line="240" w:lineRule="auto"/>
        <w:ind w:left="851" w:hanging="851"/>
        <w:rPr>
          <w:b/>
          <w:noProof/>
          <w:sz w:val="18"/>
          <w:szCs w:val="19"/>
          <w:lang w:eastAsia="pl-PL"/>
        </w:rPr>
      </w:pPr>
      <w:r w:rsidRPr="00964346">
        <w:rPr>
          <w:b/>
          <w:noProof/>
          <w:sz w:val="18"/>
          <w:szCs w:val="19"/>
          <w:lang w:eastAsia="pl-PL"/>
        </w:rPr>
        <w:lastRenderedPageBreak/>
        <w:t xml:space="preserve">Wykres </w:t>
      </w:r>
      <w:r w:rsidR="00E0646A" w:rsidRPr="00964346">
        <w:rPr>
          <w:b/>
          <w:noProof/>
          <w:sz w:val="18"/>
          <w:szCs w:val="19"/>
          <w:lang w:eastAsia="pl-PL"/>
        </w:rPr>
        <w:t>8</w:t>
      </w:r>
      <w:r w:rsidRPr="00964346">
        <w:rPr>
          <w:b/>
          <w:noProof/>
          <w:sz w:val="18"/>
          <w:szCs w:val="19"/>
          <w:lang w:eastAsia="pl-PL"/>
        </w:rPr>
        <w:t xml:space="preserve">. Zasięg </w:t>
      </w:r>
      <w:r w:rsidR="009F7972" w:rsidRPr="00964346">
        <w:rPr>
          <w:b/>
          <w:noProof/>
          <w:sz w:val="18"/>
          <w:szCs w:val="19"/>
          <w:lang w:eastAsia="pl-PL"/>
        </w:rPr>
        <w:t xml:space="preserve">zagrożenia </w:t>
      </w:r>
      <w:r w:rsidRPr="00964346">
        <w:rPr>
          <w:b/>
          <w:noProof/>
          <w:sz w:val="18"/>
          <w:szCs w:val="19"/>
          <w:lang w:eastAsia="pl-PL"/>
        </w:rPr>
        <w:t>ubóstw</w:t>
      </w:r>
      <w:r w:rsidR="009F7972" w:rsidRPr="00964346">
        <w:rPr>
          <w:b/>
          <w:noProof/>
          <w:sz w:val="18"/>
          <w:szCs w:val="19"/>
          <w:lang w:eastAsia="pl-PL"/>
        </w:rPr>
        <w:t>em</w:t>
      </w:r>
      <w:r w:rsidRPr="00964346">
        <w:rPr>
          <w:b/>
          <w:noProof/>
          <w:sz w:val="18"/>
          <w:szCs w:val="19"/>
          <w:lang w:eastAsia="pl-PL"/>
        </w:rPr>
        <w:t xml:space="preserve"> skrajn</w:t>
      </w:r>
      <w:r w:rsidR="009F7972" w:rsidRPr="00964346">
        <w:rPr>
          <w:b/>
          <w:noProof/>
          <w:sz w:val="18"/>
          <w:szCs w:val="19"/>
          <w:lang w:eastAsia="pl-PL"/>
        </w:rPr>
        <w:t>ym</w:t>
      </w:r>
      <w:r w:rsidRPr="00964346">
        <w:rPr>
          <w:b/>
          <w:noProof/>
          <w:sz w:val="18"/>
          <w:szCs w:val="19"/>
          <w:lang w:eastAsia="pl-PL"/>
        </w:rPr>
        <w:t xml:space="preserve"> w 202</w:t>
      </w:r>
      <w:r w:rsidR="00F77AC0">
        <w:rPr>
          <w:b/>
          <w:noProof/>
          <w:sz w:val="18"/>
          <w:szCs w:val="19"/>
          <w:lang w:eastAsia="pl-PL"/>
        </w:rPr>
        <w:t>4</w:t>
      </w:r>
      <w:r w:rsidRPr="00964346">
        <w:rPr>
          <w:b/>
          <w:noProof/>
          <w:sz w:val="18"/>
          <w:szCs w:val="19"/>
          <w:lang w:eastAsia="pl-PL"/>
        </w:rPr>
        <w:t xml:space="preserve"> r. i 202</w:t>
      </w:r>
      <w:r w:rsidR="00F77AC0">
        <w:rPr>
          <w:b/>
          <w:noProof/>
          <w:sz w:val="18"/>
          <w:szCs w:val="19"/>
          <w:lang w:eastAsia="pl-PL"/>
        </w:rPr>
        <w:t>5</w:t>
      </w:r>
      <w:r w:rsidRPr="00964346">
        <w:rPr>
          <w:b/>
          <w:noProof/>
          <w:sz w:val="18"/>
          <w:szCs w:val="19"/>
          <w:lang w:eastAsia="pl-PL"/>
        </w:rPr>
        <w:t xml:space="preserve"> r. według poziomu wykształcenia </w:t>
      </w:r>
      <w:r w:rsidR="00B1738A">
        <w:rPr>
          <w:b/>
          <w:noProof/>
          <w:sz w:val="18"/>
          <w:szCs w:val="19"/>
          <w:lang w:eastAsia="pl-PL"/>
        </w:rPr>
        <w:t xml:space="preserve">osoby odniesienia w </w:t>
      </w:r>
      <w:r w:rsidRPr="00964346">
        <w:rPr>
          <w:b/>
          <w:noProof/>
          <w:sz w:val="18"/>
          <w:szCs w:val="19"/>
          <w:lang w:eastAsia="pl-PL"/>
        </w:rPr>
        <w:t>gospodarstw</w:t>
      </w:r>
      <w:r w:rsidR="00B1738A">
        <w:rPr>
          <w:b/>
          <w:noProof/>
          <w:sz w:val="18"/>
          <w:szCs w:val="19"/>
          <w:lang w:eastAsia="pl-PL"/>
        </w:rPr>
        <w:t>ie</w:t>
      </w:r>
      <w:r w:rsidRPr="00964346">
        <w:rPr>
          <w:b/>
          <w:noProof/>
          <w:sz w:val="18"/>
          <w:szCs w:val="19"/>
          <w:lang w:eastAsia="pl-PL"/>
        </w:rPr>
        <w:t xml:space="preserve"> domow</w:t>
      </w:r>
      <w:r w:rsidR="00B1738A">
        <w:rPr>
          <w:b/>
          <w:noProof/>
          <w:sz w:val="18"/>
          <w:szCs w:val="19"/>
          <w:lang w:eastAsia="pl-PL"/>
        </w:rPr>
        <w:t>ym</w:t>
      </w:r>
      <w:r w:rsidR="00F34872" w:rsidRPr="00964346">
        <w:rPr>
          <w:b/>
          <w:noProof/>
          <w:sz w:val="18"/>
          <w:szCs w:val="19"/>
          <w:lang w:eastAsia="pl-PL"/>
        </w:rPr>
        <w:t xml:space="preserve"> </w:t>
      </w:r>
      <w:r w:rsidR="00F34872" w:rsidRPr="00964346">
        <w:rPr>
          <w:b/>
          <w:noProof/>
          <w:sz w:val="18"/>
          <w:szCs w:val="18"/>
          <w:lang w:eastAsia="pl-PL"/>
        </w:rPr>
        <w:t>(% osób w gospodarstwach domowych)</w:t>
      </w:r>
    </w:p>
    <w:p w14:paraId="4038A3E7" w14:textId="53D8DE12" w:rsidR="005E6CC8" w:rsidRPr="00964346" w:rsidRDefault="00E40C2E" w:rsidP="00995602">
      <w:pPr>
        <w:keepNext/>
        <w:keepLines/>
        <w:shd w:val="clear" w:color="auto" w:fill="FFFFFF" w:themeFill="background1"/>
        <w:spacing w:before="240" w:line="240" w:lineRule="auto"/>
        <w:rPr>
          <w:noProof/>
          <w:sz w:val="18"/>
          <w:szCs w:val="19"/>
          <w:lang w:eastAsia="pl-PL"/>
        </w:rPr>
      </w:pPr>
      <w:r>
        <w:rPr>
          <w:noProof/>
          <w:lang w:eastAsia="pl-PL"/>
        </w:rPr>
        <w:drawing>
          <wp:inline distT="0" distB="0" distL="0" distR="0" wp14:anchorId="41CC2BC9" wp14:editId="62933951">
            <wp:extent cx="5049525" cy="2718990"/>
            <wp:effectExtent l="0" t="0" r="0" b="5715"/>
            <wp:docPr id="40" name="Wykres 40">
              <a:extLst xmlns:a="http://schemas.openxmlformats.org/drawingml/2006/main">
                <a:ext uri="{FF2B5EF4-FFF2-40B4-BE49-F238E27FC236}">
                  <a16:creationId xmlns:a16="http://schemas.microsoft.com/office/drawing/2014/main" id="{00000000-0008-0000-06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CE5629" w:rsidRPr="00964346">
        <w:rPr>
          <w:noProof/>
          <w:szCs w:val="19"/>
          <w:lang w:eastAsia="pl-PL"/>
        </w:rPr>
        <mc:AlternateContent>
          <mc:Choice Requires="wps">
            <w:drawing>
              <wp:anchor distT="45720" distB="45720" distL="114300" distR="114300" simplePos="0" relativeHeight="251868160" behindDoc="0" locked="0" layoutInCell="1" allowOverlap="1" wp14:anchorId="651211F0" wp14:editId="05F716DE">
                <wp:simplePos x="0" y="0"/>
                <wp:positionH relativeFrom="page">
                  <wp:posOffset>5761990</wp:posOffset>
                </wp:positionH>
                <wp:positionV relativeFrom="paragraph">
                  <wp:posOffset>82550</wp:posOffset>
                </wp:positionV>
                <wp:extent cx="1767840" cy="1920240"/>
                <wp:effectExtent l="0" t="0" r="0" b="0"/>
                <wp:wrapNone/>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1920240"/>
                        </a:xfrm>
                        <a:prstGeom prst="rect">
                          <a:avLst/>
                        </a:prstGeom>
                        <a:noFill/>
                        <a:ln w="9525">
                          <a:noFill/>
                          <a:miter lim="800000"/>
                          <a:headEnd/>
                          <a:tailEnd/>
                        </a:ln>
                      </wps:spPr>
                      <wps:txbx>
                        <w:txbxContent>
                          <w:p w14:paraId="2B9094F0" w14:textId="460FDA5C" w:rsidR="00837C4C" w:rsidRPr="00B921FC" w:rsidRDefault="0058388C" w:rsidP="005E6CC8">
                            <w:pPr>
                              <w:suppressAutoHyphens/>
                              <w:rPr>
                                <w:color w:val="001D77"/>
                                <w:sz w:val="18"/>
                                <w:szCs w:val="18"/>
                              </w:rPr>
                            </w:pPr>
                            <w:r w:rsidRPr="0058388C">
                              <w:rPr>
                                <w:color w:val="001D77"/>
                                <w:sz w:val="18"/>
                                <w:szCs w:val="18"/>
                              </w:rPr>
                              <w:t>Ubóstwo skrajne pozostaje silnie związane z poziomem wykształcenia głowy gospodarstwa: im niższe wykształcenie, tym wyższ</w:t>
                            </w:r>
                            <w:r>
                              <w:rPr>
                                <w:color w:val="001D77"/>
                                <w:sz w:val="18"/>
                                <w:szCs w:val="18"/>
                              </w:rPr>
                              <w:t>y</w:t>
                            </w:r>
                            <w:r w:rsidRPr="0058388C">
                              <w:rPr>
                                <w:color w:val="001D77"/>
                                <w:sz w:val="18"/>
                                <w:szCs w:val="18"/>
                              </w:rPr>
                              <w:t xml:space="preserve"> </w:t>
                            </w:r>
                            <w:r>
                              <w:rPr>
                                <w:color w:val="001D77"/>
                                <w:sz w:val="18"/>
                                <w:szCs w:val="18"/>
                              </w:rPr>
                              <w:t>poziom zagrożenia ubóstwem</w:t>
                            </w:r>
                            <w:r w:rsidRPr="0058388C">
                              <w:rPr>
                                <w:color w:val="001D77"/>
                                <w:sz w:val="18"/>
                                <w:szCs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1211F0" id="_x0000_s1036" type="#_x0000_t202" style="position:absolute;margin-left:453.7pt;margin-top:6.5pt;width:139.2pt;height:151.2pt;z-index:25186816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" filled="f" stroked="f">
                <v:textbox style="mso-fit-shape-to-text:t">
                  <w:txbxContent>
                    <w:p w14:paraId="2B9094F0" w14:textId="460FDA5C" w:rsidR="00837C4C" w:rsidRPr="00B921FC" w:rsidRDefault="0058388C" w:rsidP="005E6CC8">
                      <w:pPr>
                        <w:suppressAutoHyphens/>
                        <w:rPr>
                          <w:color w:val="001D77"/>
                          <w:sz w:val="18"/>
                          <w:szCs w:val="18"/>
                        </w:rPr>
                      </w:pPr>
                      <w:r w:rsidRPr="0058388C">
                        <w:rPr>
                          <w:color w:val="001D77"/>
                          <w:sz w:val="18"/>
                          <w:szCs w:val="18"/>
                        </w:rPr>
                        <w:t>Ubóstwo skrajne pozostaje silnie związane z poziomem wykształcenia głowy gospodarstwa: im niższe wykształcenie, tym wyższ</w:t>
                      </w:r>
                      <w:r>
                        <w:rPr>
                          <w:color w:val="001D77"/>
                          <w:sz w:val="18"/>
                          <w:szCs w:val="18"/>
                        </w:rPr>
                        <w:t>y</w:t>
                      </w:r>
                      <w:r w:rsidRPr="0058388C">
                        <w:rPr>
                          <w:color w:val="001D77"/>
                          <w:sz w:val="18"/>
                          <w:szCs w:val="18"/>
                        </w:rPr>
                        <w:t xml:space="preserve"> </w:t>
                      </w:r>
                      <w:r>
                        <w:rPr>
                          <w:color w:val="001D77"/>
                          <w:sz w:val="18"/>
                          <w:szCs w:val="18"/>
                        </w:rPr>
                        <w:t>poziom zagrożenia ubóstwem</w:t>
                      </w:r>
                      <w:r w:rsidRPr="0058388C">
                        <w:rPr>
                          <w:color w:val="001D77"/>
                          <w:sz w:val="18"/>
                          <w:szCs w:val="18"/>
                        </w:rPr>
                        <w:t>.</w:t>
                      </w:r>
                    </w:p>
                  </w:txbxContent>
                </v:textbox>
                <w10:wrap anchorx="page"/>
              </v:shape>
            </w:pict>
          </mc:Fallback>
        </mc:AlternateContent>
      </w:r>
    </w:p>
    <w:p w14:paraId="218999B7" w14:textId="71EA9137" w:rsidR="0033034E" w:rsidRDefault="0033034E" w:rsidP="00F947BB">
      <w:pPr>
        <w:shd w:val="clear" w:color="auto" w:fill="FFFFFF" w:themeFill="background1"/>
        <w:spacing w:before="240" w:line="259" w:lineRule="auto"/>
        <w:rPr>
          <w:rFonts w:eastAsia="Times New Roman" w:cs="Times New Roman"/>
          <w:bCs/>
          <w:szCs w:val="24"/>
          <w:shd w:val="clear" w:color="auto" w:fill="FFFFFF"/>
          <w:lang w:eastAsia="pl-PL"/>
        </w:rPr>
      </w:pPr>
      <w:r w:rsidRPr="0033034E">
        <w:rPr>
          <w:rFonts w:eastAsia="Times New Roman" w:cs="Times New Roman"/>
          <w:bCs/>
          <w:szCs w:val="24"/>
          <w:shd w:val="clear" w:color="auto" w:fill="FFFFFF"/>
          <w:lang w:eastAsia="pl-PL"/>
        </w:rPr>
        <w:t xml:space="preserve">Poziom wykształcenia </w:t>
      </w:r>
      <w:r w:rsidR="00B1738A">
        <w:rPr>
          <w:rFonts w:eastAsia="Times New Roman" w:cs="Times New Roman"/>
          <w:bCs/>
          <w:szCs w:val="24"/>
          <w:shd w:val="clear" w:color="auto" w:fill="FFFFFF"/>
          <w:lang w:eastAsia="pl-PL"/>
        </w:rPr>
        <w:t>osoby odniesienia (</w:t>
      </w:r>
      <w:r w:rsidRPr="0033034E">
        <w:rPr>
          <w:rFonts w:eastAsia="Times New Roman" w:cs="Times New Roman"/>
          <w:bCs/>
          <w:szCs w:val="24"/>
          <w:shd w:val="clear" w:color="auto" w:fill="FFFFFF"/>
          <w:lang w:eastAsia="pl-PL"/>
        </w:rPr>
        <w:t>głowy</w:t>
      </w:r>
      <w:r w:rsidR="00B1738A">
        <w:rPr>
          <w:rFonts w:eastAsia="Times New Roman" w:cs="Times New Roman"/>
          <w:bCs/>
          <w:szCs w:val="24"/>
          <w:shd w:val="clear" w:color="auto" w:fill="FFFFFF"/>
          <w:lang w:eastAsia="pl-PL"/>
        </w:rPr>
        <w:t>) w</w:t>
      </w:r>
      <w:r w:rsidRPr="0033034E">
        <w:rPr>
          <w:rFonts w:eastAsia="Times New Roman" w:cs="Times New Roman"/>
          <w:bCs/>
          <w:szCs w:val="24"/>
          <w:shd w:val="clear" w:color="auto" w:fill="FFFFFF"/>
          <w:lang w:eastAsia="pl-PL"/>
        </w:rPr>
        <w:t xml:space="preserve"> gospodarstw</w:t>
      </w:r>
      <w:r w:rsidR="00B1738A">
        <w:rPr>
          <w:rFonts w:eastAsia="Times New Roman" w:cs="Times New Roman"/>
          <w:bCs/>
          <w:szCs w:val="24"/>
          <w:shd w:val="clear" w:color="auto" w:fill="FFFFFF"/>
          <w:lang w:eastAsia="pl-PL"/>
        </w:rPr>
        <w:t>ie</w:t>
      </w:r>
      <w:r w:rsidRPr="0033034E">
        <w:rPr>
          <w:rFonts w:eastAsia="Times New Roman" w:cs="Times New Roman"/>
          <w:bCs/>
          <w:szCs w:val="24"/>
          <w:shd w:val="clear" w:color="auto" w:fill="FFFFFF"/>
          <w:lang w:eastAsia="pl-PL"/>
        </w:rPr>
        <w:t xml:space="preserve"> domow</w:t>
      </w:r>
      <w:r w:rsidR="00B1738A">
        <w:rPr>
          <w:rFonts w:eastAsia="Times New Roman" w:cs="Times New Roman"/>
          <w:bCs/>
          <w:szCs w:val="24"/>
          <w:shd w:val="clear" w:color="auto" w:fill="FFFFFF"/>
          <w:lang w:eastAsia="pl-PL"/>
        </w:rPr>
        <w:t>ym</w:t>
      </w:r>
      <w:r w:rsidRPr="0033034E">
        <w:rPr>
          <w:rFonts w:eastAsia="Times New Roman" w:cs="Times New Roman"/>
          <w:bCs/>
          <w:szCs w:val="24"/>
          <w:shd w:val="clear" w:color="auto" w:fill="FFFFFF"/>
          <w:lang w:eastAsia="pl-PL"/>
        </w:rPr>
        <w:t xml:space="preserve"> wyraźnie różnicował oszacowany zasięg zagrożenia ubóstwem skrajnym</w:t>
      </w:r>
      <w:r>
        <w:rPr>
          <w:rFonts w:eastAsia="Times New Roman" w:cs="Times New Roman"/>
          <w:bCs/>
          <w:szCs w:val="24"/>
          <w:shd w:val="clear" w:color="auto" w:fill="FFFFFF"/>
          <w:lang w:eastAsia="pl-PL"/>
        </w:rPr>
        <w:t xml:space="preserve"> (Wykres 8)</w:t>
      </w:r>
      <w:r w:rsidRPr="0033034E">
        <w:rPr>
          <w:rFonts w:eastAsia="Times New Roman" w:cs="Times New Roman"/>
          <w:bCs/>
          <w:szCs w:val="24"/>
          <w:shd w:val="clear" w:color="auto" w:fill="FFFFFF"/>
          <w:lang w:eastAsia="pl-PL"/>
        </w:rPr>
        <w:t>. W 2025 r. najwyższą wartość wskaźnika odnotowano wśród osób żyjących w gospodarstwach, w których głowa gospodarstwa miała wykształcenie co najwyżej gimnazjalne (14,3%). Wyraźnie niższa, choć nadal ponadprzeciętna, była wartość wskaźnika w gospodarstwach z głową o wykształceniu zasadniczym zawodowym</w:t>
      </w:r>
      <w:r w:rsidR="00CB27EE">
        <w:rPr>
          <w:rFonts w:eastAsia="Times New Roman" w:cs="Times New Roman"/>
          <w:bCs/>
          <w:szCs w:val="24"/>
          <w:shd w:val="clear" w:color="auto" w:fill="FFFFFF"/>
          <w:lang w:eastAsia="pl-PL"/>
        </w:rPr>
        <w:t>/</w:t>
      </w:r>
      <w:r w:rsidRPr="0033034E">
        <w:rPr>
          <w:rFonts w:eastAsia="Times New Roman" w:cs="Times New Roman"/>
          <w:bCs/>
          <w:szCs w:val="24"/>
          <w:shd w:val="clear" w:color="auto" w:fill="FFFFFF"/>
          <w:lang w:eastAsia="pl-PL"/>
        </w:rPr>
        <w:t xml:space="preserve">branżowym (8,9%). W gospodarstwach, w których </w:t>
      </w:r>
      <w:r w:rsidR="00B1738A">
        <w:rPr>
          <w:rFonts w:eastAsia="Times New Roman" w:cs="Times New Roman"/>
          <w:bCs/>
          <w:szCs w:val="24"/>
          <w:shd w:val="clear" w:color="auto" w:fill="FFFFFF"/>
          <w:lang w:eastAsia="pl-PL"/>
        </w:rPr>
        <w:t xml:space="preserve">osoba odniesienia </w:t>
      </w:r>
      <w:r w:rsidRPr="0033034E">
        <w:rPr>
          <w:rFonts w:eastAsia="Times New Roman" w:cs="Times New Roman"/>
          <w:bCs/>
          <w:szCs w:val="24"/>
          <w:shd w:val="clear" w:color="auto" w:fill="FFFFFF"/>
          <w:lang w:eastAsia="pl-PL"/>
        </w:rPr>
        <w:t>miała wykształcenie średnie albo wyższe, oszacowane wartości były zdecydowanie niższe i wyniosły odpowiednio 4,4% oraz 1,7%.</w:t>
      </w:r>
    </w:p>
    <w:p w14:paraId="57F498F4" w14:textId="41B68714" w:rsidR="00E458DE" w:rsidRPr="003A7CA6" w:rsidRDefault="0033034E" w:rsidP="00F947BB">
      <w:pPr>
        <w:shd w:val="clear" w:color="auto" w:fill="FFFFFF" w:themeFill="background1"/>
        <w:spacing w:before="240" w:line="259" w:lineRule="auto"/>
        <w:rPr>
          <w:rFonts w:eastAsia="Times New Roman" w:cs="Times New Roman"/>
          <w:bCs/>
          <w:szCs w:val="24"/>
          <w:shd w:val="clear" w:color="auto" w:fill="FFFFFF"/>
          <w:lang w:eastAsia="pl-PL"/>
        </w:rPr>
      </w:pPr>
      <w:r w:rsidRPr="0033034E">
        <w:rPr>
          <w:rFonts w:eastAsia="Times New Roman" w:cs="Times New Roman"/>
          <w:bCs/>
          <w:szCs w:val="24"/>
          <w:shd w:val="clear" w:color="auto" w:fill="FFFFFF"/>
          <w:lang w:eastAsia="pl-PL"/>
        </w:rPr>
        <w:t>W porównaniu z 2024 r. szczególnie wyróżnia się wyższ</w:t>
      </w:r>
      <w:r w:rsidR="00646570">
        <w:rPr>
          <w:rFonts w:eastAsia="Times New Roman" w:cs="Times New Roman"/>
          <w:bCs/>
          <w:szCs w:val="24"/>
          <w:shd w:val="clear" w:color="auto" w:fill="FFFFFF"/>
          <w:lang w:eastAsia="pl-PL"/>
        </w:rPr>
        <w:t>a wartość</w:t>
      </w:r>
      <w:r w:rsidRPr="0033034E">
        <w:rPr>
          <w:rFonts w:eastAsia="Times New Roman" w:cs="Times New Roman"/>
          <w:bCs/>
          <w:szCs w:val="24"/>
          <w:shd w:val="clear" w:color="auto" w:fill="FFFFFF"/>
          <w:lang w:eastAsia="pl-PL"/>
        </w:rPr>
        <w:t xml:space="preserve"> oszacowan</w:t>
      </w:r>
      <w:r w:rsidR="00646570">
        <w:rPr>
          <w:rFonts w:eastAsia="Times New Roman" w:cs="Times New Roman"/>
          <w:bCs/>
          <w:szCs w:val="24"/>
          <w:shd w:val="clear" w:color="auto" w:fill="FFFFFF"/>
          <w:lang w:eastAsia="pl-PL"/>
        </w:rPr>
        <w:t>ego zagrożenia ubóstwem skrajnym</w:t>
      </w:r>
      <w:r w:rsidRPr="0033034E">
        <w:rPr>
          <w:rFonts w:eastAsia="Times New Roman" w:cs="Times New Roman"/>
          <w:bCs/>
          <w:szCs w:val="24"/>
          <w:shd w:val="clear" w:color="auto" w:fill="FFFFFF"/>
          <w:lang w:eastAsia="pl-PL"/>
        </w:rPr>
        <w:t xml:space="preserve"> dla osób z gospodarstw, w których głowa gospodarstwa miała wykształcenie co najwyżej gimnazjalne. W przypadku gospodarstw z głową o wykształceniu średnim lub wyższym wartości wskaźnika były zbliżone albo niższe niż rok wcześniej.</w:t>
      </w:r>
    </w:p>
    <w:p w14:paraId="18A30A63" w14:textId="4C1F1772" w:rsidR="005E6CC8" w:rsidRPr="00964346" w:rsidRDefault="006C1FBD" w:rsidP="00995602">
      <w:pPr>
        <w:keepNext/>
        <w:keepLines/>
        <w:shd w:val="clear" w:color="auto" w:fill="FFFFFF" w:themeFill="background1"/>
        <w:spacing w:before="240" w:line="240" w:lineRule="auto"/>
        <w:ind w:left="851" w:hanging="851"/>
        <w:rPr>
          <w:b/>
          <w:noProof/>
          <w:sz w:val="18"/>
          <w:szCs w:val="19"/>
          <w:lang w:eastAsia="pl-PL"/>
        </w:rPr>
      </w:pPr>
      <w:r w:rsidRPr="003A7CA6">
        <w:rPr>
          <w:noProof/>
          <w:szCs w:val="19"/>
          <w:lang w:eastAsia="pl-PL"/>
        </w:rPr>
        <w:lastRenderedPageBreak/>
        <mc:AlternateContent>
          <mc:Choice Requires="wps">
            <w:drawing>
              <wp:anchor distT="45720" distB="45720" distL="114300" distR="114300" simplePos="0" relativeHeight="251884544" behindDoc="0" locked="0" layoutInCell="1" allowOverlap="1" wp14:anchorId="20464DC5" wp14:editId="1895FCB6">
                <wp:simplePos x="0" y="0"/>
                <wp:positionH relativeFrom="column">
                  <wp:posOffset>5315447</wp:posOffset>
                </wp:positionH>
                <wp:positionV relativeFrom="paragraph">
                  <wp:posOffset>78077</wp:posOffset>
                </wp:positionV>
                <wp:extent cx="1645920" cy="1160891"/>
                <wp:effectExtent l="0" t="0" r="0" b="1270"/>
                <wp:wrapNone/>
                <wp:docPr id="3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1160891"/>
                        </a:xfrm>
                        <a:prstGeom prst="rect">
                          <a:avLst/>
                        </a:prstGeom>
                        <a:noFill/>
                        <a:ln w="9525">
                          <a:noFill/>
                          <a:miter lim="800000"/>
                          <a:headEnd/>
                          <a:tailEnd/>
                        </a:ln>
                      </wps:spPr>
                      <wps:txbx>
                        <w:txbxContent>
                          <w:p w14:paraId="15A9C0F9" w14:textId="4B73FB11" w:rsidR="00837C4C" w:rsidRPr="00330E56" w:rsidRDefault="00837C4C" w:rsidP="00AC65A1">
                            <w:pPr>
                              <w:suppressAutoHyphens/>
                              <w:rPr>
                                <w:color w:val="001D77"/>
                                <w:sz w:val="18"/>
                              </w:rPr>
                            </w:pPr>
                            <w:r>
                              <w:rPr>
                                <w:color w:val="001D77"/>
                                <w:sz w:val="18"/>
                              </w:rPr>
                              <w:t>Zasięgi zagrożenia ubóstwem skrajnym rosły wraz ze zmniejszając</w:t>
                            </w:r>
                            <w:r w:rsidR="00227906">
                              <w:rPr>
                                <w:color w:val="001D77"/>
                                <w:sz w:val="18"/>
                              </w:rPr>
                              <w:t>ą</w:t>
                            </w:r>
                            <w:r>
                              <w:rPr>
                                <w:color w:val="001D77"/>
                                <w:sz w:val="18"/>
                              </w:rPr>
                              <w:t xml:space="preserve"> się liczbą mieszkańców </w:t>
                            </w:r>
                            <w:r w:rsidR="00227906">
                              <w:rPr>
                                <w:color w:val="001D77"/>
                                <w:sz w:val="18"/>
                              </w:rPr>
                              <w:t xml:space="preserve">wyróżnionych </w:t>
                            </w:r>
                            <w:r>
                              <w:rPr>
                                <w:color w:val="001D77"/>
                                <w:sz w:val="18"/>
                              </w:rPr>
                              <w:t>klas miejscowości</w:t>
                            </w:r>
                            <w:r w:rsidR="00CB27EE">
                              <w:rPr>
                                <w:color w:val="001D77"/>
                                <w:sz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464DC5" id="_x0000_s1037" type="#_x0000_t202" style="position:absolute;left:0;text-align:left;margin-left:418.55pt;margin-top:6.15pt;width:129.6pt;height:91.4pt;z-index:251884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" filled="f" stroked="f">
                <v:textbox>
                  <w:txbxContent>
                    <w:p w14:paraId="15A9C0F9" w14:textId="4B73FB11" w:rsidR="00837C4C" w:rsidRPr="00330E56" w:rsidRDefault="00837C4C" w:rsidP="00AC65A1">
                      <w:pPr>
                        <w:suppressAutoHyphens/>
                        <w:rPr>
                          <w:color w:val="001D77"/>
                          <w:sz w:val="18"/>
                        </w:rPr>
                      </w:pPr>
                      <w:r>
                        <w:rPr>
                          <w:color w:val="001D77"/>
                          <w:sz w:val="18"/>
                        </w:rPr>
                        <w:t>Zasięgi zagrożenia ubóstwem skrajnym rosły wraz ze zmniejszając</w:t>
                      </w:r>
                      <w:r w:rsidR="00227906">
                        <w:rPr>
                          <w:color w:val="001D77"/>
                          <w:sz w:val="18"/>
                        </w:rPr>
                        <w:t>ą</w:t>
                      </w:r>
                      <w:r>
                        <w:rPr>
                          <w:color w:val="001D77"/>
                          <w:sz w:val="18"/>
                        </w:rPr>
                        <w:t xml:space="preserve"> się liczbą mieszkańców </w:t>
                      </w:r>
                      <w:r w:rsidR="00227906">
                        <w:rPr>
                          <w:color w:val="001D77"/>
                          <w:sz w:val="18"/>
                        </w:rPr>
                        <w:t xml:space="preserve">wyróżnionych </w:t>
                      </w:r>
                      <w:r>
                        <w:rPr>
                          <w:color w:val="001D77"/>
                          <w:sz w:val="18"/>
                        </w:rPr>
                        <w:t>klas miejscowości</w:t>
                      </w:r>
                      <w:r w:rsidR="00CB27EE">
                        <w:rPr>
                          <w:color w:val="001D77"/>
                          <w:sz w:val="18"/>
                        </w:rPr>
                        <w:t>.</w:t>
                      </w:r>
                    </w:p>
                  </w:txbxContent>
                </v:textbox>
              </v:shape>
            </w:pict>
          </mc:Fallback>
        </mc:AlternateContent>
      </w:r>
      <w:r w:rsidR="005E6CC8" w:rsidRPr="00964346">
        <w:rPr>
          <w:b/>
          <w:noProof/>
          <w:sz w:val="18"/>
          <w:szCs w:val="19"/>
          <w:lang w:eastAsia="pl-PL"/>
        </w:rPr>
        <w:t xml:space="preserve">Wykres </w:t>
      </w:r>
      <w:r w:rsidR="00E0646A" w:rsidRPr="00964346">
        <w:rPr>
          <w:b/>
          <w:noProof/>
          <w:sz w:val="18"/>
          <w:szCs w:val="19"/>
          <w:lang w:eastAsia="pl-PL"/>
        </w:rPr>
        <w:t>9</w:t>
      </w:r>
      <w:r w:rsidR="005E6CC8" w:rsidRPr="00964346">
        <w:rPr>
          <w:b/>
          <w:noProof/>
          <w:sz w:val="18"/>
          <w:szCs w:val="19"/>
          <w:lang w:eastAsia="pl-PL"/>
        </w:rPr>
        <w:t xml:space="preserve">. Zasięg </w:t>
      </w:r>
      <w:r w:rsidR="009F7972" w:rsidRPr="00964346">
        <w:rPr>
          <w:b/>
          <w:noProof/>
          <w:sz w:val="18"/>
          <w:szCs w:val="19"/>
          <w:lang w:eastAsia="pl-PL"/>
        </w:rPr>
        <w:t xml:space="preserve">zagrożenia </w:t>
      </w:r>
      <w:r w:rsidR="005E6CC8" w:rsidRPr="00964346">
        <w:rPr>
          <w:b/>
          <w:noProof/>
          <w:sz w:val="18"/>
          <w:szCs w:val="19"/>
          <w:lang w:eastAsia="pl-PL"/>
        </w:rPr>
        <w:t>ubóstw</w:t>
      </w:r>
      <w:r w:rsidR="009F7972" w:rsidRPr="00964346">
        <w:rPr>
          <w:b/>
          <w:noProof/>
          <w:sz w:val="18"/>
          <w:szCs w:val="19"/>
          <w:lang w:eastAsia="pl-PL"/>
        </w:rPr>
        <w:t>em</w:t>
      </w:r>
      <w:r w:rsidR="005E6CC8" w:rsidRPr="00964346">
        <w:rPr>
          <w:b/>
          <w:noProof/>
          <w:sz w:val="18"/>
          <w:szCs w:val="19"/>
          <w:lang w:eastAsia="pl-PL"/>
        </w:rPr>
        <w:t xml:space="preserve"> skrajn</w:t>
      </w:r>
      <w:r w:rsidR="009F7972" w:rsidRPr="00964346">
        <w:rPr>
          <w:b/>
          <w:noProof/>
          <w:sz w:val="18"/>
          <w:szCs w:val="19"/>
          <w:lang w:eastAsia="pl-PL"/>
        </w:rPr>
        <w:t>ym</w:t>
      </w:r>
      <w:r w:rsidR="005E6CC8" w:rsidRPr="00964346">
        <w:rPr>
          <w:b/>
          <w:noProof/>
          <w:sz w:val="18"/>
          <w:szCs w:val="19"/>
          <w:lang w:eastAsia="pl-PL"/>
        </w:rPr>
        <w:t xml:space="preserve"> w 202</w:t>
      </w:r>
      <w:r w:rsidR="00F77AC0">
        <w:rPr>
          <w:b/>
          <w:noProof/>
          <w:sz w:val="18"/>
          <w:szCs w:val="19"/>
          <w:lang w:eastAsia="pl-PL"/>
        </w:rPr>
        <w:t>4</w:t>
      </w:r>
      <w:r w:rsidR="005E6CC8" w:rsidRPr="00964346">
        <w:rPr>
          <w:b/>
          <w:noProof/>
          <w:sz w:val="18"/>
          <w:szCs w:val="19"/>
          <w:lang w:eastAsia="pl-PL"/>
        </w:rPr>
        <w:t xml:space="preserve"> r. i 202</w:t>
      </w:r>
      <w:r w:rsidR="00F77AC0">
        <w:rPr>
          <w:b/>
          <w:noProof/>
          <w:sz w:val="18"/>
          <w:szCs w:val="19"/>
          <w:lang w:eastAsia="pl-PL"/>
        </w:rPr>
        <w:t>5</w:t>
      </w:r>
      <w:r w:rsidR="005E6CC8" w:rsidRPr="00964346">
        <w:rPr>
          <w:b/>
          <w:noProof/>
          <w:sz w:val="18"/>
          <w:szCs w:val="19"/>
          <w:lang w:eastAsia="pl-PL"/>
        </w:rPr>
        <w:t xml:space="preserve"> r. według klasy miejscowości zamieszkania</w:t>
      </w:r>
      <w:r w:rsidR="00170AD8" w:rsidRPr="00964346">
        <w:rPr>
          <w:b/>
          <w:noProof/>
          <w:sz w:val="18"/>
          <w:szCs w:val="19"/>
          <w:lang w:eastAsia="pl-PL"/>
        </w:rPr>
        <w:t xml:space="preserve"> </w:t>
      </w:r>
      <w:r w:rsidR="00F34872" w:rsidRPr="00964346">
        <w:rPr>
          <w:b/>
          <w:noProof/>
          <w:sz w:val="18"/>
          <w:szCs w:val="18"/>
          <w:lang w:eastAsia="pl-PL"/>
        </w:rPr>
        <w:t>(% osób w gospodarstwach domowych)</w:t>
      </w:r>
    </w:p>
    <w:p w14:paraId="140A570F" w14:textId="77777777" w:rsidR="0033034E" w:rsidRDefault="00E40C2E" w:rsidP="00995602">
      <w:pPr>
        <w:keepNext/>
        <w:keepLines/>
        <w:shd w:val="clear" w:color="auto" w:fill="FFFFFF" w:themeFill="background1"/>
        <w:spacing w:before="240" w:line="240" w:lineRule="auto"/>
        <w:rPr>
          <w:noProof/>
          <w:sz w:val="18"/>
          <w:szCs w:val="19"/>
          <w:lang w:eastAsia="pl-PL"/>
        </w:rPr>
      </w:pPr>
      <w:r>
        <w:rPr>
          <w:noProof/>
          <w:lang w:eastAsia="pl-PL"/>
        </w:rPr>
        <w:drawing>
          <wp:inline distT="0" distB="0" distL="0" distR="0" wp14:anchorId="1707CB9C" wp14:editId="47531E58">
            <wp:extent cx="5040994" cy="3254178"/>
            <wp:effectExtent l="0" t="0" r="7620" b="3810"/>
            <wp:docPr id="41" name="Wykres 41">
              <a:extLst xmlns:a="http://schemas.openxmlformats.org/drawingml/2006/main">
                <a:ext uri="{FF2B5EF4-FFF2-40B4-BE49-F238E27FC236}">
                  <a16:creationId xmlns:a16="http://schemas.microsoft.com/office/drawing/2014/main" id="{00000000-0008-0000-07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833A60E" w14:textId="368448A4" w:rsidR="0058388C" w:rsidRPr="0058388C" w:rsidRDefault="006144EA" w:rsidP="00F947BB">
      <w:pPr>
        <w:shd w:val="clear" w:color="auto" w:fill="FFFFFF" w:themeFill="background1"/>
        <w:spacing w:before="240" w:line="240" w:lineRule="auto"/>
        <w:rPr>
          <w:rFonts w:eastAsia="Times New Roman" w:cs="Times New Roman"/>
          <w:bCs/>
          <w:szCs w:val="24"/>
          <w:shd w:val="clear" w:color="auto" w:fill="FFFFFF"/>
          <w:lang w:eastAsia="pl-PL"/>
        </w:rPr>
      </w:pPr>
      <w:r w:rsidRPr="006144EA">
        <w:rPr>
          <w:rFonts w:eastAsia="Times New Roman" w:cs="Times New Roman"/>
          <w:bCs/>
          <w:szCs w:val="24"/>
          <w:shd w:val="clear" w:color="auto" w:fill="FFFFFF"/>
          <w:lang w:eastAsia="pl-PL"/>
        </w:rPr>
        <w:t xml:space="preserve">Klasa miejscowości zamieszkania nadal silnie różnicowała oszacowany zasięg zagrożenia ubóstwem skrajnym. W 2025 r. wartość wskaźnika była znacznie wyższa wśród osób mieszkających na wsi (9,5%) niż wśród mieszkańców miast (2,5%). W obrębie miast widoczny był umiarkowany gradient związany z ich wielkością: najniższą wartość odnotowano </w:t>
      </w:r>
      <w:r w:rsidR="00054874">
        <w:rPr>
          <w:rFonts w:eastAsia="Times New Roman" w:cs="Times New Roman"/>
          <w:bCs/>
          <w:szCs w:val="24"/>
          <w:shd w:val="clear" w:color="auto" w:fill="FFFFFF"/>
          <w:lang w:eastAsia="pl-PL"/>
        </w:rPr>
        <w:br/>
      </w:r>
      <w:r w:rsidRPr="006144EA">
        <w:rPr>
          <w:rFonts w:eastAsia="Times New Roman" w:cs="Times New Roman"/>
          <w:bCs/>
          <w:szCs w:val="24"/>
          <w:shd w:val="clear" w:color="auto" w:fill="FFFFFF"/>
          <w:lang w:eastAsia="pl-PL"/>
        </w:rPr>
        <w:t xml:space="preserve">w miastach liczących co najmniej 500 tys. mieszkańców (1,1%), a najwyższą w miastach poniżej 20 tys. mieszkańców (3,4%). </w:t>
      </w:r>
    </w:p>
    <w:p w14:paraId="0AE94C3F" w14:textId="72B3D651" w:rsidR="00BE3BE3" w:rsidRDefault="00FC1759" w:rsidP="00F947BB">
      <w:pPr>
        <w:shd w:val="clear" w:color="auto" w:fill="FFFFFF" w:themeFill="background1"/>
        <w:spacing w:before="240" w:line="240" w:lineRule="auto"/>
        <w:rPr>
          <w:noProof/>
          <w:szCs w:val="19"/>
          <w:lang w:eastAsia="pl-PL"/>
        </w:rPr>
      </w:pPr>
      <w:r w:rsidRPr="00FC1759">
        <w:rPr>
          <w:rFonts w:eastAsia="Times New Roman" w:cs="Times New Roman"/>
          <w:bCs/>
          <w:szCs w:val="24"/>
          <w:shd w:val="clear" w:color="auto" w:fill="FFFFFF"/>
          <w:lang w:eastAsia="pl-PL"/>
        </w:rPr>
        <w:t xml:space="preserve">Największe zróżnicowanie widoczne było po rozróżnieniu obszarów wiejskich na aglomeracyjne i </w:t>
      </w:r>
      <w:proofErr w:type="spellStart"/>
      <w:r w:rsidRPr="00FC1759">
        <w:rPr>
          <w:rFonts w:eastAsia="Times New Roman" w:cs="Times New Roman"/>
          <w:bCs/>
          <w:szCs w:val="24"/>
          <w:shd w:val="clear" w:color="auto" w:fill="FFFFFF"/>
          <w:lang w:eastAsia="pl-PL"/>
        </w:rPr>
        <w:t>pozaaglomeracyjne</w:t>
      </w:r>
      <w:proofErr w:type="spellEnd"/>
      <w:r w:rsidRPr="00FC1759">
        <w:rPr>
          <w:rFonts w:eastAsia="Times New Roman" w:cs="Times New Roman"/>
          <w:bCs/>
          <w:szCs w:val="24"/>
          <w:shd w:val="clear" w:color="auto" w:fill="FFFFFF"/>
          <w:lang w:eastAsia="pl-PL"/>
        </w:rPr>
        <w:t xml:space="preserve">. Wśród osób mieszkających na aglomeracyjnych obszarach wiejskich oszacowany zasięg zagrożenia ubóstwem skrajnym wyniósł 3,9%, podczas gdy na </w:t>
      </w:r>
      <w:proofErr w:type="spellStart"/>
      <w:r w:rsidRPr="00FC1759">
        <w:rPr>
          <w:rFonts w:eastAsia="Times New Roman" w:cs="Times New Roman"/>
          <w:bCs/>
          <w:szCs w:val="24"/>
          <w:shd w:val="clear" w:color="auto" w:fill="FFFFFF"/>
          <w:lang w:eastAsia="pl-PL"/>
        </w:rPr>
        <w:t>pozaaglomeracyjnych</w:t>
      </w:r>
      <w:proofErr w:type="spellEnd"/>
      <w:r w:rsidRPr="00FC1759">
        <w:rPr>
          <w:rFonts w:eastAsia="Times New Roman" w:cs="Times New Roman"/>
          <w:bCs/>
          <w:szCs w:val="24"/>
          <w:shd w:val="clear" w:color="auto" w:fill="FFFFFF"/>
          <w:lang w:eastAsia="pl-PL"/>
        </w:rPr>
        <w:t xml:space="preserve"> obszarach wiejskich — 11,3%. Oznacza to, że wyższe ryzyko ubóstwa skrajnego na wsi koncentrowało się przede wszystkim poza strefami oddziaływania dużych ośrodków miejskich.</w:t>
      </w:r>
    </w:p>
    <w:p w14:paraId="331ED0B3" w14:textId="2FC468E6" w:rsidR="00CA20EB" w:rsidRDefault="00CA20EB" w:rsidP="00995602">
      <w:pPr>
        <w:keepNext/>
        <w:keepLines/>
        <w:shd w:val="clear" w:color="auto" w:fill="FFFFFF" w:themeFill="background1"/>
        <w:spacing w:line="240" w:lineRule="auto"/>
        <w:ind w:left="964" w:hanging="964"/>
        <w:jc w:val="both"/>
        <w:rPr>
          <w:b/>
          <w:noProof/>
          <w:sz w:val="18"/>
          <w:szCs w:val="18"/>
          <w:lang w:eastAsia="pl-PL"/>
        </w:rPr>
      </w:pPr>
      <w:bookmarkStart w:id="5" w:name="_Hlk201326827"/>
      <w:r w:rsidRPr="00FD19A9">
        <w:rPr>
          <w:b/>
          <w:noProof/>
          <w:sz w:val="18"/>
          <w:szCs w:val="19"/>
          <w:lang w:eastAsia="pl-PL"/>
        </w:rPr>
        <w:t>Wykres 10.</w:t>
      </w:r>
      <w:r w:rsidRPr="00964346">
        <w:rPr>
          <w:b/>
          <w:noProof/>
          <w:sz w:val="18"/>
          <w:szCs w:val="19"/>
          <w:lang w:eastAsia="pl-PL"/>
        </w:rPr>
        <w:t xml:space="preserve"> Zasięg </w:t>
      </w:r>
      <w:r w:rsidR="005D05A7">
        <w:rPr>
          <w:b/>
          <w:noProof/>
          <w:sz w:val="18"/>
          <w:szCs w:val="19"/>
          <w:lang w:eastAsia="pl-PL"/>
        </w:rPr>
        <w:t xml:space="preserve">zagrożenia </w:t>
      </w:r>
      <w:r w:rsidRPr="00964346">
        <w:rPr>
          <w:b/>
          <w:noProof/>
          <w:sz w:val="18"/>
          <w:szCs w:val="19"/>
          <w:lang w:eastAsia="pl-PL"/>
        </w:rPr>
        <w:t>ubóstw</w:t>
      </w:r>
      <w:r w:rsidR="005D05A7">
        <w:rPr>
          <w:b/>
          <w:noProof/>
          <w:sz w:val="18"/>
          <w:szCs w:val="19"/>
          <w:lang w:eastAsia="pl-PL"/>
        </w:rPr>
        <w:t>em</w:t>
      </w:r>
      <w:r w:rsidRPr="00964346">
        <w:rPr>
          <w:b/>
          <w:noProof/>
          <w:sz w:val="18"/>
          <w:szCs w:val="19"/>
          <w:lang w:eastAsia="pl-PL"/>
        </w:rPr>
        <w:t xml:space="preserve"> skrajn</w:t>
      </w:r>
      <w:r w:rsidR="005D05A7">
        <w:rPr>
          <w:b/>
          <w:noProof/>
          <w:sz w:val="18"/>
          <w:szCs w:val="19"/>
          <w:lang w:eastAsia="pl-PL"/>
        </w:rPr>
        <w:t>ym</w:t>
      </w:r>
      <w:r w:rsidRPr="00964346">
        <w:rPr>
          <w:b/>
          <w:noProof/>
          <w:sz w:val="18"/>
          <w:szCs w:val="19"/>
          <w:lang w:eastAsia="pl-PL"/>
        </w:rPr>
        <w:t xml:space="preserve"> w 202</w:t>
      </w:r>
      <w:r w:rsidR="00F77AC0">
        <w:rPr>
          <w:b/>
          <w:noProof/>
          <w:sz w:val="18"/>
          <w:szCs w:val="19"/>
          <w:lang w:eastAsia="pl-PL"/>
        </w:rPr>
        <w:t>4</w:t>
      </w:r>
      <w:r w:rsidRPr="00964346">
        <w:rPr>
          <w:b/>
          <w:noProof/>
          <w:sz w:val="18"/>
          <w:szCs w:val="19"/>
          <w:lang w:eastAsia="pl-PL"/>
        </w:rPr>
        <w:t xml:space="preserve"> r. i 202</w:t>
      </w:r>
      <w:r w:rsidR="00F77AC0">
        <w:rPr>
          <w:b/>
          <w:noProof/>
          <w:sz w:val="18"/>
          <w:szCs w:val="19"/>
          <w:lang w:eastAsia="pl-PL"/>
        </w:rPr>
        <w:t>5</w:t>
      </w:r>
      <w:r w:rsidRPr="00964346">
        <w:rPr>
          <w:b/>
          <w:noProof/>
          <w:sz w:val="18"/>
          <w:szCs w:val="19"/>
          <w:lang w:eastAsia="pl-PL"/>
        </w:rPr>
        <w:t xml:space="preserve"> r. według </w:t>
      </w:r>
      <w:r w:rsidR="00E645C0">
        <w:rPr>
          <w:b/>
          <w:noProof/>
          <w:sz w:val="18"/>
          <w:szCs w:val="19"/>
          <w:lang w:eastAsia="pl-PL"/>
        </w:rPr>
        <w:t>makroregionów</w:t>
      </w:r>
      <w:r w:rsidR="00457BD1">
        <w:rPr>
          <w:b/>
          <w:noProof/>
          <w:sz w:val="18"/>
          <w:szCs w:val="19"/>
          <w:lang w:eastAsia="pl-PL"/>
        </w:rPr>
        <w:t xml:space="preserve"> </w:t>
      </w:r>
      <w:r w:rsidRPr="00964346">
        <w:rPr>
          <w:b/>
          <w:noProof/>
          <w:sz w:val="18"/>
          <w:szCs w:val="18"/>
          <w:lang w:eastAsia="pl-PL"/>
        </w:rPr>
        <w:t>(%</w:t>
      </w:r>
      <w:r w:rsidR="00A61E82">
        <w:rPr>
          <w:b/>
          <w:noProof/>
          <w:sz w:val="18"/>
          <w:szCs w:val="18"/>
          <w:lang w:eastAsia="pl-PL"/>
        </w:rPr>
        <w:t> </w:t>
      </w:r>
      <w:r w:rsidRPr="00964346">
        <w:rPr>
          <w:b/>
          <w:noProof/>
          <w:sz w:val="18"/>
          <w:szCs w:val="18"/>
          <w:lang w:eastAsia="pl-PL"/>
        </w:rPr>
        <w:t>osób w</w:t>
      </w:r>
      <w:r w:rsidR="00A61E82">
        <w:rPr>
          <w:b/>
          <w:noProof/>
          <w:sz w:val="18"/>
          <w:szCs w:val="18"/>
          <w:lang w:eastAsia="pl-PL"/>
        </w:rPr>
        <w:t xml:space="preserve"> </w:t>
      </w:r>
      <w:r w:rsidRPr="00964346">
        <w:rPr>
          <w:b/>
          <w:noProof/>
          <w:sz w:val="18"/>
          <w:szCs w:val="18"/>
          <w:lang w:eastAsia="pl-PL"/>
        </w:rPr>
        <w:t>gospodarstwach domowych</w:t>
      </w:r>
      <w:bookmarkEnd w:id="5"/>
      <w:r w:rsidRPr="00964346">
        <w:rPr>
          <w:b/>
          <w:noProof/>
          <w:sz w:val="18"/>
          <w:szCs w:val="18"/>
          <w:lang w:eastAsia="pl-PL"/>
        </w:rPr>
        <w:t>)</w:t>
      </w:r>
    </w:p>
    <w:p w14:paraId="1CF905FD" w14:textId="003C028F" w:rsidR="00E40C2E" w:rsidRDefault="00F928B7" w:rsidP="00995602">
      <w:pPr>
        <w:keepNext/>
        <w:keepLines/>
        <w:shd w:val="clear" w:color="auto" w:fill="FFFFFF" w:themeFill="background1"/>
        <w:spacing w:line="240" w:lineRule="auto"/>
        <w:ind w:left="964" w:hanging="964"/>
        <w:jc w:val="both"/>
        <w:rPr>
          <w:b/>
          <w:noProof/>
          <w:sz w:val="18"/>
          <w:szCs w:val="19"/>
          <w:lang w:eastAsia="pl-PL"/>
        </w:rPr>
      </w:pPr>
      <w:r>
        <w:rPr>
          <w:noProof/>
          <w:lang w:eastAsia="pl-PL"/>
        </w:rPr>
        <w:drawing>
          <wp:inline distT="0" distB="0" distL="0" distR="0" wp14:anchorId="193ACF5D" wp14:editId="120265D6">
            <wp:extent cx="5122545" cy="2816225"/>
            <wp:effectExtent l="0" t="0" r="1905" b="3175"/>
            <wp:docPr id="53" name="Wykres 53">
              <a:extLst xmlns:a="http://schemas.openxmlformats.org/drawingml/2006/main">
                <a:ext uri="{FF2B5EF4-FFF2-40B4-BE49-F238E27FC236}">
                  <a16:creationId xmlns:a16="http://schemas.microsoft.com/office/drawing/2014/main" id="{00000000-0008-0000-0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AB52A53" w14:textId="4ED1CED2" w:rsidR="00FC1759" w:rsidRPr="00FC1759" w:rsidRDefault="00FC1759" w:rsidP="00F947BB">
      <w:pPr>
        <w:shd w:val="clear" w:color="auto" w:fill="FFFFFF" w:themeFill="background1"/>
        <w:rPr>
          <w:noProof/>
          <w:szCs w:val="19"/>
          <w:lang w:eastAsia="pl-PL"/>
        </w:rPr>
      </w:pPr>
      <w:r w:rsidRPr="00FC1759">
        <w:rPr>
          <w:noProof/>
          <w:szCs w:val="19"/>
          <w:lang w:eastAsia="pl-PL"/>
        </w:rPr>
        <w:t xml:space="preserve">Zróżnicowanie widoczne było także w przekroju </w:t>
      </w:r>
      <w:r>
        <w:rPr>
          <w:noProof/>
          <w:szCs w:val="19"/>
          <w:lang w:eastAsia="pl-PL"/>
        </w:rPr>
        <w:t>terytorialnym (</w:t>
      </w:r>
      <w:r w:rsidR="003E35BE">
        <w:rPr>
          <w:noProof/>
          <w:szCs w:val="19"/>
          <w:lang w:eastAsia="pl-PL"/>
        </w:rPr>
        <w:t>Wykres</w:t>
      </w:r>
      <w:r>
        <w:rPr>
          <w:noProof/>
          <w:szCs w:val="19"/>
          <w:lang w:eastAsia="pl-PL"/>
        </w:rPr>
        <w:t xml:space="preserve"> 10)</w:t>
      </w:r>
      <w:r w:rsidRPr="00FC1759">
        <w:rPr>
          <w:noProof/>
          <w:szCs w:val="19"/>
          <w:lang w:eastAsia="pl-PL"/>
        </w:rPr>
        <w:t xml:space="preserve">. W 2025 r. najwyższy oszacowany zasięg zagrożenia ubóstwem skrajnym odnotowano w makroregionie centralnym (9,1%), a następnie w północnym (7,2%). </w:t>
      </w:r>
      <w:r w:rsidR="003E35BE" w:rsidRPr="003E35BE">
        <w:rPr>
          <w:noProof/>
          <w:szCs w:val="19"/>
          <w:lang w:eastAsia="pl-PL"/>
        </w:rPr>
        <w:t xml:space="preserve">W makroregionie wschodnim wartość </w:t>
      </w:r>
      <w:r w:rsidR="003E35BE" w:rsidRPr="003E35BE">
        <w:rPr>
          <w:noProof/>
          <w:szCs w:val="19"/>
          <w:lang w:eastAsia="pl-PL"/>
        </w:rPr>
        <w:lastRenderedPageBreak/>
        <w:t>wskaźnika była zbliżona do przeciętnej krajowej (5,6%). Niższe wartości oszacowano dla makroregionu południowego (4,7%), północno-zachodniego (4,5%), województwa mazowieckiego (4,0%) oraz makroregionu południowo-zachodniego (3,8%).</w:t>
      </w:r>
    </w:p>
    <w:p w14:paraId="0E4489AE" w14:textId="0BE39160" w:rsidR="00B53884" w:rsidRPr="00964346" w:rsidRDefault="00FC1759" w:rsidP="00F947BB">
      <w:pPr>
        <w:shd w:val="clear" w:color="auto" w:fill="FFFFFF" w:themeFill="background1"/>
        <w:rPr>
          <w:rFonts w:eastAsia="Times New Roman" w:cs="Times New Roman"/>
          <w:bCs/>
          <w:szCs w:val="24"/>
          <w:shd w:val="clear" w:color="auto" w:fill="FFFFFF"/>
          <w:lang w:eastAsia="pl-PL"/>
        </w:rPr>
      </w:pPr>
      <w:r w:rsidRPr="00FC1759">
        <w:rPr>
          <w:noProof/>
          <w:szCs w:val="19"/>
          <w:lang w:eastAsia="pl-PL"/>
        </w:rPr>
        <w:t xml:space="preserve">Na tle 2024 r. wyróżniały się przede wszystkim makroregiony północny i południowy, dla których oszacowane wartości wskaźnika były odpowiednio wyższe i niższe niż rok wcześniej. </w:t>
      </w:r>
      <w:r w:rsidR="00054874">
        <w:rPr>
          <w:noProof/>
          <w:szCs w:val="19"/>
          <w:lang w:eastAsia="pl-PL"/>
        </w:rPr>
        <w:br/>
      </w:r>
      <w:r w:rsidRPr="00FC1759">
        <w:rPr>
          <w:noProof/>
          <w:szCs w:val="19"/>
          <w:lang w:eastAsia="pl-PL"/>
        </w:rPr>
        <w:t>W makroregionie centralnym utrzymał się natomiast relatywnie wysoki poziom wskaźnika.</w:t>
      </w:r>
      <w:r>
        <w:rPr>
          <w:noProof/>
          <w:szCs w:val="19"/>
          <w:lang w:eastAsia="pl-PL"/>
        </w:rPr>
        <w:t xml:space="preserve"> </w:t>
      </w:r>
    </w:p>
    <w:p w14:paraId="76629593" w14:textId="77777777" w:rsidR="001E6DD6" w:rsidRPr="00964346" w:rsidRDefault="00C62A49" w:rsidP="00964346">
      <w:pPr>
        <w:shd w:val="clear" w:color="auto" w:fill="FFFFFF" w:themeFill="background1"/>
        <w:spacing w:before="240" w:line="240" w:lineRule="auto"/>
        <w:rPr>
          <w:rFonts w:ascii="Fira Sans SemiBold" w:hAnsi="Fira Sans SemiBold"/>
          <w:noProof/>
          <w:color w:val="001D77"/>
          <w:szCs w:val="19"/>
          <w:lang w:eastAsia="pl-PL"/>
        </w:rPr>
      </w:pPr>
      <w:r w:rsidRPr="00964346">
        <w:rPr>
          <w:noProof/>
          <w:color w:val="FF0000"/>
          <w:szCs w:val="19"/>
          <w:lang w:eastAsia="pl-PL"/>
        </w:rPr>
        <mc:AlternateContent>
          <mc:Choice Requires="wps">
            <w:drawing>
              <wp:anchor distT="45720" distB="45720" distL="114300" distR="114300" simplePos="0" relativeHeight="251845632" behindDoc="0" locked="0" layoutInCell="1" allowOverlap="1" wp14:anchorId="28313A5D" wp14:editId="0398C1A1">
                <wp:simplePos x="0" y="0"/>
                <wp:positionH relativeFrom="page">
                  <wp:posOffset>5762663</wp:posOffset>
                </wp:positionH>
                <wp:positionV relativeFrom="paragraph">
                  <wp:posOffset>297010</wp:posOffset>
                </wp:positionV>
                <wp:extent cx="1677600" cy="1310640"/>
                <wp:effectExtent l="0" t="0" r="0" b="0"/>
                <wp:wrapNone/>
                <wp:docPr id="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7600" cy="1310640"/>
                        </a:xfrm>
                        <a:prstGeom prst="rect">
                          <a:avLst/>
                        </a:prstGeom>
                        <a:noFill/>
                        <a:ln w="9525">
                          <a:noFill/>
                          <a:miter lim="800000"/>
                          <a:headEnd/>
                          <a:tailEnd/>
                        </a:ln>
                      </wps:spPr>
                      <wps:txbx>
                        <w:txbxContent>
                          <w:p w14:paraId="745116D4" w14:textId="35F74927" w:rsidR="00837C4C" w:rsidRPr="00330E56" w:rsidRDefault="00837C4C" w:rsidP="00694BB5">
                            <w:pPr>
                              <w:suppressAutoHyphens/>
                              <w:rPr>
                                <w:color w:val="001D77"/>
                                <w:sz w:val="18"/>
                              </w:rPr>
                            </w:pPr>
                            <w:r>
                              <w:rPr>
                                <w:color w:val="001D77"/>
                                <w:sz w:val="18"/>
                              </w:rPr>
                              <w:t>W 202</w:t>
                            </w:r>
                            <w:r w:rsidR="0093439A">
                              <w:rPr>
                                <w:color w:val="001D77"/>
                                <w:sz w:val="18"/>
                              </w:rPr>
                              <w:t>5</w:t>
                            </w:r>
                            <w:r>
                              <w:rPr>
                                <w:color w:val="001D77"/>
                                <w:sz w:val="18"/>
                              </w:rPr>
                              <w:t xml:space="preserve"> r. zasięg zagrożenia </w:t>
                            </w:r>
                            <w:r w:rsidRPr="00B87DAD">
                              <w:rPr>
                                <w:color w:val="001D77"/>
                                <w:sz w:val="18"/>
                              </w:rPr>
                              <w:t>niedostatk</w:t>
                            </w:r>
                            <w:r>
                              <w:rPr>
                                <w:color w:val="001D77"/>
                                <w:sz w:val="18"/>
                              </w:rPr>
                              <w:t>iem</w:t>
                            </w:r>
                            <w:r w:rsidRPr="00B87DAD">
                              <w:rPr>
                                <w:color w:val="001D77"/>
                                <w:sz w:val="18"/>
                              </w:rPr>
                              <w:t xml:space="preserve"> wyniósł 4</w:t>
                            </w:r>
                            <w:r w:rsidR="0093439A">
                              <w:rPr>
                                <w:color w:val="001D77"/>
                                <w:sz w:val="18"/>
                              </w:rPr>
                              <w:t>0</w:t>
                            </w:r>
                            <w:r>
                              <w:rPr>
                                <w:color w:val="001D77"/>
                                <w:sz w:val="18"/>
                              </w:rPr>
                              <w:t>,3%</w:t>
                            </w:r>
                            <w:r w:rsidR="0093439A">
                              <w:rPr>
                                <w:color w:val="001D77"/>
                                <w:sz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313A5D" id="_x0000_s1038" type="#_x0000_t202" style="position:absolute;margin-left:453.75pt;margin-top:23.4pt;width:132.1pt;height:103.2pt;z-index:25184563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" filled="f" stroked="f">
                <v:textbox style="mso-fit-shape-to-text:t">
                  <w:txbxContent>
                    <w:p w14:paraId="745116D4" w14:textId="35F74927" w:rsidR="00837C4C" w:rsidRPr="00330E56" w:rsidRDefault="00837C4C" w:rsidP="00694BB5">
                      <w:pPr>
                        <w:suppressAutoHyphens/>
                        <w:rPr>
                          <w:color w:val="001D77"/>
                          <w:sz w:val="18"/>
                        </w:rPr>
                      </w:pPr>
                      <w:r>
                        <w:rPr>
                          <w:color w:val="001D77"/>
                          <w:sz w:val="18"/>
                        </w:rPr>
                        <w:t>W 202</w:t>
                      </w:r>
                      <w:r w:rsidR="0093439A">
                        <w:rPr>
                          <w:color w:val="001D77"/>
                          <w:sz w:val="18"/>
                        </w:rPr>
                        <w:t>5</w:t>
                      </w:r>
                      <w:r>
                        <w:rPr>
                          <w:color w:val="001D77"/>
                          <w:sz w:val="18"/>
                        </w:rPr>
                        <w:t xml:space="preserve"> r. zasięg zagrożenia </w:t>
                      </w:r>
                      <w:r w:rsidRPr="00B87DAD">
                        <w:rPr>
                          <w:color w:val="001D77"/>
                          <w:sz w:val="18"/>
                        </w:rPr>
                        <w:t>niedostatk</w:t>
                      </w:r>
                      <w:r>
                        <w:rPr>
                          <w:color w:val="001D77"/>
                          <w:sz w:val="18"/>
                        </w:rPr>
                        <w:t>iem</w:t>
                      </w:r>
                      <w:r w:rsidRPr="00B87DAD">
                        <w:rPr>
                          <w:color w:val="001D77"/>
                          <w:sz w:val="18"/>
                        </w:rPr>
                        <w:t xml:space="preserve"> wyniósł 4</w:t>
                      </w:r>
                      <w:r w:rsidR="0093439A">
                        <w:rPr>
                          <w:color w:val="001D77"/>
                          <w:sz w:val="18"/>
                        </w:rPr>
                        <w:t>0</w:t>
                      </w:r>
                      <w:r>
                        <w:rPr>
                          <w:color w:val="001D77"/>
                          <w:sz w:val="18"/>
                        </w:rPr>
                        <w:t>,3%</w:t>
                      </w:r>
                      <w:r w:rsidR="0093439A">
                        <w:rPr>
                          <w:color w:val="001D77"/>
                          <w:sz w:val="18"/>
                        </w:rPr>
                        <w:t>.</w:t>
                      </w:r>
                    </w:p>
                  </w:txbxContent>
                </v:textbox>
                <w10:wrap anchorx="page"/>
              </v:shape>
            </w:pict>
          </mc:Fallback>
        </mc:AlternateContent>
      </w:r>
      <w:r w:rsidR="009F7972" w:rsidRPr="00964346">
        <w:rPr>
          <w:rFonts w:ascii="Fira Sans SemiBold" w:hAnsi="Fira Sans SemiBold"/>
          <w:noProof/>
          <w:color w:val="001D77"/>
          <w:szCs w:val="19"/>
          <w:lang w:eastAsia="pl-PL"/>
        </w:rPr>
        <w:t>Zagrożenie niedostatkiem</w:t>
      </w:r>
      <w:r w:rsidR="00A05407" w:rsidRPr="00964346">
        <w:rPr>
          <w:rFonts w:ascii="Fira Sans SemiBold" w:hAnsi="Fira Sans SemiBold"/>
          <w:noProof/>
          <w:color w:val="001D77"/>
          <w:szCs w:val="19"/>
          <w:vertAlign w:val="superscript"/>
          <w:lang w:eastAsia="pl-PL"/>
        </w:rPr>
        <w:footnoteReference w:id="8"/>
      </w:r>
      <w:r w:rsidR="001E6DD6" w:rsidRPr="00964346">
        <w:rPr>
          <w:szCs w:val="19"/>
        </w:rPr>
        <w:t xml:space="preserve"> </w:t>
      </w:r>
    </w:p>
    <w:p w14:paraId="120E898D" w14:textId="05E80581" w:rsidR="0093439A" w:rsidRDefault="00B66784" w:rsidP="00F947BB">
      <w:pPr>
        <w:shd w:val="clear" w:color="auto" w:fill="FFFFFF" w:themeFill="background1"/>
        <w:suppressAutoHyphens/>
        <w:spacing w:before="240"/>
        <w:rPr>
          <w:szCs w:val="19"/>
        </w:rPr>
      </w:pPr>
      <w:r w:rsidRPr="00964346">
        <w:rPr>
          <w:szCs w:val="19"/>
        </w:rPr>
        <w:t>Niedostatek</w:t>
      </w:r>
      <w:r w:rsidR="009A1538" w:rsidRPr="00964346">
        <w:rPr>
          <w:szCs w:val="19"/>
        </w:rPr>
        <w:t xml:space="preserve">, w </w:t>
      </w:r>
      <w:r w:rsidR="00D77440" w:rsidRPr="00964346">
        <w:rPr>
          <w:szCs w:val="19"/>
        </w:rPr>
        <w:t xml:space="preserve">odróżnieniu od ubóstwa skrajnego, </w:t>
      </w:r>
      <w:r w:rsidR="003E35BE">
        <w:rPr>
          <w:szCs w:val="19"/>
        </w:rPr>
        <w:t xml:space="preserve">odnosi się do </w:t>
      </w:r>
      <w:r w:rsidR="00CC45B9">
        <w:rPr>
          <w:szCs w:val="19"/>
        </w:rPr>
        <w:t xml:space="preserve">wyższego </w:t>
      </w:r>
      <w:r w:rsidR="00E04D9A" w:rsidRPr="00964346">
        <w:rPr>
          <w:szCs w:val="19"/>
        </w:rPr>
        <w:t>poziomu zaspokojenia potrzeb.</w:t>
      </w:r>
      <w:r w:rsidR="00D77440" w:rsidRPr="00964346">
        <w:rPr>
          <w:szCs w:val="19"/>
        </w:rPr>
        <w:t xml:space="preserve"> </w:t>
      </w:r>
      <w:r w:rsidR="001E6DD6" w:rsidRPr="00964346">
        <w:rPr>
          <w:szCs w:val="19"/>
        </w:rPr>
        <w:t xml:space="preserve">Granica </w:t>
      </w:r>
      <w:r w:rsidR="009A1538" w:rsidRPr="00964346">
        <w:rPr>
          <w:szCs w:val="19"/>
        </w:rPr>
        <w:t xml:space="preserve">zagrożenia niedostatkiem (określana wcześniej </w:t>
      </w:r>
      <w:r w:rsidR="00042FA0">
        <w:rPr>
          <w:szCs w:val="19"/>
        </w:rPr>
        <w:t xml:space="preserve">jako </w:t>
      </w:r>
      <w:r w:rsidR="009A1538" w:rsidRPr="00964346">
        <w:rPr>
          <w:szCs w:val="19"/>
        </w:rPr>
        <w:t>granic</w:t>
      </w:r>
      <w:r w:rsidR="00042FA0">
        <w:rPr>
          <w:szCs w:val="19"/>
        </w:rPr>
        <w:t>a</w:t>
      </w:r>
      <w:r w:rsidR="009A1538" w:rsidRPr="00964346">
        <w:rPr>
          <w:szCs w:val="19"/>
        </w:rPr>
        <w:t xml:space="preserve"> </w:t>
      </w:r>
      <w:r w:rsidR="001E6DD6" w:rsidRPr="00964346">
        <w:rPr>
          <w:szCs w:val="19"/>
        </w:rPr>
        <w:t>sfery niedostatku</w:t>
      </w:r>
      <w:r w:rsidR="009A1538" w:rsidRPr="00964346">
        <w:rPr>
          <w:szCs w:val="19"/>
        </w:rPr>
        <w:t xml:space="preserve">) </w:t>
      </w:r>
      <w:r w:rsidR="001E6DD6" w:rsidRPr="00964346">
        <w:rPr>
          <w:szCs w:val="19"/>
        </w:rPr>
        <w:t xml:space="preserve">oparta jest na minimum socjalnym obliczanym przez </w:t>
      </w:r>
      <w:r w:rsidR="009A1538" w:rsidRPr="00964346">
        <w:rPr>
          <w:szCs w:val="19"/>
        </w:rPr>
        <w:br/>
      </w:r>
      <w:proofErr w:type="spellStart"/>
      <w:r w:rsidR="0093439A" w:rsidRPr="00964346">
        <w:rPr>
          <w:szCs w:val="19"/>
        </w:rPr>
        <w:t>IPiSS</w:t>
      </w:r>
      <w:proofErr w:type="spellEnd"/>
      <w:r w:rsidR="0093439A" w:rsidRPr="00964346">
        <w:rPr>
          <w:rStyle w:val="Odwoanieprzypisudolnego"/>
          <w:szCs w:val="19"/>
        </w:rPr>
        <w:footnoteReference w:id="9"/>
      </w:r>
      <w:r w:rsidR="00CC45B9">
        <w:rPr>
          <w:szCs w:val="19"/>
        </w:rPr>
        <w:t>.</w:t>
      </w:r>
      <w:r w:rsidR="0093439A" w:rsidRPr="0093439A">
        <w:rPr>
          <w:szCs w:val="19"/>
        </w:rPr>
        <w:t xml:space="preserve"> </w:t>
      </w:r>
      <w:r w:rsidR="00CC45B9">
        <w:rPr>
          <w:szCs w:val="19"/>
        </w:rPr>
        <w:t>O</w:t>
      </w:r>
      <w:r w:rsidR="0093439A" w:rsidRPr="0093439A">
        <w:rPr>
          <w:szCs w:val="19"/>
        </w:rPr>
        <w:t xml:space="preserve">bejmuje </w:t>
      </w:r>
      <w:r w:rsidR="00CC45B9">
        <w:rPr>
          <w:szCs w:val="19"/>
        </w:rPr>
        <w:t xml:space="preserve">ono </w:t>
      </w:r>
      <w:r w:rsidR="0093439A" w:rsidRPr="0093439A">
        <w:rPr>
          <w:szCs w:val="19"/>
        </w:rPr>
        <w:t xml:space="preserve">nie tylko wydatki niezbędne do biologicznego przetrwania, lecz także koszty pozwalające na pracę, naukę, utrzymywanie relacji społecznych oraz skromne uczestnictwo w kulturze i życiu społecznym. </w:t>
      </w:r>
      <w:r w:rsidR="00C20304">
        <w:rPr>
          <w:szCs w:val="19"/>
        </w:rPr>
        <w:t>W</w:t>
      </w:r>
      <w:r w:rsidR="0093439A" w:rsidRPr="0093439A">
        <w:rPr>
          <w:szCs w:val="19"/>
        </w:rPr>
        <w:t xml:space="preserve">skaźnik zagrożenia niedostatkiem </w:t>
      </w:r>
      <w:r w:rsidR="00C20304">
        <w:rPr>
          <w:szCs w:val="19"/>
        </w:rPr>
        <w:t>przybliża</w:t>
      </w:r>
      <w:r w:rsidR="0093439A" w:rsidRPr="0093439A">
        <w:rPr>
          <w:szCs w:val="19"/>
        </w:rPr>
        <w:t xml:space="preserve"> odsetek osób żyjących poniżej poziomu uznawanego za minimum społecznego funkcjonowania</w:t>
      </w:r>
      <w:r w:rsidR="00A16213" w:rsidRPr="00964346">
        <w:rPr>
          <w:rStyle w:val="Odwoanieprzypisudolnego"/>
          <w:szCs w:val="19"/>
        </w:rPr>
        <w:footnoteReference w:id="10"/>
      </w:r>
      <w:r w:rsidR="00637FD2" w:rsidRPr="00964346">
        <w:rPr>
          <w:szCs w:val="19"/>
        </w:rPr>
        <w:t>.</w:t>
      </w:r>
      <w:r w:rsidR="0093439A">
        <w:rPr>
          <w:szCs w:val="19"/>
        </w:rPr>
        <w:t xml:space="preserve"> </w:t>
      </w:r>
    </w:p>
    <w:p w14:paraId="6F2BFAB9" w14:textId="115E0CC3" w:rsidR="0093439A" w:rsidRPr="0093439A" w:rsidRDefault="0093439A" w:rsidP="00F947BB">
      <w:pPr>
        <w:shd w:val="clear" w:color="auto" w:fill="FFFFFF" w:themeFill="background1"/>
        <w:suppressAutoHyphens/>
        <w:spacing w:before="240"/>
        <w:rPr>
          <w:szCs w:val="19"/>
        </w:rPr>
      </w:pPr>
      <w:r w:rsidRPr="0093439A">
        <w:rPr>
          <w:szCs w:val="19"/>
        </w:rPr>
        <w:t xml:space="preserve">W 2025 r. oszacowany zasięg zagrożenia niedostatkiem wyniósł 40,3% i był zbliżony do wartości z 2024 r. (41,3%). W latach 2010–2025 wskaźnik ten utrzymywał się w przedziale 39–46%. Najwyższą wartość w analizowanym okresie </w:t>
      </w:r>
      <w:r>
        <w:rPr>
          <w:szCs w:val="19"/>
        </w:rPr>
        <w:t>oszacowano</w:t>
      </w:r>
      <w:r w:rsidRPr="0093439A">
        <w:rPr>
          <w:szCs w:val="19"/>
        </w:rPr>
        <w:t xml:space="preserve"> w 2023 r. (46,0%), po czym w latach 2024–2025 oszacowania powróciły do poziomu zbliżonego do wcześniejszych lat.</w:t>
      </w:r>
    </w:p>
    <w:p w14:paraId="3F111F8A" w14:textId="0ED94F27" w:rsidR="001E6DD6" w:rsidRPr="00964346" w:rsidRDefault="0093439A" w:rsidP="00F947BB">
      <w:pPr>
        <w:shd w:val="clear" w:color="auto" w:fill="FFFFFF" w:themeFill="background1"/>
        <w:suppressAutoHyphens/>
        <w:spacing w:before="240"/>
        <w:rPr>
          <w:szCs w:val="19"/>
        </w:rPr>
      </w:pPr>
      <w:r w:rsidRPr="0093439A">
        <w:rPr>
          <w:szCs w:val="19"/>
        </w:rPr>
        <w:t xml:space="preserve">Przebieg </w:t>
      </w:r>
      <w:r w:rsidR="00C20304">
        <w:rPr>
          <w:szCs w:val="19"/>
        </w:rPr>
        <w:t xml:space="preserve">wartości </w:t>
      </w:r>
      <w:r w:rsidRPr="0093439A">
        <w:rPr>
          <w:szCs w:val="19"/>
        </w:rPr>
        <w:t xml:space="preserve">wskaźnika zagrożenia niedostatkiem </w:t>
      </w:r>
      <w:r w:rsidR="00C20304">
        <w:rPr>
          <w:szCs w:val="19"/>
        </w:rPr>
        <w:t xml:space="preserve">w czasie </w:t>
      </w:r>
      <w:r w:rsidRPr="0093439A">
        <w:rPr>
          <w:szCs w:val="19"/>
        </w:rPr>
        <w:t xml:space="preserve">był zbliżony do przebiegu </w:t>
      </w:r>
      <w:r w:rsidR="00C20304">
        <w:rPr>
          <w:szCs w:val="19"/>
        </w:rPr>
        <w:t xml:space="preserve">dla </w:t>
      </w:r>
      <w:r w:rsidRPr="0093439A">
        <w:rPr>
          <w:szCs w:val="19"/>
        </w:rPr>
        <w:t>ubóstwa skrajnego, choć odnosi się do wyższego standardu zaspokojenia potrzeb. W 2025 r. granice zarówno ubóstwa skrajnego, jak i niedostatku dla jednoosobowego gospodarstwa pracowniczego nadal rosły, co odzwierciedlało wzrost kosztów koszyków minimum egzystencji i minimum socjalnego. Mimo wyższych granic, oszacowane wartości obu wskaźników pozostały zbliżone do poziomów z 2024 r.</w:t>
      </w:r>
    </w:p>
    <w:p w14:paraId="42635B80" w14:textId="77777777" w:rsidR="0093439A" w:rsidRDefault="0093439A" w:rsidP="00E377C7">
      <w:pPr>
        <w:shd w:val="clear" w:color="auto" w:fill="FFFFFF" w:themeFill="background1"/>
        <w:spacing w:before="240" w:line="240" w:lineRule="auto"/>
        <w:ind w:left="907" w:hanging="907"/>
        <w:rPr>
          <w:szCs w:val="19"/>
        </w:rPr>
      </w:pPr>
    </w:p>
    <w:p w14:paraId="71939407" w14:textId="08DDDC91" w:rsidR="002E23E8" w:rsidRPr="00964346" w:rsidRDefault="002E23E8" w:rsidP="00995602">
      <w:pPr>
        <w:keepNext/>
        <w:keepLines/>
        <w:shd w:val="clear" w:color="auto" w:fill="FFFFFF" w:themeFill="background1"/>
        <w:spacing w:before="240" w:line="240" w:lineRule="auto"/>
        <w:ind w:left="907" w:hanging="907"/>
        <w:rPr>
          <w:b/>
          <w:noProof/>
          <w:sz w:val="18"/>
          <w:szCs w:val="18"/>
          <w:lang w:eastAsia="pl-PL"/>
        </w:rPr>
      </w:pPr>
      <w:r w:rsidRPr="00964346">
        <w:rPr>
          <w:b/>
          <w:noProof/>
          <w:sz w:val="18"/>
          <w:szCs w:val="18"/>
          <w:lang w:eastAsia="pl-PL"/>
        </w:rPr>
        <w:lastRenderedPageBreak/>
        <w:t xml:space="preserve">Wykres </w:t>
      </w:r>
      <w:r w:rsidR="00E0646A" w:rsidRPr="00964346">
        <w:rPr>
          <w:b/>
          <w:noProof/>
          <w:sz w:val="18"/>
          <w:szCs w:val="18"/>
          <w:lang w:eastAsia="pl-PL"/>
        </w:rPr>
        <w:t>1</w:t>
      </w:r>
      <w:r w:rsidR="009F7972" w:rsidRPr="00964346">
        <w:rPr>
          <w:b/>
          <w:noProof/>
          <w:sz w:val="18"/>
          <w:szCs w:val="18"/>
          <w:lang w:eastAsia="pl-PL"/>
        </w:rPr>
        <w:t>1</w:t>
      </w:r>
      <w:r w:rsidRPr="00964346">
        <w:rPr>
          <w:b/>
          <w:noProof/>
          <w:sz w:val="18"/>
          <w:szCs w:val="18"/>
          <w:lang w:eastAsia="pl-PL"/>
        </w:rPr>
        <w:t xml:space="preserve">. Zasięg </w:t>
      </w:r>
      <w:r w:rsidR="009F7972" w:rsidRPr="00964346">
        <w:rPr>
          <w:b/>
          <w:noProof/>
          <w:sz w:val="18"/>
          <w:szCs w:val="18"/>
          <w:lang w:eastAsia="pl-PL"/>
        </w:rPr>
        <w:t xml:space="preserve">zagrożenia </w:t>
      </w:r>
      <w:r w:rsidRPr="00964346">
        <w:rPr>
          <w:b/>
          <w:noProof/>
          <w:sz w:val="18"/>
          <w:szCs w:val="18"/>
          <w:lang w:eastAsia="pl-PL"/>
        </w:rPr>
        <w:t>ubóstw</w:t>
      </w:r>
      <w:r w:rsidR="009F7972" w:rsidRPr="00964346">
        <w:rPr>
          <w:b/>
          <w:noProof/>
          <w:sz w:val="18"/>
          <w:szCs w:val="18"/>
          <w:lang w:eastAsia="pl-PL"/>
        </w:rPr>
        <w:t>em</w:t>
      </w:r>
      <w:r w:rsidRPr="00964346">
        <w:rPr>
          <w:b/>
          <w:noProof/>
          <w:sz w:val="18"/>
          <w:szCs w:val="18"/>
          <w:lang w:eastAsia="pl-PL"/>
        </w:rPr>
        <w:t xml:space="preserve"> skrajn</w:t>
      </w:r>
      <w:r w:rsidR="009F7972" w:rsidRPr="00964346">
        <w:rPr>
          <w:b/>
          <w:noProof/>
          <w:sz w:val="18"/>
          <w:szCs w:val="18"/>
          <w:lang w:eastAsia="pl-PL"/>
        </w:rPr>
        <w:t>ym</w:t>
      </w:r>
      <w:r w:rsidRPr="00964346">
        <w:rPr>
          <w:b/>
          <w:noProof/>
          <w:sz w:val="18"/>
          <w:szCs w:val="18"/>
          <w:lang w:eastAsia="pl-PL"/>
        </w:rPr>
        <w:t xml:space="preserve"> oraz niedostatk</w:t>
      </w:r>
      <w:r w:rsidR="009F7972" w:rsidRPr="00964346">
        <w:rPr>
          <w:b/>
          <w:noProof/>
          <w:sz w:val="18"/>
          <w:szCs w:val="18"/>
          <w:lang w:eastAsia="pl-PL"/>
        </w:rPr>
        <w:t>iem</w:t>
      </w:r>
      <w:r w:rsidRPr="00964346">
        <w:rPr>
          <w:b/>
          <w:noProof/>
          <w:sz w:val="18"/>
          <w:szCs w:val="18"/>
          <w:lang w:eastAsia="pl-PL"/>
        </w:rPr>
        <w:t xml:space="preserve"> w Polsce w latach </w:t>
      </w:r>
      <w:r w:rsidR="00A77495">
        <w:rPr>
          <w:b/>
          <w:noProof/>
          <w:sz w:val="18"/>
          <w:szCs w:val="18"/>
          <w:lang w:eastAsia="pl-PL"/>
        </w:rPr>
        <w:br/>
      </w:r>
      <w:r w:rsidRPr="00964346">
        <w:rPr>
          <w:b/>
          <w:noProof/>
          <w:sz w:val="18"/>
          <w:szCs w:val="18"/>
          <w:lang w:eastAsia="pl-PL"/>
        </w:rPr>
        <w:t>2010–202</w:t>
      </w:r>
      <w:r w:rsidR="00F77AC0">
        <w:rPr>
          <w:b/>
          <w:noProof/>
          <w:sz w:val="18"/>
          <w:szCs w:val="18"/>
          <w:lang w:eastAsia="pl-PL"/>
        </w:rPr>
        <w:t>5</w:t>
      </w:r>
    </w:p>
    <w:p w14:paraId="45A2CEA6" w14:textId="3F3E150C" w:rsidR="002E23E8" w:rsidRPr="00964346" w:rsidRDefault="00E40C2E" w:rsidP="00995602">
      <w:pPr>
        <w:keepNext/>
        <w:keepLines/>
        <w:shd w:val="clear" w:color="auto" w:fill="FFFFFF" w:themeFill="background1"/>
        <w:spacing w:before="240" w:line="240" w:lineRule="auto"/>
        <w:rPr>
          <w:b/>
          <w:noProof/>
          <w:sz w:val="18"/>
          <w:szCs w:val="18"/>
          <w:lang w:eastAsia="pl-PL"/>
        </w:rPr>
      </w:pPr>
      <w:r>
        <w:rPr>
          <w:noProof/>
          <w:lang w:eastAsia="pl-PL"/>
        </w:rPr>
        <w:drawing>
          <wp:inline distT="0" distB="0" distL="0" distR="0" wp14:anchorId="4BBA4F37" wp14:editId="226DBCB5">
            <wp:extent cx="5314950" cy="4572000"/>
            <wp:effectExtent l="0" t="0" r="0" b="0"/>
            <wp:docPr id="43" name="Wykres 43">
              <a:extLst xmlns:a="http://schemas.openxmlformats.org/drawingml/2006/main">
                <a:ext uri="{FF2B5EF4-FFF2-40B4-BE49-F238E27FC236}">
                  <a16:creationId xmlns:a16="http://schemas.microsoft.com/office/drawing/2014/main" id="{00000000-0008-0000-09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1DE84C2" w14:textId="77777777" w:rsidR="002E23E8" w:rsidRPr="00964346" w:rsidRDefault="002E23E8" w:rsidP="00995602">
      <w:pPr>
        <w:keepNext/>
        <w:keepLines/>
        <w:shd w:val="clear" w:color="auto" w:fill="FFFFFF" w:themeFill="background1"/>
        <w:suppressAutoHyphens/>
        <w:spacing w:before="0"/>
        <w:ind w:firstLine="709"/>
        <w:rPr>
          <w:sz w:val="15"/>
          <w:szCs w:val="15"/>
        </w:rPr>
      </w:pPr>
      <w:r w:rsidRPr="00964346">
        <w:rPr>
          <w:sz w:val="15"/>
          <w:szCs w:val="15"/>
        </w:rPr>
        <w:t>*Średnio w miesiącu w IV kwartale.</w:t>
      </w:r>
    </w:p>
    <w:p w14:paraId="397EF1E1" w14:textId="77777777" w:rsidR="00391B62" w:rsidRPr="00964346" w:rsidRDefault="00391B62" w:rsidP="00995602">
      <w:pPr>
        <w:keepNext/>
        <w:keepLines/>
        <w:shd w:val="clear" w:color="auto" w:fill="FFFFFF" w:themeFill="background1"/>
        <w:spacing w:before="240" w:line="240" w:lineRule="auto"/>
        <w:jc w:val="both"/>
        <w:rPr>
          <w:noProof/>
          <w:szCs w:val="19"/>
          <w:lang w:eastAsia="pl-PL"/>
        </w:rPr>
        <w:sectPr w:rsidR="00391B62" w:rsidRPr="00964346" w:rsidSect="00EF7B36">
          <w:headerReference w:type="default" r:id="rId22"/>
          <w:footerReference w:type="default" r:id="rId23"/>
          <w:headerReference w:type="first" r:id="rId24"/>
          <w:footerReference w:type="first" r:id="rId25"/>
          <w:pgSz w:w="11906" w:h="16838"/>
          <w:pgMar w:top="720" w:right="3119" w:bottom="720" w:left="720" w:header="284" w:footer="283" w:gutter="0"/>
          <w:cols w:space="708"/>
          <w:titlePg/>
          <w:docGrid w:linePitch="360"/>
        </w:sectPr>
      </w:pPr>
    </w:p>
    <w:tbl>
      <w:tblPr>
        <w:tblpPr w:leftFromText="141" w:rightFromText="141" w:vertAnchor="text" w:horzAnchor="margin" w:tblpY="43"/>
        <w:tblW w:w="10467" w:type="dxa"/>
        <w:tblLook w:val="04A0" w:firstRow="1" w:lastRow="0" w:firstColumn="1" w:lastColumn="0" w:noHBand="0" w:noVBand="1"/>
      </w:tblPr>
      <w:tblGrid>
        <w:gridCol w:w="5233"/>
        <w:gridCol w:w="5234"/>
      </w:tblGrid>
      <w:tr w:rsidR="0074742C" w:rsidRPr="001B66B7" w14:paraId="1578526B" w14:textId="77777777" w:rsidTr="00837C4C">
        <w:trPr>
          <w:trHeight w:val="1266"/>
        </w:trPr>
        <w:tc>
          <w:tcPr>
            <w:tcW w:w="5233" w:type="dxa"/>
          </w:tcPr>
          <w:p w14:paraId="561207CC" w14:textId="77777777" w:rsidR="0074742C" w:rsidRPr="004579C8" w:rsidRDefault="0074742C" w:rsidP="00837C4C">
            <w:pPr>
              <w:spacing w:before="0" w:after="0" w:line="276" w:lineRule="auto"/>
              <w:rPr>
                <w:rFonts w:cs="Arial"/>
                <w:sz w:val="20"/>
              </w:rPr>
            </w:pPr>
            <w:r w:rsidRPr="004579C8">
              <w:rPr>
                <w:rFonts w:cs="Arial"/>
                <w:sz w:val="20"/>
              </w:rPr>
              <w:lastRenderedPageBreak/>
              <w:t>Opracowanie merytoryczne:</w:t>
            </w:r>
          </w:p>
          <w:p w14:paraId="0CC20CC2" w14:textId="7762C897" w:rsidR="0074742C" w:rsidRPr="004579C8" w:rsidRDefault="0074742C" w:rsidP="00837C4C">
            <w:pPr>
              <w:pStyle w:val="Nagwek3"/>
              <w:spacing w:before="0" w:after="120" w:line="276" w:lineRule="auto"/>
              <w:rPr>
                <w:rFonts w:ascii="Fira Sans" w:eastAsiaTheme="minorHAnsi" w:hAnsi="Fira Sans" w:cs="Arial"/>
                <w:b/>
                <w:color w:val="auto"/>
                <w:sz w:val="20"/>
                <w:szCs w:val="22"/>
              </w:rPr>
            </w:pPr>
            <w:r w:rsidRPr="004579C8">
              <w:rPr>
                <w:rFonts w:ascii="Fira Sans" w:eastAsiaTheme="minorHAnsi" w:hAnsi="Fira Sans" w:cs="Arial"/>
                <w:b/>
                <w:color w:val="auto"/>
                <w:sz w:val="20"/>
                <w:szCs w:val="22"/>
              </w:rPr>
              <w:t>Departament Badań Społecznych</w:t>
            </w:r>
            <w:r w:rsidR="00AF6733">
              <w:rPr>
                <w:rFonts w:ascii="Fira Sans" w:eastAsiaTheme="minorHAnsi" w:hAnsi="Fira Sans" w:cs="Arial"/>
                <w:b/>
                <w:color w:val="auto"/>
                <w:sz w:val="20"/>
                <w:szCs w:val="22"/>
              </w:rPr>
              <w:t xml:space="preserve"> </w:t>
            </w:r>
          </w:p>
          <w:p w14:paraId="0B701452" w14:textId="194029BD" w:rsidR="0074742C" w:rsidRPr="004579C8" w:rsidRDefault="0074742C" w:rsidP="00837C4C">
            <w:pPr>
              <w:pStyle w:val="Nagwek3"/>
              <w:spacing w:before="0" w:line="276" w:lineRule="auto"/>
              <w:rPr>
                <w:rFonts w:ascii="Fira Sans" w:hAnsi="Fira Sans" w:cs="Arial"/>
                <w:b/>
                <w:color w:val="auto"/>
                <w:sz w:val="20"/>
                <w:szCs w:val="28"/>
              </w:rPr>
            </w:pPr>
            <w:r w:rsidRPr="004579C8">
              <w:rPr>
                <w:rFonts w:ascii="Fira Sans" w:hAnsi="Fira Sans" w:cs="Arial"/>
                <w:b/>
                <w:color w:val="auto"/>
                <w:sz w:val="20"/>
                <w:szCs w:val="28"/>
              </w:rPr>
              <w:t xml:space="preserve">Dyrektor </w:t>
            </w:r>
            <w:r>
              <w:rPr>
                <w:rFonts w:ascii="Fira Sans" w:hAnsi="Fira Sans" w:cs="Arial"/>
                <w:b/>
                <w:color w:val="auto"/>
                <w:sz w:val="20"/>
                <w:szCs w:val="28"/>
              </w:rPr>
              <w:br/>
            </w:r>
            <w:r w:rsidR="00677902">
              <w:rPr>
                <w:rFonts w:ascii="Fira Sans" w:hAnsi="Fira Sans" w:cs="Arial"/>
                <w:b/>
                <w:color w:val="auto"/>
                <w:sz w:val="20"/>
                <w:szCs w:val="28"/>
              </w:rPr>
              <w:t>d</w:t>
            </w:r>
            <w:r>
              <w:rPr>
                <w:rFonts w:ascii="Fira Sans" w:hAnsi="Fira Sans" w:cs="Arial"/>
                <w:b/>
                <w:color w:val="auto"/>
                <w:sz w:val="20"/>
                <w:szCs w:val="28"/>
              </w:rPr>
              <w:t>r</w:t>
            </w:r>
            <w:r w:rsidR="00371CFB">
              <w:rPr>
                <w:rFonts w:ascii="Fira Sans" w:hAnsi="Fira Sans" w:cs="Arial"/>
                <w:b/>
                <w:color w:val="auto"/>
                <w:sz w:val="20"/>
                <w:szCs w:val="28"/>
              </w:rPr>
              <w:t xml:space="preserve"> </w:t>
            </w:r>
            <w:r w:rsidR="00677902">
              <w:rPr>
                <w:rFonts w:ascii="Fira Sans" w:hAnsi="Fira Sans" w:cs="Arial"/>
                <w:b/>
                <w:color w:val="auto"/>
                <w:sz w:val="20"/>
                <w:szCs w:val="28"/>
              </w:rPr>
              <w:t>hab</w:t>
            </w:r>
            <w:r w:rsidR="00371CFB">
              <w:rPr>
                <w:rFonts w:ascii="Fira Sans" w:hAnsi="Fira Sans" w:cs="Arial"/>
                <w:b/>
                <w:color w:val="auto"/>
                <w:sz w:val="20"/>
                <w:szCs w:val="28"/>
              </w:rPr>
              <w:t>.</w:t>
            </w:r>
            <w:r w:rsidR="00677902">
              <w:rPr>
                <w:rFonts w:ascii="Fira Sans" w:hAnsi="Fira Sans" w:cs="Arial"/>
                <w:b/>
                <w:color w:val="auto"/>
                <w:sz w:val="20"/>
                <w:szCs w:val="28"/>
              </w:rPr>
              <w:t xml:space="preserve"> Izabela Grabowska</w:t>
            </w:r>
            <w:r w:rsidR="00F1751F">
              <w:rPr>
                <w:rFonts w:ascii="Fira Sans" w:hAnsi="Fira Sans" w:cs="Arial"/>
                <w:b/>
                <w:color w:val="auto"/>
                <w:sz w:val="20"/>
                <w:szCs w:val="28"/>
              </w:rPr>
              <w:t xml:space="preserve"> </w:t>
            </w:r>
          </w:p>
          <w:p w14:paraId="65C836D9" w14:textId="77777777" w:rsidR="0074742C" w:rsidRPr="004579C8" w:rsidRDefault="0074742C" w:rsidP="00837C4C">
            <w:pPr>
              <w:pStyle w:val="Nagwek3"/>
              <w:spacing w:before="0" w:line="276" w:lineRule="auto"/>
              <w:rPr>
                <w:rFonts w:ascii="Fira Sans" w:hAnsi="Fira Sans"/>
                <w:color w:val="auto"/>
                <w:sz w:val="20"/>
                <w:u w:val="single"/>
              </w:rPr>
            </w:pPr>
            <w:r w:rsidRPr="004579C8">
              <w:rPr>
                <w:rFonts w:ascii="Fira Sans" w:hAnsi="Fira Sans" w:cs="Arial"/>
                <w:color w:val="auto"/>
                <w:sz w:val="20"/>
              </w:rPr>
              <w:t xml:space="preserve">Tel: </w:t>
            </w:r>
            <w:r>
              <w:t xml:space="preserve"> </w:t>
            </w:r>
            <w:r w:rsidRPr="004579C8">
              <w:rPr>
                <w:rFonts w:ascii="Fira Sans" w:hAnsi="Fira Sans" w:cs="Arial"/>
                <w:color w:val="auto"/>
                <w:sz w:val="20"/>
              </w:rPr>
              <w:t>22</w:t>
            </w:r>
            <w:r w:rsidRPr="004579C8">
              <w:rPr>
                <w:color w:val="auto"/>
              </w:rPr>
              <w:t xml:space="preserve"> </w:t>
            </w:r>
            <w:r w:rsidRPr="004579C8">
              <w:rPr>
                <w:rFonts w:ascii="Fira Sans" w:hAnsi="Fira Sans" w:cs="Arial"/>
                <w:color w:val="auto"/>
                <w:sz w:val="20"/>
              </w:rPr>
              <w:t>608 31 22</w:t>
            </w:r>
          </w:p>
        </w:tc>
        <w:tc>
          <w:tcPr>
            <w:tcW w:w="5234" w:type="dxa"/>
          </w:tcPr>
          <w:p w14:paraId="4CED115A" w14:textId="2FE2ECDB" w:rsidR="0074742C" w:rsidRDefault="0074742C" w:rsidP="00837C4C">
            <w:pPr>
              <w:spacing w:before="0" w:line="276" w:lineRule="auto"/>
              <w:rPr>
                <w:rFonts w:cs="Arial"/>
                <w:b/>
                <w:sz w:val="20"/>
              </w:rPr>
            </w:pPr>
            <w:r w:rsidRPr="005B1F7A">
              <w:rPr>
                <w:rFonts w:cs="Arial"/>
                <w:sz w:val="20"/>
              </w:rPr>
              <w:t>Rozpowszechnianie:</w:t>
            </w:r>
            <w:r w:rsidRPr="005B1F7A">
              <w:rPr>
                <w:rFonts w:cs="Arial"/>
                <w:sz w:val="20"/>
              </w:rPr>
              <w:br/>
            </w:r>
            <w:r>
              <w:rPr>
                <w:rFonts w:cs="Arial"/>
                <w:b/>
                <w:sz w:val="20"/>
              </w:rPr>
              <w:t xml:space="preserve">Wydział </w:t>
            </w:r>
            <w:r w:rsidR="002B5B1A">
              <w:rPr>
                <w:rFonts w:cs="Arial"/>
                <w:b/>
                <w:sz w:val="20"/>
              </w:rPr>
              <w:t>Prasowy</w:t>
            </w:r>
          </w:p>
          <w:p w14:paraId="3DBF8076" w14:textId="77777777" w:rsidR="0074742C" w:rsidRDefault="0074742C" w:rsidP="00837C4C">
            <w:r>
              <w:t>Tel. komórkowy: +48 695 255 032</w:t>
            </w:r>
          </w:p>
          <w:p w14:paraId="76B015BE" w14:textId="77777777" w:rsidR="0074742C" w:rsidRDefault="0074742C" w:rsidP="00837C4C">
            <w:pPr>
              <w:ind w:left="1494" w:hanging="1494"/>
            </w:pPr>
            <w:r>
              <w:t>Tel. stacjonarne: +48 22 608 38 04, +48 22 449 41 45,       +48 22 608 30 09</w:t>
            </w:r>
          </w:p>
          <w:p w14:paraId="5C3F02EC" w14:textId="77777777" w:rsidR="0074742C" w:rsidRDefault="0074742C" w:rsidP="00837C4C">
            <w:r w:rsidRPr="00610ED9">
              <w:rPr>
                <w:b/>
                <w:sz w:val="20"/>
              </w:rPr>
              <w:t>e-mail:</w:t>
            </w:r>
            <w:r w:rsidRPr="00610ED9">
              <w:rPr>
                <w:sz w:val="20"/>
              </w:rPr>
              <w:t xml:space="preserve"> </w:t>
            </w:r>
            <w:hyperlink r:id="rId26" w:history="1">
              <w:r w:rsidRPr="00610ED9">
                <w:rPr>
                  <w:rStyle w:val="Hipercze"/>
                  <w:rFonts w:eastAsiaTheme="majorEastAsia" w:cs="Arial"/>
                  <w:b/>
                  <w:color w:val="auto"/>
                  <w:sz w:val="20"/>
                  <w:szCs w:val="20"/>
                </w:rPr>
                <w:t>obslugaprasowa@stat.gov.pl</w:t>
              </w:r>
            </w:hyperlink>
          </w:p>
          <w:p w14:paraId="785FFCF6" w14:textId="77777777" w:rsidR="0074742C" w:rsidRPr="001B66B7" w:rsidRDefault="0074742C" w:rsidP="00837C4C">
            <w:pPr>
              <w:rPr>
                <w:lang w:val="en-US"/>
              </w:rPr>
            </w:pPr>
          </w:p>
        </w:tc>
      </w:tr>
      <w:tr w:rsidR="00B64A60" w:rsidRPr="00230699" w14:paraId="10C76095" w14:textId="77777777" w:rsidTr="00837C4C">
        <w:trPr>
          <w:trHeight w:val="510"/>
        </w:trPr>
        <w:tc>
          <w:tcPr>
            <w:tcW w:w="5233" w:type="dxa"/>
            <w:vMerge w:val="restart"/>
          </w:tcPr>
          <w:p w14:paraId="43FE9FD3" w14:textId="77777777" w:rsidR="00B64A60" w:rsidRPr="001B66B7" w:rsidRDefault="00B64A60" w:rsidP="00B64A60">
            <w:pPr>
              <w:spacing w:before="0" w:after="0" w:line="276" w:lineRule="auto"/>
              <w:rPr>
                <w:rFonts w:cs="Arial"/>
                <w:sz w:val="20"/>
                <w:lang w:val="en-GB"/>
              </w:rPr>
            </w:pPr>
          </w:p>
        </w:tc>
        <w:tc>
          <w:tcPr>
            <w:tcW w:w="5234" w:type="dxa"/>
            <w:vAlign w:val="center"/>
          </w:tcPr>
          <w:p w14:paraId="1A462A09" w14:textId="39788FF2" w:rsidR="00B64A60" w:rsidRPr="00230699" w:rsidRDefault="00B64A60" w:rsidP="00B64A60">
            <w:pPr>
              <w:spacing w:line="276" w:lineRule="auto"/>
              <w:ind w:firstLine="754"/>
              <w:rPr>
                <w:rFonts w:cs="Arial"/>
                <w:color w:val="000000" w:themeColor="text1"/>
                <w:sz w:val="20"/>
              </w:rPr>
            </w:pPr>
            <w:r>
              <w:rPr>
                <w:noProof/>
                <w:sz w:val="20"/>
                <w:lang w:eastAsia="pl-PL"/>
              </w:rPr>
              <w:drawing>
                <wp:anchor distT="0" distB="0" distL="114300" distR="114300" simplePos="0" relativeHeight="251906048" behindDoc="0" locked="0" layoutInCell="1" allowOverlap="1" wp14:anchorId="61370BCE" wp14:editId="17CCD653">
                  <wp:simplePos x="0" y="0"/>
                  <wp:positionH relativeFrom="column">
                    <wp:posOffset>78740</wp:posOffset>
                  </wp:positionH>
                  <wp:positionV relativeFrom="paragraph">
                    <wp:posOffset>21590</wp:posOffset>
                  </wp:positionV>
                  <wp:extent cx="251460" cy="251460"/>
                  <wp:effectExtent l="0" t="0" r="0" b="0"/>
                  <wp:wrapNone/>
                  <wp:docPr id="4" name="Obraz 4"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8" w:history="1">
              <w:r w:rsidRPr="00491D59">
                <w:rPr>
                  <w:rStyle w:val="Hipercze"/>
                  <w:rFonts w:cstheme="minorBidi"/>
                  <w:sz w:val="20"/>
                </w:rPr>
                <w:t>stat.gov.pl</w:t>
              </w:r>
              <w:r w:rsidRPr="00491D59">
                <w:rPr>
                  <w:rStyle w:val="Hipercze"/>
                  <w:rFonts w:cstheme="minorBidi"/>
                  <w:sz w:val="18"/>
                </w:rPr>
                <w:t xml:space="preserve">     </w:t>
              </w:r>
            </w:hyperlink>
            <w:r>
              <w:rPr>
                <w:sz w:val="18"/>
              </w:rPr>
              <w:t xml:space="preserve"> </w:t>
            </w:r>
          </w:p>
        </w:tc>
      </w:tr>
      <w:tr w:rsidR="00B64A60" w:rsidRPr="00230699" w14:paraId="4BF68D97" w14:textId="77777777" w:rsidTr="00837C4C">
        <w:trPr>
          <w:trHeight w:val="510"/>
        </w:trPr>
        <w:tc>
          <w:tcPr>
            <w:tcW w:w="5233" w:type="dxa"/>
            <w:vMerge/>
          </w:tcPr>
          <w:p w14:paraId="4BD0E847" w14:textId="77777777" w:rsidR="00B64A60" w:rsidRPr="00C91687" w:rsidRDefault="00B64A60" w:rsidP="00B64A60">
            <w:pPr>
              <w:rPr>
                <w:b/>
                <w:sz w:val="20"/>
              </w:rPr>
            </w:pPr>
          </w:p>
        </w:tc>
        <w:tc>
          <w:tcPr>
            <w:tcW w:w="5234" w:type="dxa"/>
            <w:vAlign w:val="center"/>
          </w:tcPr>
          <w:p w14:paraId="286BD5D1" w14:textId="42BDA9FD" w:rsidR="00B64A60" w:rsidRPr="00230699" w:rsidRDefault="00B64A60" w:rsidP="00B64A60">
            <w:pPr>
              <w:spacing w:line="276" w:lineRule="auto"/>
              <w:ind w:firstLine="754"/>
              <w:rPr>
                <w:rFonts w:cs="Arial"/>
                <w:color w:val="000000" w:themeColor="text1"/>
                <w:sz w:val="20"/>
              </w:rPr>
            </w:pPr>
            <w:r>
              <w:rPr>
                <w:noProof/>
                <w:sz w:val="20"/>
                <w:lang w:eastAsia="pl-PL"/>
              </w:rPr>
              <w:drawing>
                <wp:anchor distT="0" distB="0" distL="114300" distR="114300" simplePos="0" relativeHeight="251907072" behindDoc="0" locked="0" layoutInCell="1" allowOverlap="1" wp14:anchorId="012F1CEA" wp14:editId="0774F3DC">
                  <wp:simplePos x="0" y="0"/>
                  <wp:positionH relativeFrom="column">
                    <wp:posOffset>79375</wp:posOffset>
                  </wp:positionH>
                  <wp:positionV relativeFrom="paragraph">
                    <wp:posOffset>21590</wp:posOffset>
                  </wp:positionV>
                  <wp:extent cx="251460" cy="251460"/>
                  <wp:effectExtent l="0" t="0" r="0" b="0"/>
                  <wp:wrapNone/>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0" w:history="1">
              <w:r w:rsidRPr="008D6174">
                <w:rPr>
                  <w:rStyle w:val="Hipercze"/>
                  <w:rFonts w:cstheme="minorBidi"/>
                  <w:sz w:val="20"/>
                </w:rPr>
                <w:t>@GUS_STAT</w:t>
              </w:r>
            </w:hyperlink>
            <w:r>
              <w:rPr>
                <w:noProof/>
                <w:sz w:val="20"/>
                <w:lang w:eastAsia="pl-PL"/>
              </w:rPr>
              <w:t xml:space="preserve"> </w:t>
            </w:r>
          </w:p>
        </w:tc>
      </w:tr>
      <w:tr w:rsidR="00B64A60" w:rsidRPr="00230699" w14:paraId="49CA8DA9" w14:textId="77777777" w:rsidTr="00837C4C">
        <w:trPr>
          <w:trHeight w:val="510"/>
        </w:trPr>
        <w:tc>
          <w:tcPr>
            <w:tcW w:w="5233" w:type="dxa"/>
            <w:vMerge/>
          </w:tcPr>
          <w:p w14:paraId="4CA2AB74" w14:textId="77777777" w:rsidR="00B64A60" w:rsidRPr="00C91687" w:rsidRDefault="00B64A60" w:rsidP="00B64A60">
            <w:pPr>
              <w:rPr>
                <w:b/>
                <w:sz w:val="20"/>
              </w:rPr>
            </w:pPr>
          </w:p>
        </w:tc>
        <w:tc>
          <w:tcPr>
            <w:tcW w:w="5234" w:type="dxa"/>
          </w:tcPr>
          <w:p w14:paraId="17985391" w14:textId="411592D1" w:rsidR="00B64A60" w:rsidRPr="00230699" w:rsidRDefault="00B64A60" w:rsidP="00B64A60">
            <w:pPr>
              <w:spacing w:line="276" w:lineRule="auto"/>
              <w:ind w:firstLine="754"/>
              <w:rPr>
                <w:rFonts w:cs="Arial"/>
                <w:color w:val="000000" w:themeColor="text1"/>
                <w:sz w:val="20"/>
              </w:rPr>
            </w:pPr>
            <w:hyperlink r:id="rId31" w:history="1">
              <w:r w:rsidRPr="008D6174">
                <w:rPr>
                  <w:rStyle w:val="Hipercze"/>
                  <w:rFonts w:cstheme="minorBidi"/>
                  <w:noProof/>
                  <w:sz w:val="20"/>
                  <w:lang w:eastAsia="pl-PL"/>
                </w:rPr>
                <w:drawing>
                  <wp:anchor distT="0" distB="0" distL="114300" distR="114300" simplePos="0" relativeHeight="251908096" behindDoc="0" locked="0" layoutInCell="1" allowOverlap="1" wp14:anchorId="73AE234B" wp14:editId="7A8CE1CA">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8D6174">
                <w:rPr>
                  <w:rStyle w:val="Hipercze"/>
                  <w:rFonts w:cstheme="minorBidi"/>
                  <w:sz w:val="20"/>
                </w:rPr>
                <w:t>@</w:t>
              </w:r>
              <w:proofErr w:type="spellStart"/>
              <w:r w:rsidRPr="008D6174">
                <w:rPr>
                  <w:rStyle w:val="Hipercze"/>
                  <w:rFonts w:cstheme="minorBidi"/>
                  <w:sz w:val="20"/>
                </w:rPr>
                <w:t>GlownyUrzadStatystyczny</w:t>
              </w:r>
              <w:proofErr w:type="spellEnd"/>
            </w:hyperlink>
            <w:r>
              <w:rPr>
                <w:noProof/>
                <w:sz w:val="20"/>
                <w:lang w:eastAsia="pl-PL"/>
              </w:rPr>
              <w:t xml:space="preserve"> </w:t>
            </w:r>
          </w:p>
        </w:tc>
      </w:tr>
      <w:tr w:rsidR="00B64A60" w:rsidRPr="00230699" w14:paraId="04FE492A" w14:textId="77777777" w:rsidTr="00837C4C">
        <w:trPr>
          <w:trHeight w:val="510"/>
        </w:trPr>
        <w:tc>
          <w:tcPr>
            <w:tcW w:w="5233" w:type="dxa"/>
          </w:tcPr>
          <w:p w14:paraId="7AA957C5" w14:textId="77777777" w:rsidR="00B64A60" w:rsidRPr="004579C8" w:rsidRDefault="00B64A60" w:rsidP="00B64A60">
            <w:pPr>
              <w:spacing w:before="0" w:after="0" w:line="276" w:lineRule="auto"/>
              <w:rPr>
                <w:rFonts w:cs="Arial"/>
                <w:sz w:val="20"/>
              </w:rPr>
            </w:pPr>
          </w:p>
        </w:tc>
        <w:tc>
          <w:tcPr>
            <w:tcW w:w="5234" w:type="dxa"/>
          </w:tcPr>
          <w:p w14:paraId="4D99166E" w14:textId="7D4F2334" w:rsidR="00B64A60" w:rsidRPr="00230699" w:rsidRDefault="00B64A60" w:rsidP="00B64A60">
            <w:pPr>
              <w:spacing w:line="276" w:lineRule="auto"/>
              <w:ind w:firstLine="754"/>
              <w:rPr>
                <w:rFonts w:cs="Arial"/>
                <w:color w:val="000000" w:themeColor="text1"/>
                <w:sz w:val="20"/>
              </w:rPr>
            </w:pPr>
            <w:r>
              <w:rPr>
                <w:noProof/>
                <w:sz w:val="20"/>
                <w:lang w:eastAsia="pl-PL"/>
              </w:rPr>
              <w:drawing>
                <wp:anchor distT="0" distB="0" distL="114300" distR="114300" simplePos="0" relativeHeight="251909120" behindDoc="0" locked="0" layoutInCell="1" allowOverlap="1" wp14:anchorId="60068B02" wp14:editId="760FB526">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4" w:history="1">
              <w:r>
                <w:rPr>
                  <w:rStyle w:val="Hipercze"/>
                  <w:rFonts w:cstheme="minorBidi"/>
                  <w:sz w:val="20"/>
                </w:rPr>
                <w:t>@</w:t>
              </w:r>
              <w:proofErr w:type="spellStart"/>
              <w:r>
                <w:rPr>
                  <w:rStyle w:val="Hipercze"/>
                  <w:rFonts w:cstheme="minorBidi"/>
                  <w:sz w:val="20"/>
                </w:rPr>
                <w:t>gus_stat</w:t>
              </w:r>
              <w:proofErr w:type="spellEnd"/>
            </w:hyperlink>
          </w:p>
        </w:tc>
      </w:tr>
      <w:tr w:rsidR="00B64A60" w:rsidRPr="00230699" w14:paraId="7A3F89CF" w14:textId="77777777" w:rsidTr="00837C4C">
        <w:trPr>
          <w:trHeight w:val="510"/>
        </w:trPr>
        <w:tc>
          <w:tcPr>
            <w:tcW w:w="5233" w:type="dxa"/>
          </w:tcPr>
          <w:p w14:paraId="2A498383" w14:textId="77777777" w:rsidR="00B64A60" w:rsidRPr="004579C8" w:rsidRDefault="00B64A60" w:rsidP="00B64A60">
            <w:pPr>
              <w:spacing w:before="0" w:after="0" w:line="276" w:lineRule="auto"/>
              <w:rPr>
                <w:rFonts w:cs="Arial"/>
                <w:sz w:val="20"/>
              </w:rPr>
            </w:pPr>
          </w:p>
        </w:tc>
        <w:tc>
          <w:tcPr>
            <w:tcW w:w="5234" w:type="dxa"/>
          </w:tcPr>
          <w:p w14:paraId="6146F55B" w14:textId="0ABEA222" w:rsidR="00B64A60" w:rsidRPr="00230699" w:rsidRDefault="00B64A60" w:rsidP="00B64A60">
            <w:pPr>
              <w:spacing w:line="276" w:lineRule="auto"/>
              <w:ind w:firstLine="754"/>
              <w:rPr>
                <w:rFonts w:cs="Arial"/>
                <w:color w:val="000000" w:themeColor="text1"/>
                <w:sz w:val="20"/>
              </w:rPr>
            </w:pPr>
            <w:r>
              <w:rPr>
                <w:noProof/>
                <w:sz w:val="20"/>
                <w:lang w:eastAsia="pl-PL"/>
              </w:rPr>
              <w:drawing>
                <wp:anchor distT="0" distB="0" distL="114300" distR="114300" simplePos="0" relativeHeight="251910144" behindDoc="0" locked="0" layoutInCell="1" allowOverlap="1" wp14:anchorId="4E5EA959" wp14:editId="2093A19D">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6" w:history="1">
              <w:r w:rsidRPr="008D6174">
                <w:rPr>
                  <w:rStyle w:val="Hipercze"/>
                  <w:rFonts w:cstheme="minorBidi"/>
                  <w:sz w:val="20"/>
                </w:rPr>
                <w:t>@</w:t>
              </w:r>
              <w:proofErr w:type="spellStart"/>
              <w:r w:rsidRPr="008D6174">
                <w:rPr>
                  <w:rStyle w:val="Hipercze"/>
                  <w:rFonts w:cstheme="minorBidi"/>
                  <w:sz w:val="20"/>
                </w:rPr>
                <w:t>GłównyUrządStatystycznyGUS</w:t>
              </w:r>
              <w:proofErr w:type="spellEnd"/>
            </w:hyperlink>
          </w:p>
        </w:tc>
      </w:tr>
      <w:tr w:rsidR="00B64A60" w:rsidRPr="00230699" w14:paraId="6CC11146" w14:textId="77777777" w:rsidTr="00837C4C">
        <w:trPr>
          <w:trHeight w:val="510"/>
        </w:trPr>
        <w:tc>
          <w:tcPr>
            <w:tcW w:w="5233" w:type="dxa"/>
          </w:tcPr>
          <w:p w14:paraId="7296BDA9" w14:textId="77777777" w:rsidR="00B64A60" w:rsidRPr="004579C8" w:rsidRDefault="00B64A60" w:rsidP="00B64A60">
            <w:pPr>
              <w:spacing w:before="0" w:after="0" w:line="276" w:lineRule="auto"/>
              <w:rPr>
                <w:rFonts w:cs="Arial"/>
                <w:sz w:val="20"/>
              </w:rPr>
            </w:pPr>
          </w:p>
        </w:tc>
        <w:tc>
          <w:tcPr>
            <w:tcW w:w="5234" w:type="dxa"/>
          </w:tcPr>
          <w:p w14:paraId="1BF6F927" w14:textId="0852D246" w:rsidR="00B64A60" w:rsidRPr="00230699" w:rsidRDefault="00B64A60" w:rsidP="00B64A60">
            <w:pPr>
              <w:spacing w:line="276" w:lineRule="auto"/>
              <w:ind w:firstLine="754"/>
              <w:rPr>
                <w:rFonts w:cs="Arial"/>
                <w:color w:val="000000" w:themeColor="text1"/>
                <w:sz w:val="20"/>
              </w:rPr>
            </w:pPr>
            <w:hyperlink r:id="rId37" w:history="1">
              <w:r w:rsidRPr="008D6174">
                <w:rPr>
                  <w:rStyle w:val="Hipercze"/>
                  <w:rFonts w:cstheme="minorBidi"/>
                  <w:noProof/>
                  <w:sz w:val="20"/>
                  <w:lang w:eastAsia="pl-PL"/>
                </w:rPr>
                <w:t>@Główny Urząd Statystyczny</w:t>
              </w:r>
            </w:hyperlink>
            <w:r>
              <w:rPr>
                <w:noProof/>
                <w:sz w:val="20"/>
                <w:lang w:eastAsia="pl-PL"/>
              </w:rPr>
              <w:drawing>
                <wp:anchor distT="0" distB="0" distL="114300" distR="114300" simplePos="0" relativeHeight="251911168" behindDoc="0" locked="0" layoutInCell="1" allowOverlap="1" wp14:anchorId="6C59871E" wp14:editId="41A172E0">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bl>
    <w:p w14:paraId="45C0AEE7" w14:textId="77777777" w:rsidR="0084007B" w:rsidRPr="00001C5B" w:rsidRDefault="00F319D7" w:rsidP="00964346">
      <w:pPr>
        <w:shd w:val="clear" w:color="auto" w:fill="FFFFFF" w:themeFill="background1"/>
        <w:rPr>
          <w:sz w:val="18"/>
        </w:rPr>
      </w:pPr>
      <w:r w:rsidRPr="00964346">
        <w:rPr>
          <w:noProof/>
          <w:sz w:val="18"/>
          <w:lang w:eastAsia="pl-PL"/>
        </w:rPr>
        <mc:AlternateContent>
          <mc:Choice Requires="wps">
            <w:drawing>
              <wp:anchor distT="45720" distB="45720" distL="114300" distR="114300" simplePos="0" relativeHeight="251894784" behindDoc="0" locked="0" layoutInCell="1" allowOverlap="1" wp14:anchorId="62BD2AD6" wp14:editId="0E214244">
                <wp:simplePos x="0" y="0"/>
                <wp:positionH relativeFrom="margin">
                  <wp:align>left</wp:align>
                </wp:positionH>
                <wp:positionV relativeFrom="paragraph">
                  <wp:posOffset>3783196</wp:posOffset>
                </wp:positionV>
                <wp:extent cx="6216650" cy="5163820"/>
                <wp:effectExtent l="0" t="0" r="12700" b="17780"/>
                <wp:wrapTopAndBottom/>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650" cy="5163820"/>
                        </a:xfrm>
                        <a:prstGeom prst="rect">
                          <a:avLst/>
                        </a:prstGeom>
                        <a:solidFill>
                          <a:sysClr val="window" lastClr="FFFFFF">
                            <a:lumMod val="95000"/>
                          </a:sysClr>
                        </a:solidFill>
                        <a:ln w="9525">
                          <a:solidFill>
                            <a:sysClr val="window" lastClr="FFFFFF"/>
                          </a:solidFill>
                          <a:miter lim="800000"/>
                          <a:headEnd/>
                          <a:tailEnd/>
                        </a:ln>
                      </wps:spPr>
                      <wps:txbx>
                        <w:txbxContent>
                          <w:p w14:paraId="399077C0" w14:textId="77777777" w:rsidR="00837C4C" w:rsidRPr="005B24AD" w:rsidRDefault="00837C4C" w:rsidP="0084007B">
                            <w:pPr>
                              <w:rPr>
                                <w:b/>
                              </w:rPr>
                            </w:pPr>
                            <w:r w:rsidRPr="005B24AD">
                              <w:rPr>
                                <w:b/>
                              </w:rPr>
                              <w:t>Powiązane opracowania</w:t>
                            </w:r>
                          </w:p>
                          <w:p w14:paraId="4997CADD" w14:textId="4895A61C" w:rsidR="00837C4C" w:rsidRPr="00B64A60" w:rsidRDefault="00FF4D01" w:rsidP="0084007B">
                            <w:pPr>
                              <w:spacing w:before="60" w:after="60"/>
                              <w:rPr>
                                <w:color w:val="0000FF"/>
                                <w:u w:val="single"/>
                              </w:rPr>
                            </w:pPr>
                            <w:hyperlink r:id="rId39" w:history="1">
                              <w:r w:rsidR="00837C4C" w:rsidRPr="00B64A60">
                                <w:rPr>
                                  <w:rStyle w:val="Hipercze"/>
                                  <w:rFonts w:cstheme="minorBidi"/>
                                </w:rPr>
                                <w:t>Informacja sygnalna „Zasięg ubóstwa ekonomicznego w Polsce w 2023 r. (na podstawie wyników badania budżetów domowych)”</w:t>
                              </w:r>
                            </w:hyperlink>
                          </w:p>
                          <w:p w14:paraId="1E1B0BF6" w14:textId="5EEE2088" w:rsidR="000A5D0A" w:rsidRPr="00B64A60" w:rsidRDefault="00FF4D01" w:rsidP="000A5D0A">
                            <w:pPr>
                              <w:spacing w:before="60" w:after="60"/>
                              <w:rPr>
                                <w:rFonts w:eastAsia="Fira Sans Light"/>
                                <w:color w:val="0000FF"/>
                                <w:szCs w:val="19"/>
                                <w:u w:val="single"/>
                              </w:rPr>
                            </w:pPr>
                            <w:hyperlink r:id="rId40" w:history="1">
                              <w:r w:rsidR="000A5D0A" w:rsidRPr="00B64A60">
                                <w:rPr>
                                  <w:rStyle w:val="Hipercze"/>
                                  <w:rFonts w:cstheme="minorBidi"/>
                                </w:rPr>
                                <w:t>Informacja sygnalna „ Zasięg zagrożenia ubóstwem ekonomicznym w Polsce w 2024 r. (na podstawie wyników badania budżetów gospodarstw domowych)”</w:t>
                              </w:r>
                            </w:hyperlink>
                          </w:p>
                          <w:p w14:paraId="5F4E63DD" w14:textId="77777777" w:rsidR="00837C4C" w:rsidRPr="00B64A60" w:rsidRDefault="00FF4D01" w:rsidP="0084007B">
                            <w:pPr>
                              <w:spacing w:before="60" w:after="60"/>
                              <w:rPr>
                                <w:rFonts w:eastAsia="Fira Sans Light"/>
                                <w:color w:val="0000FF"/>
                                <w:szCs w:val="19"/>
                                <w:u w:val="single"/>
                              </w:rPr>
                            </w:pPr>
                            <w:hyperlink r:id="rId41" w:history="1">
                              <w:r w:rsidR="00837C4C" w:rsidRPr="00B64A60">
                                <w:rPr>
                                  <w:rFonts w:eastAsia="Fira Sans Light"/>
                                  <w:color w:val="0000FF"/>
                                  <w:szCs w:val="19"/>
                                  <w:u w:val="single"/>
                                </w:rPr>
                                <w:t>Postrzeganie ubóstwa i nierówności dochodowych w Polsce. Wyniki Badania spójności społecznej 2018</w:t>
                              </w:r>
                            </w:hyperlink>
                          </w:p>
                          <w:p w14:paraId="5D59FE7C" w14:textId="77777777" w:rsidR="00837C4C" w:rsidRPr="00B64A60" w:rsidRDefault="00FF4D01" w:rsidP="0084007B">
                            <w:pPr>
                              <w:spacing w:before="60" w:after="60"/>
                              <w:rPr>
                                <w:rStyle w:val="Hipercze"/>
                                <w:rFonts w:eastAsia="Fira Sans Light" w:cstheme="minorBidi"/>
                                <w:szCs w:val="19"/>
                              </w:rPr>
                            </w:pPr>
                            <w:hyperlink r:id="rId42" w:history="1">
                              <w:r w:rsidR="00837C4C" w:rsidRPr="00B64A60">
                                <w:rPr>
                                  <w:rStyle w:val="Hipercze"/>
                                  <w:rFonts w:eastAsia="Fira Sans Light" w:cstheme="minorBidi"/>
                                  <w:szCs w:val="19"/>
                                </w:rPr>
                                <w:t>Informacja sygnalna „ Sytuacja gospodarstw domowych w 2023 r. w świetle wyników badania budżetów gospodarstw domowych”</w:t>
                              </w:r>
                            </w:hyperlink>
                          </w:p>
                          <w:p w14:paraId="6084B5C9" w14:textId="77777777" w:rsidR="00837C4C" w:rsidRPr="00B64A60" w:rsidRDefault="00FF4D01" w:rsidP="0084007B">
                            <w:pPr>
                              <w:spacing w:before="60" w:after="60"/>
                              <w:rPr>
                                <w:rFonts w:eastAsia="Fira Sans Light"/>
                                <w:color w:val="0000FF"/>
                                <w:szCs w:val="19"/>
                                <w:u w:val="single"/>
                              </w:rPr>
                            </w:pPr>
                            <w:hyperlink r:id="rId43" w:history="1">
                              <w:r w:rsidR="00837C4C" w:rsidRPr="00B64A60">
                                <w:rPr>
                                  <w:rStyle w:val="Hipercze"/>
                                  <w:rFonts w:cstheme="minorBidi"/>
                                </w:rPr>
                                <w:t>Informacja sygnalna „Sytuacja gospodarstw domowych w 2024 r. w świetle badania budżetów gospodarstw domowych”</w:t>
                              </w:r>
                            </w:hyperlink>
                          </w:p>
                          <w:bookmarkStart w:id="6" w:name="_Hlk200355418"/>
                          <w:p w14:paraId="772CEE84" w14:textId="77777777" w:rsidR="00BD2EDE" w:rsidRPr="00B64A60" w:rsidRDefault="00BD2EDE" w:rsidP="00BD2EDE">
                            <w:pPr>
                              <w:spacing w:before="60" w:after="60"/>
                              <w:rPr>
                                <w:color w:val="0000FF"/>
                                <w:u w:val="single"/>
                              </w:rPr>
                            </w:pPr>
                            <w:r w:rsidRPr="00B64A60">
                              <w:rPr>
                                <w:color w:val="0000FF"/>
                              </w:rPr>
                              <w:fldChar w:fldCharType="begin"/>
                            </w:r>
                            <w:r w:rsidRPr="00B64A60">
                              <w:rPr>
                                <w:color w:val="0000FF"/>
                              </w:rPr>
                              <w:instrText xml:space="preserve"> HYPERLINK "https://stat.gov.pl/obszary-tematyczne/warunki-zycia/dochody-wydatki-i-warunki-zycia-ludnosci/dochody-i-warunki-zycia-ludnosci-polski-raport-z-badania-eu-silc-2023,6,17.html" </w:instrText>
                            </w:r>
                            <w:r w:rsidRPr="00B64A60">
                              <w:rPr>
                                <w:color w:val="0000FF"/>
                              </w:rPr>
                              <w:fldChar w:fldCharType="separate"/>
                            </w:r>
                            <w:r w:rsidRPr="00B64A60">
                              <w:rPr>
                                <w:rStyle w:val="Hipercze"/>
                                <w:rFonts w:cstheme="minorBidi"/>
                              </w:rPr>
                              <w:t>Publikacja „Dochody i warunki życia ludności Polski – raport z badania EU-SILC 2023”</w:t>
                            </w:r>
                            <w:r w:rsidRPr="00B64A60">
                              <w:rPr>
                                <w:color w:val="0000FF"/>
                              </w:rPr>
                              <w:fldChar w:fldCharType="end"/>
                            </w:r>
                          </w:p>
                          <w:p w14:paraId="5E3EB895" w14:textId="7E109739" w:rsidR="00837C4C" w:rsidRPr="00B64A60" w:rsidRDefault="00FF4D01" w:rsidP="0084007B">
                            <w:pPr>
                              <w:spacing w:before="60" w:after="60"/>
                              <w:rPr>
                                <w:rStyle w:val="Hipercze"/>
                                <w:rFonts w:cstheme="minorBidi"/>
                              </w:rPr>
                            </w:pPr>
                            <w:hyperlink r:id="rId44" w:history="1">
                              <w:hyperlink r:id="rId45" w:history="1">
                                <w:r w:rsidR="0005054E" w:rsidRPr="00B64A60">
                                  <w:rPr>
                                    <w:color w:val="0000FF"/>
                                    <w:u w:val="single"/>
                                  </w:rPr>
                                  <w:t>Publikacja „Dochody i warunki życia ludności Polski – raport z badania EU-SILC 2024</w:t>
                                </w:r>
                                <w:r w:rsidR="007357DA" w:rsidRPr="00B64A60">
                                  <w:rPr>
                                    <w:color w:val="0000FF"/>
                                    <w:u w:val="single"/>
                                  </w:rPr>
                                  <w:t>.</w:t>
                                </w:r>
                              </w:hyperlink>
                              <w:r w:rsidR="00837C4C" w:rsidRPr="00B64A60">
                                <w:rPr>
                                  <w:rStyle w:val="Hipercze"/>
                                  <w:rFonts w:cstheme="minorBidi"/>
                                </w:rPr>
                                <w:t>”</w:t>
                              </w:r>
                            </w:hyperlink>
                          </w:p>
                          <w:bookmarkEnd w:id="6"/>
                          <w:p w14:paraId="6BC796FC" w14:textId="77777777" w:rsidR="007C0C5D" w:rsidRPr="00B64A60" w:rsidRDefault="00DA2F94" w:rsidP="0084007B">
                            <w:pPr>
                              <w:spacing w:before="60" w:after="60"/>
                              <w:rPr>
                                <w:rStyle w:val="Hipercze"/>
                                <w:rFonts w:eastAsia="Fira Sans Light" w:cstheme="minorBidi"/>
                                <w:szCs w:val="19"/>
                              </w:rPr>
                            </w:pPr>
                            <w:r w:rsidRPr="00B64A60">
                              <w:rPr>
                                <w:color w:val="0000FF"/>
                              </w:rPr>
                              <w:fldChar w:fldCharType="begin"/>
                            </w:r>
                            <w:r w:rsidRPr="00B64A60">
                              <w:rPr>
                                <w:color w:val="0000FF"/>
                              </w:rPr>
                              <w:instrText xml:space="preserve"> HYPERLINK "https://stat.gov.pl/obszary-tematyczne/warunki-zycia/ubostwo-pomoc-spoleczna/ubostwo-w-polsce-w-latach-2023-i-2024,1,12.html" </w:instrText>
                            </w:r>
                            <w:r w:rsidRPr="00B64A60">
                              <w:rPr>
                                <w:color w:val="0000FF"/>
                              </w:rPr>
                              <w:fldChar w:fldCharType="separate"/>
                            </w:r>
                            <w:r w:rsidR="007C0C5D" w:rsidRPr="00B64A60">
                              <w:rPr>
                                <w:rStyle w:val="Hipercze"/>
                                <w:rFonts w:eastAsia="Fira Sans Light" w:cstheme="minorBidi"/>
                                <w:szCs w:val="19"/>
                              </w:rPr>
                              <w:t>Publikacja „Ubóstwo w Polsce w latach 2023 i 2024"</w:t>
                            </w:r>
                            <w:r w:rsidRPr="00B64A60">
                              <w:rPr>
                                <w:rStyle w:val="Hipercze"/>
                                <w:rFonts w:eastAsia="Fira Sans Light" w:cstheme="minorBidi"/>
                                <w:szCs w:val="19"/>
                              </w:rPr>
                              <w:fldChar w:fldCharType="end"/>
                            </w:r>
                          </w:p>
                          <w:p w14:paraId="76DD6972" w14:textId="3DEA979F" w:rsidR="00837C4C" w:rsidRPr="00B64A60" w:rsidRDefault="00FF4D01" w:rsidP="0084007B">
                            <w:pPr>
                              <w:spacing w:before="60" w:after="60"/>
                              <w:rPr>
                                <w:rFonts w:eastAsia="Fira Sans Light"/>
                                <w:color w:val="0000FF"/>
                                <w:szCs w:val="19"/>
                                <w:u w:val="single"/>
                              </w:rPr>
                            </w:pPr>
                            <w:hyperlink r:id="rId46" w:history="1">
                              <w:r w:rsidR="00837C4C" w:rsidRPr="00B64A60">
                                <w:rPr>
                                  <w:rFonts w:eastAsia="Fira Sans Light"/>
                                  <w:color w:val="0000FF"/>
                                  <w:szCs w:val="19"/>
                                  <w:u w:val="single"/>
                                </w:rPr>
                                <w:t>O minimum socjalnym i minimum egzystencji - Instytut Pracy i Spraw Socjalnych (ipiss.com.pl)</w:t>
                              </w:r>
                            </w:hyperlink>
                          </w:p>
                          <w:p w14:paraId="27234209" w14:textId="77777777" w:rsidR="00837C4C" w:rsidRPr="00B64A60" w:rsidRDefault="00FF4D01" w:rsidP="0084007B">
                            <w:pPr>
                              <w:rPr>
                                <w:color w:val="0000FF"/>
                              </w:rPr>
                            </w:pPr>
                            <w:hyperlink r:id="rId47" w:history="1">
                              <w:r w:rsidR="00837C4C" w:rsidRPr="00B64A60">
                                <w:rPr>
                                  <w:color w:val="0000FF"/>
                                  <w:u w:val="single"/>
                                </w:rPr>
                                <w:t>Wysokość minimum egzystencji</w:t>
                              </w:r>
                            </w:hyperlink>
                          </w:p>
                          <w:p w14:paraId="0EA9246C" w14:textId="77777777" w:rsidR="00837C4C" w:rsidRPr="00B64A60" w:rsidRDefault="00FF4D01" w:rsidP="0084007B">
                            <w:pPr>
                              <w:rPr>
                                <w:color w:val="0000FF"/>
                              </w:rPr>
                            </w:pPr>
                            <w:hyperlink r:id="rId48" w:history="1">
                              <w:r w:rsidR="00837C4C" w:rsidRPr="00B64A60">
                                <w:rPr>
                                  <w:color w:val="0000FF"/>
                                  <w:u w:val="single"/>
                                </w:rPr>
                                <w:t>Wysokość minimum socjalnego</w:t>
                              </w:r>
                            </w:hyperlink>
                          </w:p>
                          <w:p w14:paraId="09E6EBD9" w14:textId="77777777" w:rsidR="00837C4C" w:rsidRPr="005B24AD" w:rsidRDefault="00837C4C" w:rsidP="0084007B">
                            <w:pPr>
                              <w:spacing w:before="240"/>
                              <w:rPr>
                                <w:b/>
                                <w:color w:val="000000" w:themeColor="text1"/>
                                <w:szCs w:val="24"/>
                              </w:rPr>
                            </w:pPr>
                            <w:r w:rsidRPr="005B24AD">
                              <w:rPr>
                                <w:b/>
                                <w:color w:val="000000" w:themeColor="text1"/>
                                <w:szCs w:val="24"/>
                              </w:rPr>
                              <w:t>Temat dostępny w bazach danych</w:t>
                            </w:r>
                          </w:p>
                          <w:p w14:paraId="7AF2A88A" w14:textId="77777777" w:rsidR="00837C4C" w:rsidRPr="00B64A60" w:rsidRDefault="00FF4D01" w:rsidP="0084007B">
                            <w:pPr>
                              <w:rPr>
                                <w:rFonts w:cs="Times New Roman"/>
                                <w:color w:val="0000FF"/>
                                <w:szCs w:val="19"/>
                                <w:u w:val="single"/>
                              </w:rPr>
                            </w:pPr>
                            <w:hyperlink r:id="rId49" w:history="1">
                              <w:r w:rsidR="00837C4C" w:rsidRPr="00B64A60">
                                <w:rPr>
                                  <w:rFonts w:cs="Times New Roman"/>
                                  <w:color w:val="0000FF"/>
                                  <w:szCs w:val="19"/>
                                  <w:u w:val="single"/>
                                </w:rPr>
                                <w:t>Bank Danych Lokalnych</w:t>
                              </w:r>
                            </w:hyperlink>
                            <w:bookmarkStart w:id="7" w:name="_GoBack"/>
                            <w:bookmarkEnd w:id="7"/>
                          </w:p>
                          <w:p w14:paraId="4A38A5A0" w14:textId="77777777" w:rsidR="00837C4C" w:rsidRPr="00B64A60" w:rsidRDefault="00FF4D01" w:rsidP="0084007B">
                            <w:pPr>
                              <w:rPr>
                                <w:rFonts w:cs="Times New Roman"/>
                                <w:color w:val="0000FF"/>
                                <w:szCs w:val="19"/>
                                <w:u w:val="single"/>
                              </w:rPr>
                            </w:pPr>
                            <w:hyperlink r:id="rId50" w:history="1">
                              <w:r w:rsidR="00837C4C" w:rsidRPr="00B64A60">
                                <w:rPr>
                                  <w:rFonts w:cs="Times New Roman"/>
                                  <w:color w:val="0000FF"/>
                                  <w:szCs w:val="19"/>
                                  <w:u w:val="single"/>
                                </w:rPr>
                                <w:t>Dziedzinowe Bazy Wiedzy/Ubóstwo według grup społeczno-ekonomicznych</w:t>
                              </w:r>
                            </w:hyperlink>
                          </w:p>
                          <w:p w14:paraId="7A36CFC0" w14:textId="77777777" w:rsidR="00837C4C" w:rsidRPr="00B64A60" w:rsidRDefault="00FF4D01" w:rsidP="0084007B">
                            <w:pPr>
                              <w:rPr>
                                <w:color w:val="0000FF"/>
                                <w:szCs w:val="19"/>
                                <w:u w:val="single"/>
                              </w:rPr>
                            </w:pPr>
                            <w:hyperlink r:id="rId51" w:history="1">
                              <w:r w:rsidR="00837C4C" w:rsidRPr="00B64A60">
                                <w:rPr>
                                  <w:rFonts w:cs="Times New Roman"/>
                                  <w:color w:val="0000FF"/>
                                  <w:szCs w:val="19"/>
                                  <w:u w:val="single"/>
                                </w:rPr>
                                <w:t>Dziedzinowe Bazy Wiedzy/Ubóstwo według podziału kraju na miasto i wieś</w:t>
                              </w:r>
                            </w:hyperlink>
                          </w:p>
                          <w:p w14:paraId="23CCF6C8" w14:textId="77777777" w:rsidR="00837C4C" w:rsidRPr="005B24AD" w:rsidRDefault="00837C4C" w:rsidP="0084007B">
                            <w:pPr>
                              <w:spacing w:before="240"/>
                              <w:rPr>
                                <w:b/>
                                <w:color w:val="000000" w:themeColor="text1"/>
                                <w:szCs w:val="24"/>
                              </w:rPr>
                            </w:pPr>
                            <w:r w:rsidRPr="005B24AD">
                              <w:rPr>
                                <w:b/>
                                <w:color w:val="000000" w:themeColor="text1"/>
                                <w:szCs w:val="24"/>
                              </w:rPr>
                              <w:t>Ważniejsze pojęcia dostępne w słowniku</w:t>
                            </w:r>
                          </w:p>
                          <w:p w14:paraId="09241E37" w14:textId="77777777" w:rsidR="00837C4C" w:rsidRPr="00B64A60" w:rsidRDefault="00FF4D01" w:rsidP="0084007B">
                            <w:pPr>
                              <w:rPr>
                                <w:rFonts w:cs="Times New Roman"/>
                                <w:color w:val="0000FF"/>
                                <w:szCs w:val="19"/>
                                <w:u w:val="single"/>
                              </w:rPr>
                            </w:pPr>
                            <w:hyperlink r:id="rId52" w:history="1">
                              <w:r w:rsidR="00837C4C" w:rsidRPr="00B64A60">
                                <w:rPr>
                                  <w:rFonts w:cs="Times New Roman"/>
                                  <w:color w:val="0000FF"/>
                                  <w:szCs w:val="19"/>
                                  <w:u w:val="single"/>
                                </w:rPr>
                                <w:t>Wskaźnik zagrożenia ubóstwem skrajnym</w:t>
                              </w:r>
                            </w:hyperlink>
                            <w:r w:rsidR="00837C4C" w:rsidRPr="00B64A60">
                              <w:rPr>
                                <w:rFonts w:cs="Times New Roman"/>
                                <w:color w:val="0000FF"/>
                                <w:szCs w:val="19"/>
                                <w:u w:val="single"/>
                              </w:rPr>
                              <w:t xml:space="preserve"> (wskaźnik zasięgu ubóstwa skrajnego)</w:t>
                            </w:r>
                          </w:p>
                          <w:p w14:paraId="49A7E95D" w14:textId="77777777" w:rsidR="00837C4C" w:rsidRPr="00B64A60" w:rsidRDefault="00FF4D01" w:rsidP="0084007B">
                            <w:pPr>
                              <w:rPr>
                                <w:rFonts w:cs="Times New Roman"/>
                                <w:color w:val="0000FF"/>
                                <w:szCs w:val="19"/>
                                <w:u w:val="single"/>
                              </w:rPr>
                            </w:pPr>
                            <w:hyperlink r:id="rId53" w:history="1">
                              <w:r w:rsidR="00837C4C" w:rsidRPr="00B64A60">
                                <w:rPr>
                                  <w:rFonts w:cs="Times New Roman"/>
                                  <w:color w:val="0000FF"/>
                                  <w:szCs w:val="19"/>
                                  <w:u w:val="single"/>
                                </w:rPr>
                                <w:t>Wskaźnik zagrożenia ubóstwem relatywnym</w:t>
                              </w:r>
                            </w:hyperlink>
                            <w:r w:rsidR="00837C4C" w:rsidRPr="00B64A60">
                              <w:rPr>
                                <w:rFonts w:cs="Times New Roman"/>
                                <w:color w:val="0000FF"/>
                                <w:szCs w:val="19"/>
                                <w:u w:val="single"/>
                              </w:rPr>
                              <w:t xml:space="preserve"> (wskaźnik zasięgu ubóstwa relatywnego)</w:t>
                            </w:r>
                          </w:p>
                          <w:p w14:paraId="49B07644" w14:textId="77777777" w:rsidR="00837C4C" w:rsidRPr="00B64A60" w:rsidRDefault="00FF4D01" w:rsidP="0084007B">
                            <w:pPr>
                              <w:rPr>
                                <w:rStyle w:val="Hipercze"/>
                                <w:rFonts w:cstheme="minorBidi"/>
                                <w:szCs w:val="19"/>
                              </w:rPr>
                            </w:pPr>
                            <w:hyperlink r:id="rId54" w:history="1">
                              <w:r w:rsidR="00837C4C" w:rsidRPr="00B64A60">
                                <w:rPr>
                                  <w:rFonts w:cs="Times New Roman"/>
                                  <w:color w:val="0000FF"/>
                                  <w:szCs w:val="19"/>
                                  <w:u w:val="single"/>
                                </w:rPr>
                                <w:t>Wskaźnik zagrożenia ubóstwem ustawowym</w:t>
                              </w:r>
                            </w:hyperlink>
                            <w:r w:rsidR="00837C4C" w:rsidRPr="00B64A60">
                              <w:rPr>
                                <w:rFonts w:cs="Times New Roman"/>
                                <w:color w:val="0000FF"/>
                                <w:szCs w:val="19"/>
                                <w:u w:val="single"/>
                              </w:rPr>
                              <w:t xml:space="preserve"> (wskaźnik zasięgu ubóstwa ustawowego)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BD2AD6" id="_x0000_t202" coordsize="21600,21600" o:spt="202" path="m,l,21600r21600,l21600,xe">
                <v:stroke joinstyle="miter"/>
                <v:path gradientshapeok="t" o:connecttype="rect"/>
              </v:shapetype>
              <v:shape id="_x0000_s1039" type="#_x0000_t202" style="position:absolute;margin-left:0;margin-top:297.9pt;width:489.5pt;height:406.6pt;z-index:2518947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" fillcolor="#f2f2f2" strokecolor="window">
                <v:textbox>
                  <w:txbxContent>
                    <w:p w14:paraId="399077C0" w14:textId="77777777" w:rsidR="00837C4C" w:rsidRPr="005B24AD" w:rsidRDefault="00837C4C" w:rsidP="0084007B">
                      <w:pPr>
                        <w:rPr>
                          <w:b/>
                        </w:rPr>
                      </w:pPr>
                      <w:r w:rsidRPr="005B24AD">
                        <w:rPr>
                          <w:b/>
                        </w:rPr>
                        <w:t>Powiązane opracowania</w:t>
                      </w:r>
                    </w:p>
                    <w:p w14:paraId="4997CADD" w14:textId="4895A61C" w:rsidR="00837C4C" w:rsidRPr="00B64A60" w:rsidRDefault="00FF4D01" w:rsidP="0084007B">
                      <w:pPr>
                        <w:spacing w:before="60" w:after="60"/>
                        <w:rPr>
                          <w:color w:val="0000FF"/>
                          <w:u w:val="single"/>
                        </w:rPr>
                      </w:pPr>
                      <w:hyperlink r:id="rId55" w:history="1">
                        <w:r w:rsidR="00837C4C" w:rsidRPr="00B64A60">
                          <w:rPr>
                            <w:rStyle w:val="Hipercze"/>
                            <w:rFonts w:cstheme="minorBidi"/>
                          </w:rPr>
                          <w:t>Informacja sygnalna „Zasięg ubóstwa ekonomicznego w Polsce w 2023 r. (na podstawie wyników badania budżetów domowych)”</w:t>
                        </w:r>
                      </w:hyperlink>
                    </w:p>
                    <w:p w14:paraId="1E1B0BF6" w14:textId="5EEE2088" w:rsidR="000A5D0A" w:rsidRPr="00B64A60" w:rsidRDefault="00FF4D01" w:rsidP="000A5D0A">
                      <w:pPr>
                        <w:spacing w:before="60" w:after="60"/>
                        <w:rPr>
                          <w:rFonts w:eastAsia="Fira Sans Light"/>
                          <w:color w:val="0000FF"/>
                          <w:szCs w:val="19"/>
                          <w:u w:val="single"/>
                        </w:rPr>
                      </w:pPr>
                      <w:hyperlink r:id="rId56" w:history="1">
                        <w:r w:rsidR="000A5D0A" w:rsidRPr="00B64A60">
                          <w:rPr>
                            <w:rStyle w:val="Hipercze"/>
                            <w:rFonts w:cstheme="minorBidi"/>
                          </w:rPr>
                          <w:t>Informacja sygnalna „ Zasięg zagrożenia ubóstwem ekonomicznym w Polsce w 2024 r. (na podstawie wyników badania budżetów gospodarstw domowych)”</w:t>
                        </w:r>
                      </w:hyperlink>
                    </w:p>
                    <w:p w14:paraId="5F4E63DD" w14:textId="77777777" w:rsidR="00837C4C" w:rsidRPr="00B64A60" w:rsidRDefault="00FF4D01" w:rsidP="0084007B">
                      <w:pPr>
                        <w:spacing w:before="60" w:after="60"/>
                        <w:rPr>
                          <w:rFonts w:eastAsia="Fira Sans Light"/>
                          <w:color w:val="0000FF"/>
                          <w:szCs w:val="19"/>
                          <w:u w:val="single"/>
                        </w:rPr>
                      </w:pPr>
                      <w:hyperlink r:id="rId57" w:history="1">
                        <w:r w:rsidR="00837C4C" w:rsidRPr="00B64A60">
                          <w:rPr>
                            <w:rFonts w:eastAsia="Fira Sans Light"/>
                            <w:color w:val="0000FF"/>
                            <w:szCs w:val="19"/>
                            <w:u w:val="single"/>
                          </w:rPr>
                          <w:t>Postrzeganie ubóstwa i nierówności dochodowych w Polsce. Wyniki Badania spójności społecznej 2018</w:t>
                        </w:r>
                      </w:hyperlink>
                    </w:p>
                    <w:p w14:paraId="5D59FE7C" w14:textId="77777777" w:rsidR="00837C4C" w:rsidRPr="00B64A60" w:rsidRDefault="00FF4D01" w:rsidP="0084007B">
                      <w:pPr>
                        <w:spacing w:before="60" w:after="60"/>
                        <w:rPr>
                          <w:rStyle w:val="Hipercze"/>
                          <w:rFonts w:eastAsia="Fira Sans Light" w:cstheme="minorBidi"/>
                          <w:szCs w:val="19"/>
                        </w:rPr>
                      </w:pPr>
                      <w:hyperlink r:id="rId58" w:history="1">
                        <w:r w:rsidR="00837C4C" w:rsidRPr="00B64A60">
                          <w:rPr>
                            <w:rStyle w:val="Hipercze"/>
                            <w:rFonts w:eastAsia="Fira Sans Light" w:cstheme="minorBidi"/>
                            <w:szCs w:val="19"/>
                          </w:rPr>
                          <w:t>Informacja sygnalna „ Sytuacja gospodarstw domowych w 2023 r. w świetle wyników badania budżetów gospodarstw domowych”</w:t>
                        </w:r>
                      </w:hyperlink>
                    </w:p>
                    <w:p w14:paraId="6084B5C9" w14:textId="77777777" w:rsidR="00837C4C" w:rsidRPr="00B64A60" w:rsidRDefault="00FF4D01" w:rsidP="0084007B">
                      <w:pPr>
                        <w:spacing w:before="60" w:after="60"/>
                        <w:rPr>
                          <w:rFonts w:eastAsia="Fira Sans Light"/>
                          <w:color w:val="0000FF"/>
                          <w:szCs w:val="19"/>
                          <w:u w:val="single"/>
                        </w:rPr>
                      </w:pPr>
                      <w:hyperlink r:id="rId59" w:history="1">
                        <w:r w:rsidR="00837C4C" w:rsidRPr="00B64A60">
                          <w:rPr>
                            <w:rStyle w:val="Hipercze"/>
                            <w:rFonts w:cstheme="minorBidi"/>
                          </w:rPr>
                          <w:t>Informacja sygnalna „Sytuacja gospodarstw domowych w 2024 r. w świetle badania budżetów gospodarstw domowych”</w:t>
                        </w:r>
                      </w:hyperlink>
                    </w:p>
                    <w:bookmarkStart w:id="8" w:name="_Hlk200355418"/>
                    <w:p w14:paraId="772CEE84" w14:textId="77777777" w:rsidR="00BD2EDE" w:rsidRPr="00B64A60" w:rsidRDefault="00BD2EDE" w:rsidP="00BD2EDE">
                      <w:pPr>
                        <w:spacing w:before="60" w:after="60"/>
                        <w:rPr>
                          <w:color w:val="0000FF"/>
                          <w:u w:val="single"/>
                        </w:rPr>
                      </w:pPr>
                      <w:r w:rsidRPr="00B64A60">
                        <w:rPr>
                          <w:color w:val="0000FF"/>
                        </w:rPr>
                        <w:fldChar w:fldCharType="begin"/>
                      </w:r>
                      <w:r w:rsidRPr="00B64A60">
                        <w:rPr>
                          <w:color w:val="0000FF"/>
                        </w:rPr>
                        <w:instrText xml:space="preserve"> HYPERLINK "https://stat.gov.pl/obszary-tematyczne/warunki-zycia/dochody-wydatki-i-warunki-zycia-ludnosci/dochody-i-warunki-zycia-ludnosci-polski-raport-z-badania-eu-silc-2023,6,17.html" </w:instrText>
                      </w:r>
                      <w:r w:rsidRPr="00B64A60">
                        <w:rPr>
                          <w:color w:val="0000FF"/>
                        </w:rPr>
                        <w:fldChar w:fldCharType="separate"/>
                      </w:r>
                      <w:r w:rsidRPr="00B64A60">
                        <w:rPr>
                          <w:rStyle w:val="Hipercze"/>
                          <w:rFonts w:cstheme="minorBidi"/>
                        </w:rPr>
                        <w:t>Publikacja „Dochody i warunki życia ludności Polski – raport z badania EU-SILC 2023”</w:t>
                      </w:r>
                      <w:r w:rsidRPr="00B64A60">
                        <w:rPr>
                          <w:color w:val="0000FF"/>
                        </w:rPr>
                        <w:fldChar w:fldCharType="end"/>
                      </w:r>
                    </w:p>
                    <w:p w14:paraId="5E3EB895" w14:textId="7E109739" w:rsidR="00837C4C" w:rsidRPr="00B64A60" w:rsidRDefault="00FF4D01" w:rsidP="0084007B">
                      <w:pPr>
                        <w:spacing w:before="60" w:after="60"/>
                        <w:rPr>
                          <w:rStyle w:val="Hipercze"/>
                          <w:rFonts w:cstheme="minorBidi"/>
                        </w:rPr>
                      </w:pPr>
                      <w:hyperlink r:id="rId60" w:history="1">
                        <w:hyperlink r:id="rId61" w:history="1">
                          <w:r w:rsidR="0005054E" w:rsidRPr="00B64A60">
                            <w:rPr>
                              <w:color w:val="0000FF"/>
                              <w:u w:val="single"/>
                            </w:rPr>
                            <w:t>Publikacja „Dochody i warunki życia ludności Polski – raport z badania EU-SILC 2024</w:t>
                          </w:r>
                          <w:r w:rsidR="007357DA" w:rsidRPr="00B64A60">
                            <w:rPr>
                              <w:color w:val="0000FF"/>
                              <w:u w:val="single"/>
                            </w:rPr>
                            <w:t>.</w:t>
                          </w:r>
                        </w:hyperlink>
                        <w:r w:rsidR="00837C4C" w:rsidRPr="00B64A60">
                          <w:rPr>
                            <w:rStyle w:val="Hipercze"/>
                            <w:rFonts w:cstheme="minorBidi"/>
                          </w:rPr>
                          <w:t>”</w:t>
                        </w:r>
                      </w:hyperlink>
                    </w:p>
                    <w:bookmarkEnd w:id="8"/>
                    <w:p w14:paraId="6BC796FC" w14:textId="77777777" w:rsidR="007C0C5D" w:rsidRPr="00B64A60" w:rsidRDefault="00DA2F94" w:rsidP="0084007B">
                      <w:pPr>
                        <w:spacing w:before="60" w:after="60"/>
                        <w:rPr>
                          <w:rStyle w:val="Hipercze"/>
                          <w:rFonts w:eastAsia="Fira Sans Light" w:cstheme="minorBidi"/>
                          <w:szCs w:val="19"/>
                        </w:rPr>
                      </w:pPr>
                      <w:r w:rsidRPr="00B64A60">
                        <w:rPr>
                          <w:color w:val="0000FF"/>
                        </w:rPr>
                        <w:fldChar w:fldCharType="begin"/>
                      </w:r>
                      <w:r w:rsidRPr="00B64A60">
                        <w:rPr>
                          <w:color w:val="0000FF"/>
                        </w:rPr>
                        <w:instrText xml:space="preserve"> HYPERLINK "https://stat.gov.pl/obszary-tematyczne/warunki-zycia/ubostwo-pomoc-spoleczna/ubostwo-w-polsce-w-latach-2023-i-2024,1,12.html" </w:instrText>
                      </w:r>
                      <w:r w:rsidRPr="00B64A60">
                        <w:rPr>
                          <w:color w:val="0000FF"/>
                        </w:rPr>
                        <w:fldChar w:fldCharType="separate"/>
                      </w:r>
                      <w:r w:rsidR="007C0C5D" w:rsidRPr="00B64A60">
                        <w:rPr>
                          <w:rStyle w:val="Hipercze"/>
                          <w:rFonts w:eastAsia="Fira Sans Light" w:cstheme="minorBidi"/>
                          <w:szCs w:val="19"/>
                        </w:rPr>
                        <w:t>Publikacja „Ubóstwo w Polsce w latach 2023 i 2024"</w:t>
                      </w:r>
                      <w:r w:rsidRPr="00B64A60">
                        <w:rPr>
                          <w:rStyle w:val="Hipercze"/>
                          <w:rFonts w:eastAsia="Fira Sans Light" w:cstheme="minorBidi"/>
                          <w:szCs w:val="19"/>
                        </w:rPr>
                        <w:fldChar w:fldCharType="end"/>
                      </w:r>
                    </w:p>
                    <w:p w14:paraId="76DD6972" w14:textId="3DEA979F" w:rsidR="00837C4C" w:rsidRPr="00B64A60" w:rsidRDefault="00FF4D01" w:rsidP="0084007B">
                      <w:pPr>
                        <w:spacing w:before="60" w:after="60"/>
                        <w:rPr>
                          <w:rFonts w:eastAsia="Fira Sans Light"/>
                          <w:color w:val="0000FF"/>
                          <w:szCs w:val="19"/>
                          <w:u w:val="single"/>
                        </w:rPr>
                      </w:pPr>
                      <w:hyperlink r:id="rId62" w:history="1">
                        <w:r w:rsidR="00837C4C" w:rsidRPr="00B64A60">
                          <w:rPr>
                            <w:rFonts w:eastAsia="Fira Sans Light"/>
                            <w:color w:val="0000FF"/>
                            <w:szCs w:val="19"/>
                            <w:u w:val="single"/>
                          </w:rPr>
                          <w:t>O minimum socjalnym i minimum egzystencji - Instytut Pracy i Spraw Socjalnych (ipiss.com.pl)</w:t>
                        </w:r>
                      </w:hyperlink>
                    </w:p>
                    <w:p w14:paraId="27234209" w14:textId="77777777" w:rsidR="00837C4C" w:rsidRPr="00B64A60" w:rsidRDefault="00FF4D01" w:rsidP="0084007B">
                      <w:pPr>
                        <w:rPr>
                          <w:color w:val="0000FF"/>
                        </w:rPr>
                      </w:pPr>
                      <w:hyperlink r:id="rId63" w:history="1">
                        <w:r w:rsidR="00837C4C" w:rsidRPr="00B64A60">
                          <w:rPr>
                            <w:color w:val="0000FF"/>
                            <w:u w:val="single"/>
                          </w:rPr>
                          <w:t>Wysokość minimum egzystencji</w:t>
                        </w:r>
                      </w:hyperlink>
                    </w:p>
                    <w:p w14:paraId="0EA9246C" w14:textId="77777777" w:rsidR="00837C4C" w:rsidRPr="00B64A60" w:rsidRDefault="00FF4D01" w:rsidP="0084007B">
                      <w:pPr>
                        <w:rPr>
                          <w:color w:val="0000FF"/>
                        </w:rPr>
                      </w:pPr>
                      <w:hyperlink r:id="rId64" w:history="1">
                        <w:r w:rsidR="00837C4C" w:rsidRPr="00B64A60">
                          <w:rPr>
                            <w:color w:val="0000FF"/>
                            <w:u w:val="single"/>
                          </w:rPr>
                          <w:t>Wysokość minimum socjalnego</w:t>
                        </w:r>
                      </w:hyperlink>
                    </w:p>
                    <w:p w14:paraId="09E6EBD9" w14:textId="77777777" w:rsidR="00837C4C" w:rsidRPr="005B24AD" w:rsidRDefault="00837C4C" w:rsidP="0084007B">
                      <w:pPr>
                        <w:spacing w:before="240"/>
                        <w:rPr>
                          <w:b/>
                          <w:color w:val="000000" w:themeColor="text1"/>
                          <w:szCs w:val="24"/>
                        </w:rPr>
                      </w:pPr>
                      <w:r w:rsidRPr="005B24AD">
                        <w:rPr>
                          <w:b/>
                          <w:color w:val="000000" w:themeColor="text1"/>
                          <w:szCs w:val="24"/>
                        </w:rPr>
                        <w:t>Temat dostępny w bazach danych</w:t>
                      </w:r>
                    </w:p>
                    <w:p w14:paraId="7AF2A88A" w14:textId="77777777" w:rsidR="00837C4C" w:rsidRPr="00B64A60" w:rsidRDefault="00FF4D01" w:rsidP="0084007B">
                      <w:pPr>
                        <w:rPr>
                          <w:rFonts w:cs="Times New Roman"/>
                          <w:color w:val="0000FF"/>
                          <w:szCs w:val="19"/>
                          <w:u w:val="single"/>
                        </w:rPr>
                      </w:pPr>
                      <w:hyperlink r:id="rId65" w:history="1">
                        <w:r w:rsidR="00837C4C" w:rsidRPr="00B64A60">
                          <w:rPr>
                            <w:rFonts w:cs="Times New Roman"/>
                            <w:color w:val="0000FF"/>
                            <w:szCs w:val="19"/>
                            <w:u w:val="single"/>
                          </w:rPr>
                          <w:t>Bank Danych Lokalnych</w:t>
                        </w:r>
                      </w:hyperlink>
                      <w:bookmarkStart w:id="9" w:name="_GoBack"/>
                      <w:bookmarkEnd w:id="9"/>
                    </w:p>
                    <w:p w14:paraId="4A38A5A0" w14:textId="77777777" w:rsidR="00837C4C" w:rsidRPr="00B64A60" w:rsidRDefault="00FF4D01" w:rsidP="0084007B">
                      <w:pPr>
                        <w:rPr>
                          <w:rFonts w:cs="Times New Roman"/>
                          <w:color w:val="0000FF"/>
                          <w:szCs w:val="19"/>
                          <w:u w:val="single"/>
                        </w:rPr>
                      </w:pPr>
                      <w:hyperlink r:id="rId66" w:history="1">
                        <w:r w:rsidR="00837C4C" w:rsidRPr="00B64A60">
                          <w:rPr>
                            <w:rFonts w:cs="Times New Roman"/>
                            <w:color w:val="0000FF"/>
                            <w:szCs w:val="19"/>
                            <w:u w:val="single"/>
                          </w:rPr>
                          <w:t>Dziedzinowe Bazy Wiedzy/Ubóstwo według grup społeczno-ekonomicznych</w:t>
                        </w:r>
                      </w:hyperlink>
                    </w:p>
                    <w:p w14:paraId="7A36CFC0" w14:textId="77777777" w:rsidR="00837C4C" w:rsidRPr="00B64A60" w:rsidRDefault="00FF4D01" w:rsidP="0084007B">
                      <w:pPr>
                        <w:rPr>
                          <w:color w:val="0000FF"/>
                          <w:szCs w:val="19"/>
                          <w:u w:val="single"/>
                        </w:rPr>
                      </w:pPr>
                      <w:hyperlink r:id="rId67" w:history="1">
                        <w:r w:rsidR="00837C4C" w:rsidRPr="00B64A60">
                          <w:rPr>
                            <w:rFonts w:cs="Times New Roman"/>
                            <w:color w:val="0000FF"/>
                            <w:szCs w:val="19"/>
                            <w:u w:val="single"/>
                          </w:rPr>
                          <w:t>Dziedzinowe Bazy Wiedzy/Ubóstwo według podziału kraju na miasto i wieś</w:t>
                        </w:r>
                      </w:hyperlink>
                    </w:p>
                    <w:p w14:paraId="23CCF6C8" w14:textId="77777777" w:rsidR="00837C4C" w:rsidRPr="005B24AD" w:rsidRDefault="00837C4C" w:rsidP="0084007B">
                      <w:pPr>
                        <w:spacing w:before="240"/>
                        <w:rPr>
                          <w:b/>
                          <w:color w:val="000000" w:themeColor="text1"/>
                          <w:szCs w:val="24"/>
                        </w:rPr>
                      </w:pPr>
                      <w:r w:rsidRPr="005B24AD">
                        <w:rPr>
                          <w:b/>
                          <w:color w:val="000000" w:themeColor="text1"/>
                          <w:szCs w:val="24"/>
                        </w:rPr>
                        <w:t>Ważniejsze pojęcia dostępne w słowniku</w:t>
                      </w:r>
                    </w:p>
                    <w:p w14:paraId="09241E37" w14:textId="77777777" w:rsidR="00837C4C" w:rsidRPr="00B64A60" w:rsidRDefault="00FF4D01" w:rsidP="0084007B">
                      <w:pPr>
                        <w:rPr>
                          <w:rFonts w:cs="Times New Roman"/>
                          <w:color w:val="0000FF"/>
                          <w:szCs w:val="19"/>
                          <w:u w:val="single"/>
                        </w:rPr>
                      </w:pPr>
                      <w:hyperlink r:id="rId68" w:history="1">
                        <w:r w:rsidR="00837C4C" w:rsidRPr="00B64A60">
                          <w:rPr>
                            <w:rFonts w:cs="Times New Roman"/>
                            <w:color w:val="0000FF"/>
                            <w:szCs w:val="19"/>
                            <w:u w:val="single"/>
                          </w:rPr>
                          <w:t>Wskaźnik zagrożenia ubóstwem skrajnym</w:t>
                        </w:r>
                      </w:hyperlink>
                      <w:r w:rsidR="00837C4C" w:rsidRPr="00B64A60">
                        <w:rPr>
                          <w:rFonts w:cs="Times New Roman"/>
                          <w:color w:val="0000FF"/>
                          <w:szCs w:val="19"/>
                          <w:u w:val="single"/>
                        </w:rPr>
                        <w:t xml:space="preserve"> (wskaźnik zasięgu ubóstwa skrajnego)</w:t>
                      </w:r>
                    </w:p>
                    <w:p w14:paraId="49A7E95D" w14:textId="77777777" w:rsidR="00837C4C" w:rsidRPr="00B64A60" w:rsidRDefault="00FF4D01" w:rsidP="0084007B">
                      <w:pPr>
                        <w:rPr>
                          <w:rFonts w:cs="Times New Roman"/>
                          <w:color w:val="0000FF"/>
                          <w:szCs w:val="19"/>
                          <w:u w:val="single"/>
                        </w:rPr>
                      </w:pPr>
                      <w:hyperlink r:id="rId69" w:history="1">
                        <w:r w:rsidR="00837C4C" w:rsidRPr="00B64A60">
                          <w:rPr>
                            <w:rFonts w:cs="Times New Roman"/>
                            <w:color w:val="0000FF"/>
                            <w:szCs w:val="19"/>
                            <w:u w:val="single"/>
                          </w:rPr>
                          <w:t>Wskaźnik zagrożenia ubóstwem relatywnym</w:t>
                        </w:r>
                      </w:hyperlink>
                      <w:r w:rsidR="00837C4C" w:rsidRPr="00B64A60">
                        <w:rPr>
                          <w:rFonts w:cs="Times New Roman"/>
                          <w:color w:val="0000FF"/>
                          <w:szCs w:val="19"/>
                          <w:u w:val="single"/>
                        </w:rPr>
                        <w:t xml:space="preserve"> (wskaźnik zasięgu ubóstwa relatywnego)</w:t>
                      </w:r>
                    </w:p>
                    <w:p w14:paraId="49B07644" w14:textId="77777777" w:rsidR="00837C4C" w:rsidRPr="00B64A60" w:rsidRDefault="00FF4D01" w:rsidP="0084007B">
                      <w:pPr>
                        <w:rPr>
                          <w:rStyle w:val="Hipercze"/>
                          <w:rFonts w:cstheme="minorBidi"/>
                          <w:szCs w:val="19"/>
                        </w:rPr>
                      </w:pPr>
                      <w:hyperlink r:id="rId70" w:history="1">
                        <w:r w:rsidR="00837C4C" w:rsidRPr="00B64A60">
                          <w:rPr>
                            <w:rFonts w:cs="Times New Roman"/>
                            <w:color w:val="0000FF"/>
                            <w:szCs w:val="19"/>
                            <w:u w:val="single"/>
                          </w:rPr>
                          <w:t>Wskaźnik zagrożenia ubóstwem ustawowym</w:t>
                        </w:r>
                      </w:hyperlink>
                      <w:r w:rsidR="00837C4C" w:rsidRPr="00B64A60">
                        <w:rPr>
                          <w:rFonts w:cs="Times New Roman"/>
                          <w:color w:val="0000FF"/>
                          <w:szCs w:val="19"/>
                          <w:u w:val="single"/>
                        </w:rPr>
                        <w:t xml:space="preserve"> (wskaźnik zasięgu ubóstwa ustawowego)</w:t>
                      </w:r>
                    </w:p>
                  </w:txbxContent>
                </v:textbox>
                <w10:wrap type="topAndBottom" anchorx="margin"/>
              </v:shape>
            </w:pict>
          </mc:Fallback>
        </mc:AlternateContent>
      </w:r>
    </w:p>
    <w:sectPr w:rsidR="0084007B" w:rsidRPr="00001C5B" w:rsidSect="00EF7B36">
      <w:headerReference w:type="default" r:id="rId71"/>
      <w:footerReference w:type="default" r:id="rId72"/>
      <w:pgSz w:w="11906" w:h="16838" w:code="9"/>
      <w:pgMar w:top="720" w:right="3119" w:bottom="720" w:left="720" w:header="17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13FE09" w14:textId="77777777" w:rsidR="00FF4D01" w:rsidRDefault="00FF4D01" w:rsidP="000662E2">
      <w:pPr>
        <w:spacing w:after="0" w:line="240" w:lineRule="auto"/>
      </w:pPr>
      <w:r>
        <w:separator/>
      </w:r>
    </w:p>
  </w:endnote>
  <w:endnote w:type="continuationSeparator" w:id="0">
    <w:p w14:paraId="4184798D" w14:textId="77777777" w:rsidR="00FF4D01" w:rsidRDefault="00FF4D01"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Fira Sans">
    <w:altName w:val="Calibri"/>
    <w:panose1 w:val="020B0503050000020004"/>
    <w:charset w:val="EE"/>
    <w:family w:val="swiss"/>
    <w:pitch w:val="variable"/>
    <w:sig w:usb0="600002FF" w:usb1="02000001" w:usb2="00000000"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3620116"/>
      <w:docPartObj>
        <w:docPartGallery w:val="Page Numbers (Bottom of Page)"/>
        <w:docPartUnique/>
      </w:docPartObj>
    </w:sdtPr>
    <w:sdtEndPr/>
    <w:sdtContent>
      <w:p w14:paraId="7793611D" w14:textId="21EE8A57" w:rsidR="00837C4C" w:rsidRDefault="00837C4C" w:rsidP="003B18B6">
        <w:pPr>
          <w:pStyle w:val="Stopka"/>
          <w:jc w:val="center"/>
        </w:pPr>
        <w:r>
          <w:rPr>
            <w:noProof/>
          </w:rPr>
          <w:fldChar w:fldCharType="begin"/>
        </w:r>
        <w:r>
          <w:rPr>
            <w:noProof/>
          </w:rPr>
          <w:instrText>PAGE   \* MERGEFORMAT</w:instrText>
        </w:r>
        <w:r>
          <w:rPr>
            <w:noProof/>
          </w:rPr>
          <w:fldChar w:fldCharType="separate"/>
        </w:r>
        <w:r w:rsidR="007E6013">
          <w:rPr>
            <w:noProof/>
          </w:rPr>
          <w:t>9</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4512466"/>
      <w:docPartObj>
        <w:docPartGallery w:val="Page Numbers (Bottom of Page)"/>
        <w:docPartUnique/>
      </w:docPartObj>
    </w:sdtPr>
    <w:sdtEndPr/>
    <w:sdtContent>
      <w:p w14:paraId="3E1D6AD2" w14:textId="4EC3E04D" w:rsidR="00837C4C" w:rsidRDefault="00837C4C" w:rsidP="003B18B6">
        <w:pPr>
          <w:pStyle w:val="Stopka"/>
          <w:jc w:val="center"/>
        </w:pPr>
        <w:r>
          <w:rPr>
            <w:noProof/>
          </w:rPr>
          <w:fldChar w:fldCharType="begin"/>
        </w:r>
        <w:r>
          <w:rPr>
            <w:noProof/>
          </w:rPr>
          <w:instrText>PAGE   \* MERGEFORMAT</w:instrText>
        </w:r>
        <w:r>
          <w:rPr>
            <w:noProof/>
          </w:rPr>
          <w:fldChar w:fldCharType="separate"/>
        </w:r>
        <w:r w:rsidR="007E6013">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6BF61D62" w14:textId="4DA62A3D" w:rsidR="00837C4C" w:rsidRDefault="00837C4C" w:rsidP="003B18B6">
        <w:pPr>
          <w:pStyle w:val="Stopka"/>
          <w:jc w:val="center"/>
        </w:pPr>
        <w:r>
          <w:rPr>
            <w:noProof/>
          </w:rPr>
          <w:fldChar w:fldCharType="begin"/>
        </w:r>
        <w:r>
          <w:rPr>
            <w:noProof/>
          </w:rPr>
          <w:instrText>PAGE   \* MERGEFORMAT</w:instrText>
        </w:r>
        <w:r>
          <w:rPr>
            <w:noProof/>
          </w:rPr>
          <w:fldChar w:fldCharType="separate"/>
        </w:r>
        <w:r w:rsidR="007E6013">
          <w:rPr>
            <w:noProof/>
          </w:rPr>
          <w:t>10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02A500" w14:textId="77777777" w:rsidR="00FF4D01" w:rsidRDefault="00FF4D01" w:rsidP="000662E2">
      <w:pPr>
        <w:spacing w:after="0" w:line="240" w:lineRule="auto"/>
      </w:pPr>
      <w:r>
        <w:separator/>
      </w:r>
    </w:p>
  </w:footnote>
  <w:footnote w:type="continuationSeparator" w:id="0">
    <w:p w14:paraId="114BB348" w14:textId="77777777" w:rsidR="00FF4D01" w:rsidRDefault="00FF4D01" w:rsidP="000662E2">
      <w:pPr>
        <w:spacing w:after="0" w:line="240" w:lineRule="auto"/>
      </w:pPr>
      <w:r>
        <w:continuationSeparator/>
      </w:r>
    </w:p>
  </w:footnote>
  <w:footnote w:id="1">
    <w:p w14:paraId="242F41B2" w14:textId="080CC028" w:rsidR="00A43907" w:rsidRPr="00F947BB" w:rsidRDefault="00A43907">
      <w:pPr>
        <w:pStyle w:val="Tekstprzypisudolnego"/>
        <w:rPr>
          <w:sz w:val="14"/>
          <w:szCs w:val="14"/>
        </w:rPr>
      </w:pPr>
      <w:r w:rsidRPr="00F947BB">
        <w:rPr>
          <w:rStyle w:val="Odwoanieprzypisudolnego"/>
          <w:sz w:val="14"/>
          <w:szCs w:val="14"/>
        </w:rPr>
        <w:footnoteRef/>
      </w:r>
      <w:r w:rsidRPr="00F947BB">
        <w:rPr>
          <w:sz w:val="14"/>
          <w:szCs w:val="14"/>
        </w:rPr>
        <w:t xml:space="preserve"> </w:t>
      </w:r>
      <w:r w:rsidR="003B1239" w:rsidRPr="00F947BB">
        <w:rPr>
          <w:sz w:val="14"/>
          <w:szCs w:val="14"/>
        </w:rPr>
        <w:t xml:space="preserve">Dla osoby samotnie gospodarującej od stycznia 2022 r. do końca 2024 r. próg zagrożenia ubóstwem </w:t>
      </w:r>
      <w:r w:rsidR="003B1239">
        <w:rPr>
          <w:sz w:val="14"/>
          <w:szCs w:val="14"/>
        </w:rPr>
        <w:t xml:space="preserve">ustawowym </w:t>
      </w:r>
      <w:r w:rsidR="003B1239" w:rsidRPr="00F947BB">
        <w:rPr>
          <w:sz w:val="14"/>
          <w:szCs w:val="14"/>
        </w:rPr>
        <w:t xml:space="preserve">wynosił 776 zł. Dla osoby w gospodarstwie wieloosobowym próg zagrożenia ubóstwem </w:t>
      </w:r>
      <w:r w:rsidR="003B1239">
        <w:rPr>
          <w:sz w:val="14"/>
          <w:szCs w:val="14"/>
        </w:rPr>
        <w:t xml:space="preserve">ustawowym </w:t>
      </w:r>
      <w:r w:rsidR="003B1239" w:rsidRPr="00F947BB">
        <w:rPr>
          <w:sz w:val="14"/>
          <w:szCs w:val="14"/>
        </w:rPr>
        <w:t>od stycznia 2022 r. do końca 2024 r. wynosił 600 zł. Od stycznia 2025 roku granica zagrożenia ubóstwem ustawowym wynosi 1010 zł dla gospodarstw jednoosobowych oraz 823 zł na osobę dla gospodarstw wieloosobowych.</w:t>
      </w:r>
    </w:p>
  </w:footnote>
  <w:footnote w:id="2">
    <w:p w14:paraId="486F51C5" w14:textId="6F91B4D0" w:rsidR="00837C4C" w:rsidRPr="001824E1" w:rsidRDefault="00837C4C" w:rsidP="00C9757E">
      <w:pPr>
        <w:pStyle w:val="Tekstprzypisudolnego"/>
        <w:spacing w:before="60"/>
        <w:rPr>
          <w:sz w:val="14"/>
          <w:szCs w:val="14"/>
        </w:rPr>
      </w:pPr>
      <w:r w:rsidRPr="00BE3BE3">
        <w:rPr>
          <w:rStyle w:val="Odwoanieprzypisudolnego"/>
          <w:sz w:val="18"/>
          <w:szCs w:val="18"/>
        </w:rPr>
        <w:footnoteRef/>
      </w:r>
      <w:r w:rsidRPr="001824E1">
        <w:rPr>
          <w:sz w:val="14"/>
          <w:szCs w:val="14"/>
        </w:rPr>
        <w:t xml:space="preserve"> </w:t>
      </w:r>
      <w:r w:rsidRPr="00FD19A9">
        <w:rPr>
          <w:sz w:val="14"/>
          <w:szCs w:val="14"/>
        </w:rPr>
        <w:t>W</w:t>
      </w:r>
      <w:r>
        <w:rPr>
          <w:sz w:val="14"/>
          <w:szCs w:val="14"/>
        </w:rPr>
        <w:t xml:space="preserve"> niniejszej informacji sygnalne</w:t>
      </w:r>
      <w:r w:rsidR="00B1738A">
        <w:rPr>
          <w:sz w:val="14"/>
          <w:szCs w:val="14"/>
        </w:rPr>
        <w:t>j</w:t>
      </w:r>
      <w:r>
        <w:rPr>
          <w:sz w:val="14"/>
          <w:szCs w:val="14"/>
        </w:rPr>
        <w:t>,</w:t>
      </w:r>
      <w:r w:rsidR="00B1738A">
        <w:rPr>
          <w:sz w:val="14"/>
          <w:szCs w:val="14"/>
        </w:rPr>
        <w:t xml:space="preserve"> analogicznie jak rok wcześniej,</w:t>
      </w:r>
      <w:r>
        <w:rPr>
          <w:sz w:val="14"/>
          <w:szCs w:val="14"/>
        </w:rPr>
        <w:t xml:space="preserve"> w ślad za terminologią stosowaną przez Eurostat, m.in. w </w:t>
      </w:r>
      <w:r w:rsidR="0092536D" w:rsidRPr="00E377C7">
        <w:rPr>
          <w:sz w:val="14"/>
          <w:szCs w:val="14"/>
        </w:rPr>
        <w:t>B</w:t>
      </w:r>
      <w:r w:rsidRPr="00FD19A9">
        <w:rPr>
          <w:sz w:val="14"/>
          <w:szCs w:val="14"/>
        </w:rPr>
        <w:t>adaniu</w:t>
      </w:r>
      <w:r>
        <w:rPr>
          <w:sz w:val="14"/>
          <w:szCs w:val="14"/>
        </w:rPr>
        <w:t xml:space="preserve"> dochodów i warunków życia (EU–SILC), zamiast określeń: </w:t>
      </w:r>
      <w:r w:rsidRPr="00D45DEF">
        <w:rPr>
          <w:i/>
          <w:sz w:val="14"/>
          <w:szCs w:val="14"/>
        </w:rPr>
        <w:t xml:space="preserve">zasięg ubóstwa skrajnego, zasięg ubóstwa relatywnego, zasięg ubóstwa ustawowego </w:t>
      </w:r>
      <w:r w:rsidRPr="00871AA1">
        <w:rPr>
          <w:sz w:val="14"/>
          <w:szCs w:val="14"/>
        </w:rPr>
        <w:t>oraz</w:t>
      </w:r>
      <w:r w:rsidRPr="00D45DEF">
        <w:rPr>
          <w:i/>
          <w:sz w:val="14"/>
          <w:szCs w:val="14"/>
        </w:rPr>
        <w:t xml:space="preserve"> zasięg sfery niedostatku</w:t>
      </w:r>
      <w:r>
        <w:rPr>
          <w:sz w:val="14"/>
          <w:szCs w:val="14"/>
        </w:rPr>
        <w:t xml:space="preserve"> użyto odpowiednio określeń: </w:t>
      </w:r>
      <w:r w:rsidRPr="00D45DEF">
        <w:rPr>
          <w:i/>
          <w:sz w:val="14"/>
          <w:szCs w:val="14"/>
        </w:rPr>
        <w:t>zasięg zagrożenia ubóstwem skrajnym, zasięg zagrożenia ubóstwem relatywnym, zasięg zagrożenia ubóstwem ustawowym</w:t>
      </w:r>
      <w:r>
        <w:rPr>
          <w:sz w:val="14"/>
          <w:szCs w:val="14"/>
        </w:rPr>
        <w:t xml:space="preserve"> oraz </w:t>
      </w:r>
      <w:r w:rsidRPr="00D45DEF">
        <w:rPr>
          <w:i/>
          <w:sz w:val="14"/>
          <w:szCs w:val="14"/>
        </w:rPr>
        <w:t>zasięg zagrożenia niedostatkiem</w:t>
      </w:r>
      <w:r>
        <w:rPr>
          <w:sz w:val="14"/>
          <w:szCs w:val="14"/>
        </w:rPr>
        <w:t>. Mimo modyfikacji nazewnictwa, są to te same wskaźniki.</w:t>
      </w:r>
    </w:p>
  </w:footnote>
  <w:footnote w:id="3">
    <w:p w14:paraId="79B00995" w14:textId="5071C06D" w:rsidR="00074DAB" w:rsidRDefault="00074DAB">
      <w:pPr>
        <w:pStyle w:val="Tekstprzypisudolnego"/>
      </w:pPr>
      <w:r>
        <w:rPr>
          <w:rStyle w:val="Odwoanieprzypisudolnego"/>
        </w:rPr>
        <w:footnoteRef/>
      </w:r>
      <w:r>
        <w:t xml:space="preserve"> </w:t>
      </w:r>
      <w:r w:rsidRPr="001A079E">
        <w:rPr>
          <w:rFonts w:eastAsia="Times New Roman" w:cs="Times New Roman"/>
          <w:bCs/>
          <w:sz w:val="14"/>
          <w:szCs w:val="14"/>
          <w:shd w:val="clear" w:color="auto" w:fill="FFFFFF"/>
          <w:lang w:eastAsia="pl-PL"/>
        </w:rPr>
        <w:t xml:space="preserve">W zaokrągleniu do pełnych złotych, granica </w:t>
      </w:r>
      <w:r>
        <w:rPr>
          <w:rFonts w:eastAsia="Times New Roman" w:cs="Times New Roman"/>
          <w:bCs/>
          <w:sz w:val="14"/>
          <w:szCs w:val="14"/>
          <w:shd w:val="clear" w:color="auto" w:fill="FFFFFF"/>
          <w:lang w:eastAsia="pl-PL"/>
        </w:rPr>
        <w:t xml:space="preserve">zagrożenia </w:t>
      </w:r>
      <w:r w:rsidRPr="001A079E">
        <w:rPr>
          <w:rFonts w:eastAsia="Times New Roman" w:cs="Times New Roman"/>
          <w:bCs/>
          <w:sz w:val="14"/>
          <w:szCs w:val="14"/>
          <w:shd w:val="clear" w:color="auto" w:fill="FFFFFF"/>
          <w:lang w:eastAsia="pl-PL"/>
        </w:rPr>
        <w:t>ubóstw</w:t>
      </w:r>
      <w:r>
        <w:rPr>
          <w:rFonts w:eastAsia="Times New Roman" w:cs="Times New Roman"/>
          <w:bCs/>
          <w:sz w:val="14"/>
          <w:szCs w:val="14"/>
          <w:shd w:val="clear" w:color="auto" w:fill="FFFFFF"/>
          <w:lang w:eastAsia="pl-PL"/>
        </w:rPr>
        <w:t>em</w:t>
      </w:r>
      <w:r w:rsidRPr="001A079E">
        <w:rPr>
          <w:rFonts w:eastAsia="Times New Roman" w:cs="Times New Roman"/>
          <w:bCs/>
          <w:sz w:val="14"/>
          <w:szCs w:val="14"/>
          <w:shd w:val="clear" w:color="auto" w:fill="FFFFFF"/>
          <w:lang w:eastAsia="pl-PL"/>
        </w:rPr>
        <w:t xml:space="preserve"> skrajn</w:t>
      </w:r>
      <w:r>
        <w:rPr>
          <w:rFonts w:eastAsia="Times New Roman" w:cs="Times New Roman"/>
          <w:bCs/>
          <w:sz w:val="14"/>
          <w:szCs w:val="14"/>
          <w:shd w:val="clear" w:color="auto" w:fill="FFFFFF"/>
          <w:lang w:eastAsia="pl-PL"/>
        </w:rPr>
        <w:t>ym</w:t>
      </w:r>
      <w:r w:rsidRPr="001A079E">
        <w:rPr>
          <w:rFonts w:eastAsia="Times New Roman" w:cs="Times New Roman"/>
          <w:bCs/>
          <w:sz w:val="14"/>
          <w:szCs w:val="14"/>
          <w:shd w:val="clear" w:color="auto" w:fill="FFFFFF"/>
          <w:lang w:eastAsia="pl-PL"/>
        </w:rPr>
        <w:t xml:space="preserve"> </w:t>
      </w:r>
      <w:bookmarkStart w:id="1" w:name="_Hlk137030002"/>
      <w:r w:rsidRPr="001A079E">
        <w:rPr>
          <w:rFonts w:eastAsia="Times New Roman" w:cs="Times New Roman"/>
          <w:bCs/>
          <w:sz w:val="14"/>
          <w:szCs w:val="14"/>
          <w:shd w:val="clear" w:color="auto" w:fill="FFFFFF"/>
          <w:lang w:eastAsia="pl-PL"/>
        </w:rPr>
        <w:t xml:space="preserve">dla jednoosobowego gospodarstwa </w:t>
      </w:r>
      <w:bookmarkEnd w:id="1"/>
      <w:r w:rsidRPr="001A079E">
        <w:rPr>
          <w:rFonts w:eastAsia="Times New Roman" w:cs="Times New Roman"/>
          <w:bCs/>
          <w:sz w:val="14"/>
          <w:szCs w:val="14"/>
          <w:shd w:val="clear" w:color="auto" w:fill="FFFFFF"/>
          <w:lang w:eastAsia="pl-PL"/>
        </w:rPr>
        <w:t xml:space="preserve">(średnio </w:t>
      </w:r>
      <w:r>
        <w:rPr>
          <w:rFonts w:eastAsia="Times New Roman" w:cs="Times New Roman"/>
          <w:bCs/>
          <w:sz w:val="14"/>
          <w:szCs w:val="14"/>
          <w:shd w:val="clear" w:color="auto" w:fill="FFFFFF"/>
          <w:lang w:eastAsia="pl-PL"/>
        </w:rPr>
        <w:br/>
      </w:r>
      <w:r w:rsidRPr="001A079E">
        <w:rPr>
          <w:rFonts w:eastAsia="Times New Roman" w:cs="Times New Roman"/>
          <w:bCs/>
          <w:sz w:val="14"/>
          <w:szCs w:val="14"/>
          <w:shd w:val="clear" w:color="auto" w:fill="FFFFFF"/>
          <w:lang w:eastAsia="pl-PL"/>
        </w:rPr>
        <w:t>w miesiącu) wyniosła w</w:t>
      </w:r>
      <w:r>
        <w:rPr>
          <w:rFonts w:eastAsia="Times New Roman" w:cs="Times New Roman"/>
          <w:bCs/>
          <w:sz w:val="14"/>
          <w:szCs w:val="14"/>
          <w:shd w:val="clear" w:color="auto" w:fill="FFFFFF"/>
          <w:lang w:eastAsia="pl-PL"/>
        </w:rPr>
        <w:t xml:space="preserve"> </w:t>
      </w:r>
      <w:r w:rsidRPr="001A079E">
        <w:rPr>
          <w:rFonts w:eastAsia="Times New Roman" w:cs="Times New Roman"/>
          <w:bCs/>
          <w:sz w:val="14"/>
          <w:szCs w:val="14"/>
          <w:shd w:val="clear" w:color="auto" w:fill="FFFFFF"/>
          <w:lang w:eastAsia="pl-PL"/>
        </w:rPr>
        <w:t>I kw</w:t>
      </w:r>
      <w:r>
        <w:rPr>
          <w:rFonts w:eastAsia="Times New Roman" w:cs="Times New Roman"/>
          <w:bCs/>
          <w:sz w:val="14"/>
          <w:szCs w:val="14"/>
          <w:shd w:val="clear" w:color="auto" w:fill="FFFFFF"/>
          <w:lang w:eastAsia="pl-PL"/>
        </w:rPr>
        <w:t>artale 2025 r.</w:t>
      </w:r>
      <w:r w:rsidRPr="00872731">
        <w:rPr>
          <w:rFonts w:eastAsia="Times New Roman" w:cs="Times New Roman"/>
          <w:bCs/>
          <w:sz w:val="14"/>
          <w:szCs w:val="14"/>
          <w:shd w:val="clear" w:color="auto" w:fill="FFFFFF"/>
          <w:lang w:eastAsia="pl-PL"/>
        </w:rPr>
        <w:t xml:space="preserve"> – </w:t>
      </w:r>
      <w:r w:rsidR="00F65360">
        <w:rPr>
          <w:rFonts w:eastAsia="Times New Roman" w:cs="Times New Roman"/>
          <w:bCs/>
          <w:sz w:val="14"/>
          <w:szCs w:val="14"/>
          <w:shd w:val="clear" w:color="auto" w:fill="FFFFFF"/>
          <w:lang w:eastAsia="pl-PL"/>
        </w:rPr>
        <w:t>1011</w:t>
      </w:r>
      <w:r w:rsidRPr="00872731">
        <w:rPr>
          <w:rFonts w:eastAsia="Times New Roman" w:cs="Times New Roman"/>
          <w:bCs/>
          <w:sz w:val="14"/>
          <w:szCs w:val="14"/>
          <w:shd w:val="clear" w:color="auto" w:fill="FFFFFF"/>
          <w:lang w:eastAsia="pl-PL"/>
        </w:rPr>
        <w:t xml:space="preserve"> zł, w II kw. – </w:t>
      </w:r>
      <w:r w:rsidR="00F65360">
        <w:rPr>
          <w:rFonts w:eastAsia="Times New Roman" w:cs="Times New Roman"/>
          <w:bCs/>
          <w:sz w:val="14"/>
          <w:szCs w:val="14"/>
          <w:shd w:val="clear" w:color="auto" w:fill="FFFFFF"/>
          <w:lang w:eastAsia="pl-PL"/>
        </w:rPr>
        <w:t>1023</w:t>
      </w:r>
      <w:r w:rsidRPr="00872731">
        <w:rPr>
          <w:rFonts w:eastAsia="Times New Roman" w:cs="Times New Roman"/>
          <w:bCs/>
          <w:sz w:val="14"/>
          <w:szCs w:val="14"/>
          <w:shd w:val="clear" w:color="auto" w:fill="FFFFFF"/>
          <w:lang w:eastAsia="pl-PL"/>
        </w:rPr>
        <w:t xml:space="preserve"> zł, w III</w:t>
      </w:r>
      <w:r>
        <w:rPr>
          <w:rFonts w:eastAsia="Times New Roman" w:cs="Times New Roman"/>
          <w:bCs/>
          <w:sz w:val="14"/>
          <w:szCs w:val="14"/>
          <w:shd w:val="clear" w:color="auto" w:fill="FFFFFF"/>
          <w:lang w:eastAsia="pl-PL"/>
        </w:rPr>
        <w:t xml:space="preserve"> kw.</w:t>
      </w:r>
      <w:r w:rsidRPr="00872731">
        <w:rPr>
          <w:rFonts w:eastAsia="Times New Roman" w:cs="Times New Roman"/>
          <w:bCs/>
          <w:sz w:val="14"/>
          <w:szCs w:val="14"/>
          <w:shd w:val="clear" w:color="auto" w:fill="FFFFFF"/>
          <w:lang w:eastAsia="pl-PL"/>
        </w:rPr>
        <w:t xml:space="preserve"> – </w:t>
      </w:r>
      <w:r w:rsidR="00F65360">
        <w:rPr>
          <w:rFonts w:eastAsia="Times New Roman" w:cs="Times New Roman"/>
          <w:bCs/>
          <w:sz w:val="14"/>
          <w:szCs w:val="14"/>
          <w:shd w:val="clear" w:color="auto" w:fill="FFFFFF"/>
          <w:lang w:eastAsia="pl-PL"/>
        </w:rPr>
        <w:t>1032</w:t>
      </w:r>
      <w:r w:rsidRPr="00872731">
        <w:rPr>
          <w:rFonts w:eastAsia="Times New Roman" w:cs="Times New Roman"/>
          <w:bCs/>
          <w:sz w:val="14"/>
          <w:szCs w:val="14"/>
          <w:shd w:val="clear" w:color="auto" w:fill="FFFFFF"/>
          <w:lang w:eastAsia="pl-PL"/>
        </w:rPr>
        <w:t xml:space="preserve"> zł, a w IV</w:t>
      </w:r>
      <w:r>
        <w:rPr>
          <w:rFonts w:eastAsia="Times New Roman" w:cs="Times New Roman"/>
          <w:bCs/>
          <w:sz w:val="14"/>
          <w:szCs w:val="14"/>
          <w:shd w:val="clear" w:color="auto" w:fill="FFFFFF"/>
          <w:lang w:eastAsia="pl-PL"/>
        </w:rPr>
        <w:t xml:space="preserve"> kw.</w:t>
      </w:r>
      <w:r w:rsidRPr="00872731">
        <w:rPr>
          <w:rFonts w:eastAsia="Times New Roman" w:cs="Times New Roman"/>
          <w:bCs/>
          <w:sz w:val="14"/>
          <w:szCs w:val="14"/>
          <w:shd w:val="clear" w:color="auto" w:fill="FFFFFF"/>
          <w:lang w:eastAsia="pl-PL"/>
        </w:rPr>
        <w:t xml:space="preserve"> – </w:t>
      </w:r>
      <w:r w:rsidR="00F65360">
        <w:rPr>
          <w:rFonts w:eastAsia="Times New Roman" w:cs="Times New Roman"/>
          <w:bCs/>
          <w:sz w:val="14"/>
          <w:szCs w:val="14"/>
          <w:shd w:val="clear" w:color="auto" w:fill="FFFFFF"/>
          <w:lang w:eastAsia="pl-PL"/>
        </w:rPr>
        <w:t>1037</w:t>
      </w:r>
      <w:r w:rsidRPr="00872731">
        <w:rPr>
          <w:rFonts w:eastAsia="Times New Roman" w:cs="Times New Roman"/>
          <w:bCs/>
          <w:sz w:val="14"/>
          <w:szCs w:val="14"/>
          <w:shd w:val="clear" w:color="auto" w:fill="FFFFFF"/>
          <w:lang w:eastAsia="pl-PL"/>
        </w:rPr>
        <w:t xml:space="preserve"> zł.</w:t>
      </w:r>
    </w:p>
  </w:footnote>
  <w:footnote w:id="4">
    <w:p w14:paraId="065222DA" w14:textId="77777777" w:rsidR="00837C4C" w:rsidRPr="00B87DAD" w:rsidRDefault="00837C4C" w:rsidP="00C9757E">
      <w:pPr>
        <w:pStyle w:val="Tekstprzypisudolnego"/>
        <w:spacing w:before="60"/>
        <w:rPr>
          <w:color w:val="001D77"/>
          <w:sz w:val="14"/>
          <w:szCs w:val="14"/>
        </w:rPr>
      </w:pPr>
      <w:r w:rsidRPr="00BE3BE3">
        <w:rPr>
          <w:rStyle w:val="Odwoanieprzypisudolnego"/>
          <w:sz w:val="18"/>
          <w:szCs w:val="18"/>
        </w:rPr>
        <w:footnoteRef/>
      </w:r>
      <w:r w:rsidRPr="00B87DAD">
        <w:rPr>
          <w:sz w:val="14"/>
          <w:szCs w:val="14"/>
        </w:rPr>
        <w:t xml:space="preserve"> Informacje dotyczące minimum egzystencji dostępne są na stronie Instytutu Pracy i Spraw Socjalnych: </w:t>
      </w:r>
      <w:hyperlink r:id="rId1" w:history="1">
        <w:r w:rsidRPr="00B87DAD">
          <w:rPr>
            <w:rStyle w:val="Hipercze"/>
            <w:rFonts w:cstheme="minorBidi"/>
            <w:color w:val="001D77"/>
            <w:sz w:val="14"/>
            <w:szCs w:val="14"/>
          </w:rPr>
          <w:t>O minimum socjalnym i minimum egzystencji - Instytut Pracy i Spraw Socjalnych (ipiss.com.pl)</w:t>
        </w:r>
      </w:hyperlink>
      <w:r w:rsidRPr="00B87DAD">
        <w:rPr>
          <w:sz w:val="14"/>
          <w:szCs w:val="14"/>
        </w:rPr>
        <w:t xml:space="preserve"> oraz </w:t>
      </w:r>
      <w:hyperlink r:id="rId2" w:history="1">
        <w:r w:rsidRPr="00B87DAD">
          <w:rPr>
            <w:rStyle w:val="Hipercze"/>
            <w:rFonts w:cstheme="minorBidi"/>
            <w:color w:val="001D77"/>
            <w:sz w:val="14"/>
            <w:szCs w:val="14"/>
          </w:rPr>
          <w:t>Wysokość minimum egzystencji - Instytut Pracy i</w:t>
        </w:r>
        <w:r>
          <w:rPr>
            <w:rStyle w:val="Hipercze"/>
            <w:rFonts w:cstheme="minorBidi"/>
            <w:color w:val="001D77"/>
            <w:sz w:val="14"/>
            <w:szCs w:val="14"/>
          </w:rPr>
          <w:t> </w:t>
        </w:r>
        <w:r w:rsidRPr="00B87DAD">
          <w:rPr>
            <w:rStyle w:val="Hipercze"/>
            <w:rFonts w:cstheme="minorBidi"/>
            <w:color w:val="001D77"/>
            <w:sz w:val="14"/>
            <w:szCs w:val="14"/>
          </w:rPr>
          <w:t>Spraw Socjalnych (ipiss.com.pl)</w:t>
        </w:r>
      </w:hyperlink>
    </w:p>
  </w:footnote>
  <w:footnote w:id="5">
    <w:p w14:paraId="1F15A4D9" w14:textId="31DBCE11" w:rsidR="00074DAB" w:rsidRDefault="00074DAB">
      <w:pPr>
        <w:pStyle w:val="Tekstprzypisudolnego"/>
      </w:pPr>
      <w:r>
        <w:rPr>
          <w:rStyle w:val="Odwoanieprzypisudolnego"/>
        </w:rPr>
        <w:footnoteRef/>
      </w:r>
      <w:r>
        <w:t xml:space="preserve"> </w:t>
      </w:r>
      <w:r w:rsidRPr="001A079E">
        <w:rPr>
          <w:rFonts w:eastAsia="Times New Roman" w:cs="Times New Roman"/>
          <w:bCs/>
          <w:sz w:val="14"/>
          <w:szCs w:val="14"/>
          <w:shd w:val="clear" w:color="auto" w:fill="FFFFFF"/>
          <w:lang w:eastAsia="pl-PL"/>
        </w:rPr>
        <w:t xml:space="preserve">W zaokrągleniu do pełnych złotych, </w:t>
      </w:r>
      <w:r w:rsidRPr="001A079E">
        <w:rPr>
          <w:rFonts w:eastAsia="Calibri" w:cs="Times New Roman"/>
          <w:bCs/>
          <w:sz w:val="14"/>
          <w:szCs w:val="14"/>
        </w:rPr>
        <w:t xml:space="preserve">granica </w:t>
      </w:r>
      <w:r>
        <w:rPr>
          <w:rFonts w:eastAsia="Calibri" w:cs="Times New Roman"/>
          <w:bCs/>
          <w:sz w:val="14"/>
          <w:szCs w:val="14"/>
        </w:rPr>
        <w:t xml:space="preserve">zagrożenia </w:t>
      </w:r>
      <w:r w:rsidRPr="001A079E">
        <w:rPr>
          <w:rFonts w:eastAsia="Calibri" w:cs="Times New Roman"/>
          <w:bCs/>
          <w:sz w:val="14"/>
          <w:szCs w:val="14"/>
        </w:rPr>
        <w:t>ubóstw</w:t>
      </w:r>
      <w:r>
        <w:rPr>
          <w:rFonts w:eastAsia="Calibri" w:cs="Times New Roman"/>
          <w:bCs/>
          <w:sz w:val="14"/>
          <w:szCs w:val="14"/>
        </w:rPr>
        <w:t>em</w:t>
      </w:r>
      <w:r w:rsidRPr="001A079E">
        <w:rPr>
          <w:rFonts w:eastAsia="Calibri" w:cs="Times New Roman"/>
          <w:bCs/>
          <w:sz w:val="14"/>
          <w:szCs w:val="14"/>
        </w:rPr>
        <w:t xml:space="preserve"> relatywn</w:t>
      </w:r>
      <w:r>
        <w:rPr>
          <w:rFonts w:eastAsia="Calibri" w:cs="Times New Roman"/>
          <w:bCs/>
          <w:sz w:val="14"/>
          <w:szCs w:val="14"/>
        </w:rPr>
        <w:t>ym</w:t>
      </w:r>
      <w:r w:rsidRPr="001A079E">
        <w:rPr>
          <w:rFonts w:eastAsia="Calibri" w:cs="Times New Roman"/>
          <w:bCs/>
          <w:sz w:val="14"/>
          <w:szCs w:val="14"/>
        </w:rPr>
        <w:t xml:space="preserve"> dla jednoosobowego gospodarstwa </w:t>
      </w:r>
      <w:r w:rsidRPr="001A079E">
        <w:rPr>
          <w:rFonts w:eastAsia="Times New Roman" w:cs="Times New Roman"/>
          <w:bCs/>
          <w:sz w:val="14"/>
          <w:szCs w:val="14"/>
          <w:shd w:val="clear" w:color="auto" w:fill="FFFFFF"/>
          <w:lang w:eastAsia="pl-PL"/>
        </w:rPr>
        <w:t xml:space="preserve">(średnio </w:t>
      </w:r>
      <w:r>
        <w:rPr>
          <w:rFonts w:eastAsia="Times New Roman" w:cs="Times New Roman"/>
          <w:bCs/>
          <w:sz w:val="14"/>
          <w:szCs w:val="14"/>
          <w:shd w:val="clear" w:color="auto" w:fill="FFFFFF"/>
          <w:lang w:eastAsia="pl-PL"/>
        </w:rPr>
        <w:br/>
      </w:r>
      <w:r w:rsidRPr="001A079E">
        <w:rPr>
          <w:rFonts w:eastAsia="Times New Roman" w:cs="Times New Roman"/>
          <w:bCs/>
          <w:sz w:val="14"/>
          <w:szCs w:val="14"/>
          <w:shd w:val="clear" w:color="auto" w:fill="FFFFFF"/>
          <w:lang w:eastAsia="pl-PL"/>
        </w:rPr>
        <w:t>w miesiącu)</w:t>
      </w:r>
      <w:r w:rsidRPr="001A079E">
        <w:rPr>
          <w:rFonts w:eastAsia="Calibri" w:cs="Times New Roman"/>
          <w:bCs/>
          <w:sz w:val="14"/>
          <w:szCs w:val="14"/>
        </w:rPr>
        <w:t xml:space="preserve"> wyniosła w I kwartale </w:t>
      </w:r>
      <w:r w:rsidRPr="00C9235A">
        <w:rPr>
          <w:rFonts w:eastAsia="Calibri" w:cs="Times New Roman"/>
          <w:bCs/>
          <w:sz w:val="14"/>
          <w:szCs w:val="14"/>
        </w:rPr>
        <w:t>202</w:t>
      </w:r>
      <w:r>
        <w:rPr>
          <w:rFonts w:eastAsia="Calibri" w:cs="Times New Roman"/>
          <w:bCs/>
          <w:sz w:val="14"/>
          <w:szCs w:val="14"/>
        </w:rPr>
        <w:t>5</w:t>
      </w:r>
      <w:r w:rsidRPr="00C9235A">
        <w:rPr>
          <w:rFonts w:eastAsia="Calibri" w:cs="Times New Roman"/>
          <w:bCs/>
          <w:sz w:val="14"/>
          <w:szCs w:val="14"/>
        </w:rPr>
        <w:t xml:space="preserve"> </w:t>
      </w:r>
      <w:r w:rsidRPr="00C9235A">
        <w:rPr>
          <w:rFonts w:eastAsia="Times New Roman" w:cs="Times New Roman"/>
          <w:bCs/>
          <w:sz w:val="14"/>
          <w:szCs w:val="14"/>
          <w:shd w:val="clear" w:color="auto" w:fill="FFFFFF"/>
          <w:lang w:eastAsia="pl-PL"/>
        </w:rPr>
        <w:t>–</w:t>
      </w:r>
      <w:r w:rsidRPr="00C9235A">
        <w:rPr>
          <w:rFonts w:eastAsia="Calibri" w:cs="Times New Roman"/>
          <w:bCs/>
          <w:sz w:val="14"/>
          <w:szCs w:val="14"/>
        </w:rPr>
        <w:t xml:space="preserve"> 1</w:t>
      </w:r>
      <w:r w:rsidR="00745B03">
        <w:rPr>
          <w:rFonts w:eastAsia="Calibri" w:cs="Times New Roman"/>
          <w:bCs/>
          <w:sz w:val="14"/>
          <w:szCs w:val="14"/>
        </w:rPr>
        <w:t>225</w:t>
      </w:r>
      <w:r w:rsidRPr="00C9235A">
        <w:rPr>
          <w:rFonts w:eastAsia="Calibri" w:cs="Times New Roman"/>
          <w:bCs/>
          <w:sz w:val="14"/>
          <w:szCs w:val="14"/>
        </w:rPr>
        <w:t xml:space="preserve"> zł, w II kw. </w:t>
      </w:r>
      <w:r w:rsidRPr="00C9235A">
        <w:rPr>
          <w:rFonts w:eastAsia="Times New Roman" w:cs="Times New Roman"/>
          <w:bCs/>
          <w:sz w:val="14"/>
          <w:szCs w:val="14"/>
          <w:shd w:val="clear" w:color="auto" w:fill="FFFFFF"/>
          <w:lang w:eastAsia="pl-PL"/>
        </w:rPr>
        <w:t>–</w:t>
      </w:r>
      <w:r w:rsidRPr="00C9235A">
        <w:rPr>
          <w:rFonts w:eastAsia="Calibri" w:cs="Times New Roman"/>
          <w:bCs/>
          <w:sz w:val="14"/>
          <w:szCs w:val="14"/>
        </w:rPr>
        <w:t xml:space="preserve"> 1</w:t>
      </w:r>
      <w:r w:rsidR="00F65360">
        <w:rPr>
          <w:rFonts w:eastAsia="Calibri" w:cs="Times New Roman"/>
          <w:bCs/>
          <w:sz w:val="14"/>
          <w:szCs w:val="14"/>
        </w:rPr>
        <w:t>2</w:t>
      </w:r>
      <w:r w:rsidRPr="00C9235A">
        <w:rPr>
          <w:rFonts w:eastAsia="Calibri" w:cs="Times New Roman"/>
          <w:bCs/>
          <w:sz w:val="14"/>
          <w:szCs w:val="14"/>
        </w:rPr>
        <w:t>7</w:t>
      </w:r>
      <w:r w:rsidR="00F65360">
        <w:rPr>
          <w:rFonts w:eastAsia="Calibri" w:cs="Times New Roman"/>
          <w:bCs/>
          <w:sz w:val="14"/>
          <w:szCs w:val="14"/>
        </w:rPr>
        <w:t>1</w:t>
      </w:r>
      <w:r w:rsidRPr="00C9235A">
        <w:rPr>
          <w:rFonts w:eastAsia="Calibri" w:cs="Times New Roman"/>
          <w:bCs/>
          <w:sz w:val="14"/>
          <w:szCs w:val="14"/>
        </w:rPr>
        <w:t xml:space="preserve"> zł, w III kw.– 1</w:t>
      </w:r>
      <w:r w:rsidR="00F65360">
        <w:rPr>
          <w:rFonts w:eastAsia="Calibri" w:cs="Times New Roman"/>
          <w:bCs/>
          <w:sz w:val="14"/>
          <w:szCs w:val="14"/>
        </w:rPr>
        <w:t>322</w:t>
      </w:r>
      <w:r w:rsidRPr="00C9235A">
        <w:rPr>
          <w:rFonts w:eastAsia="Calibri" w:cs="Times New Roman"/>
          <w:bCs/>
          <w:sz w:val="14"/>
          <w:szCs w:val="14"/>
        </w:rPr>
        <w:t xml:space="preserve"> zł, a w IV kw. </w:t>
      </w:r>
      <w:r w:rsidRPr="00C9235A">
        <w:rPr>
          <w:rFonts w:eastAsia="Times New Roman" w:cs="Times New Roman"/>
          <w:bCs/>
          <w:sz w:val="14"/>
          <w:szCs w:val="14"/>
          <w:shd w:val="clear" w:color="auto" w:fill="FFFFFF"/>
          <w:lang w:eastAsia="pl-PL"/>
        </w:rPr>
        <w:t>–</w:t>
      </w:r>
      <w:r>
        <w:rPr>
          <w:rFonts w:eastAsia="Times New Roman" w:cs="Times New Roman"/>
          <w:bCs/>
          <w:sz w:val="14"/>
          <w:szCs w:val="14"/>
          <w:shd w:val="clear" w:color="auto" w:fill="FFFFFF"/>
          <w:lang w:eastAsia="pl-PL"/>
        </w:rPr>
        <w:t xml:space="preserve"> </w:t>
      </w:r>
      <w:r w:rsidRPr="00C9235A">
        <w:rPr>
          <w:rFonts w:eastAsia="Calibri" w:cs="Times New Roman"/>
          <w:bCs/>
          <w:sz w:val="14"/>
          <w:szCs w:val="14"/>
        </w:rPr>
        <w:t>1</w:t>
      </w:r>
      <w:r w:rsidR="00F65360">
        <w:rPr>
          <w:rFonts w:eastAsia="Calibri" w:cs="Times New Roman"/>
          <w:bCs/>
          <w:sz w:val="14"/>
          <w:szCs w:val="14"/>
        </w:rPr>
        <w:t>332</w:t>
      </w:r>
      <w:r w:rsidRPr="00C9235A">
        <w:rPr>
          <w:rFonts w:eastAsia="Calibri" w:cs="Times New Roman"/>
          <w:bCs/>
          <w:sz w:val="14"/>
          <w:szCs w:val="14"/>
        </w:rPr>
        <w:t xml:space="preserve"> zł.</w:t>
      </w:r>
    </w:p>
  </w:footnote>
  <w:footnote w:id="6">
    <w:p w14:paraId="241673C1" w14:textId="6B237688" w:rsidR="00837C4C" w:rsidRPr="00C77F1F" w:rsidRDefault="00837C4C" w:rsidP="00F947BB">
      <w:pPr>
        <w:pStyle w:val="Zwykytekst"/>
        <w:spacing w:before="60"/>
        <w:rPr>
          <w:bCs/>
          <w:sz w:val="14"/>
          <w:szCs w:val="14"/>
        </w:rPr>
      </w:pPr>
      <w:r w:rsidRPr="00BE3BE3">
        <w:rPr>
          <w:rStyle w:val="Odwoanieprzypisudolnego"/>
          <w:rFonts w:ascii="Fira Sans" w:hAnsi="Fira Sans"/>
          <w:sz w:val="18"/>
          <w:szCs w:val="18"/>
        </w:rPr>
        <w:footnoteRef/>
      </w:r>
      <w:r w:rsidRPr="001A079E">
        <w:rPr>
          <w:rFonts w:ascii="Fira Sans" w:hAnsi="Fira Sans"/>
          <w:sz w:val="14"/>
          <w:szCs w:val="14"/>
        </w:rPr>
        <w:t xml:space="preserve"> </w:t>
      </w:r>
      <w:bookmarkStart w:id="2" w:name="_Hlk136961120"/>
      <w:r w:rsidRPr="00FD19A9">
        <w:rPr>
          <w:rFonts w:ascii="Fira Sans" w:hAnsi="Fira Sans"/>
          <w:sz w:val="14"/>
          <w:szCs w:val="14"/>
        </w:rPr>
        <w:t>Prezentowane</w:t>
      </w:r>
      <w:r w:rsidRPr="00C77F1F">
        <w:rPr>
          <w:rFonts w:ascii="Fira Sans" w:hAnsi="Fira Sans"/>
          <w:sz w:val="14"/>
          <w:szCs w:val="14"/>
        </w:rPr>
        <w:t xml:space="preserve"> dane dotyczące zasięgu </w:t>
      </w:r>
      <w:r w:rsidR="00DB35AE">
        <w:rPr>
          <w:rFonts w:ascii="Fira Sans" w:hAnsi="Fira Sans"/>
          <w:sz w:val="14"/>
          <w:szCs w:val="14"/>
        </w:rPr>
        <w:t xml:space="preserve">zagrożenia </w:t>
      </w:r>
      <w:r w:rsidRPr="00C77F1F">
        <w:rPr>
          <w:rFonts w:ascii="Fira Sans" w:hAnsi="Fira Sans"/>
          <w:sz w:val="14"/>
          <w:szCs w:val="14"/>
        </w:rPr>
        <w:t>ubóstw</w:t>
      </w:r>
      <w:r w:rsidR="00DB35AE">
        <w:rPr>
          <w:rFonts w:ascii="Fira Sans" w:hAnsi="Fira Sans"/>
          <w:sz w:val="14"/>
          <w:szCs w:val="14"/>
        </w:rPr>
        <w:t>em</w:t>
      </w:r>
      <w:r w:rsidRPr="00C77F1F">
        <w:rPr>
          <w:rFonts w:ascii="Fira Sans" w:hAnsi="Fira Sans"/>
          <w:sz w:val="14"/>
          <w:szCs w:val="14"/>
        </w:rPr>
        <w:t xml:space="preserve"> oparte są na wynikach Badania budżetów gospodarstw domowych </w:t>
      </w:r>
      <w:r w:rsidRPr="00B87DAD">
        <w:rPr>
          <w:rFonts w:ascii="Fira Sans" w:hAnsi="Fira Sans"/>
          <w:sz w:val="14"/>
          <w:szCs w:val="14"/>
        </w:rPr>
        <w:t xml:space="preserve">prowadzonego metodą reprezentacyjną. Podobnie jak w przypadku każdego innego badania reprezentacyjnego, </w:t>
      </w:r>
      <w:r w:rsidRPr="00B87DAD">
        <w:rPr>
          <w:rFonts w:ascii="Fira Sans" w:hAnsi="Fira Sans"/>
          <w:bCs/>
          <w:sz w:val="14"/>
          <w:szCs w:val="14"/>
        </w:rPr>
        <w:t xml:space="preserve">dane z tego </w:t>
      </w:r>
      <w:r>
        <w:rPr>
          <w:rFonts w:ascii="Fira Sans" w:hAnsi="Fira Sans"/>
          <w:bCs/>
          <w:sz w:val="14"/>
          <w:szCs w:val="14"/>
        </w:rPr>
        <w:t>b</w:t>
      </w:r>
      <w:r w:rsidRPr="00B87DAD">
        <w:rPr>
          <w:rFonts w:ascii="Fira Sans" w:hAnsi="Fira Sans"/>
          <w:bCs/>
          <w:sz w:val="14"/>
          <w:szCs w:val="14"/>
        </w:rPr>
        <w:t>adania obarczone są błędami zarówno o charakterze nielosowym</w:t>
      </w:r>
      <w:r w:rsidR="00AC0F8C">
        <w:rPr>
          <w:rFonts w:ascii="Fira Sans" w:hAnsi="Fira Sans"/>
          <w:bCs/>
          <w:sz w:val="14"/>
          <w:szCs w:val="14"/>
        </w:rPr>
        <w:t>,</w:t>
      </w:r>
      <w:r w:rsidRPr="00B87DAD">
        <w:rPr>
          <w:rFonts w:ascii="Fira Sans" w:hAnsi="Fira Sans"/>
          <w:bCs/>
          <w:sz w:val="14"/>
          <w:szCs w:val="14"/>
        </w:rPr>
        <w:t xml:space="preserve"> jak i losowym. </w:t>
      </w:r>
      <w:r w:rsidRPr="00B87DAD">
        <w:rPr>
          <w:rFonts w:ascii="Fira Sans" w:hAnsi="Fira Sans"/>
          <w:sz w:val="14"/>
          <w:szCs w:val="14"/>
        </w:rPr>
        <w:t xml:space="preserve">Dlatego też, przy interpretacji danych, w tym przy analizie dynamiki zasięgów </w:t>
      </w:r>
      <w:r w:rsidRPr="000C145F">
        <w:rPr>
          <w:rFonts w:ascii="Fira Sans" w:hAnsi="Fira Sans"/>
          <w:sz w:val="14"/>
          <w:szCs w:val="14"/>
        </w:rPr>
        <w:t>zagrożenia ubóstwem ekonomicznym</w:t>
      </w:r>
      <w:r>
        <w:rPr>
          <w:rFonts w:ascii="Fira Sans" w:hAnsi="Fira Sans"/>
          <w:sz w:val="14"/>
          <w:szCs w:val="14"/>
        </w:rPr>
        <w:t>,</w:t>
      </w:r>
      <w:r w:rsidRPr="00B87DAD">
        <w:rPr>
          <w:rFonts w:ascii="Fira Sans" w:hAnsi="Fira Sans"/>
          <w:sz w:val="14"/>
          <w:szCs w:val="14"/>
        </w:rPr>
        <w:t xml:space="preserve"> należy zachować ostrożność i brać pod uwagę m.in. wartości</w:t>
      </w:r>
      <w:r w:rsidRPr="00C77F1F">
        <w:rPr>
          <w:rFonts w:ascii="Fira Sans" w:hAnsi="Fira Sans"/>
          <w:sz w:val="14"/>
          <w:szCs w:val="14"/>
        </w:rPr>
        <w:t xml:space="preserve"> błędów standardowych przy formułowaniu wniosków. </w:t>
      </w:r>
      <w:r w:rsidRPr="00C77F1F">
        <w:rPr>
          <w:rFonts w:ascii="Fira Sans" w:hAnsi="Fira Sans"/>
          <w:bCs/>
          <w:sz w:val="14"/>
          <w:szCs w:val="14"/>
        </w:rPr>
        <w:t>Zwłaszcza w przypadku niewielkich różnic wartości wskaźników zasięgu</w:t>
      </w:r>
      <w:r w:rsidR="00DA7722">
        <w:rPr>
          <w:rFonts w:ascii="Fira Sans" w:hAnsi="Fira Sans"/>
          <w:bCs/>
          <w:sz w:val="14"/>
          <w:szCs w:val="14"/>
        </w:rPr>
        <w:t xml:space="preserve"> zagrożenia</w:t>
      </w:r>
      <w:r w:rsidRPr="00C77F1F">
        <w:rPr>
          <w:rFonts w:ascii="Fira Sans" w:hAnsi="Fira Sans"/>
          <w:bCs/>
          <w:sz w:val="14"/>
          <w:szCs w:val="14"/>
        </w:rPr>
        <w:t xml:space="preserve"> ubóstw</w:t>
      </w:r>
      <w:r w:rsidR="00DA7722">
        <w:rPr>
          <w:rFonts w:ascii="Fira Sans" w:hAnsi="Fira Sans"/>
          <w:bCs/>
          <w:sz w:val="14"/>
          <w:szCs w:val="14"/>
        </w:rPr>
        <w:t>em</w:t>
      </w:r>
      <w:r w:rsidRPr="00C77F1F">
        <w:rPr>
          <w:rFonts w:ascii="Fira Sans" w:hAnsi="Fira Sans"/>
          <w:bCs/>
          <w:sz w:val="14"/>
          <w:szCs w:val="14"/>
        </w:rPr>
        <w:t xml:space="preserve"> między analizowanymi latami, nie można jednoznacznie określić, czy wynikają one z rzeczywistej zmiany, czy są wynikiem błędu pomiar</w:t>
      </w:r>
      <w:r>
        <w:rPr>
          <w:rFonts w:ascii="Fira Sans" w:hAnsi="Fira Sans"/>
          <w:bCs/>
          <w:sz w:val="14"/>
          <w:szCs w:val="14"/>
        </w:rPr>
        <w:t>u</w:t>
      </w:r>
      <w:r w:rsidRPr="00C77F1F">
        <w:rPr>
          <w:rFonts w:ascii="Fira Sans" w:hAnsi="Fira Sans"/>
          <w:bCs/>
          <w:sz w:val="14"/>
          <w:szCs w:val="14"/>
        </w:rPr>
        <w:t xml:space="preserve">. </w:t>
      </w:r>
      <w:r w:rsidRPr="00C77F1F">
        <w:rPr>
          <w:rFonts w:ascii="Fira Sans" w:hAnsi="Fira Sans"/>
          <w:sz w:val="14"/>
          <w:szCs w:val="14"/>
        </w:rPr>
        <w:t>Wartości błędów standardowych zostały zamieszczone w Aneksie do niniejszej Informacji sygnalnej.</w:t>
      </w:r>
      <w:bookmarkEnd w:id="2"/>
    </w:p>
  </w:footnote>
  <w:footnote w:id="7">
    <w:p w14:paraId="7C4890D0" w14:textId="522E4941" w:rsidR="00311746" w:rsidRPr="00F947BB" w:rsidRDefault="00311746">
      <w:pPr>
        <w:pStyle w:val="Tekstprzypisudolnego"/>
        <w:rPr>
          <w:sz w:val="14"/>
          <w:szCs w:val="14"/>
        </w:rPr>
      </w:pPr>
      <w:r w:rsidRPr="00F947BB">
        <w:rPr>
          <w:rStyle w:val="Odwoanieprzypisudolnego"/>
          <w:sz w:val="14"/>
          <w:szCs w:val="14"/>
        </w:rPr>
        <w:footnoteRef/>
      </w:r>
      <w:r w:rsidRPr="00F947BB">
        <w:rPr>
          <w:sz w:val="14"/>
          <w:szCs w:val="14"/>
        </w:rPr>
        <w:t xml:space="preserve"> Badani</w:t>
      </w:r>
      <w:r>
        <w:rPr>
          <w:sz w:val="14"/>
          <w:szCs w:val="14"/>
        </w:rPr>
        <w:t>a Budżetów Gospodarstw Domowych</w:t>
      </w:r>
    </w:p>
  </w:footnote>
  <w:footnote w:id="8">
    <w:p w14:paraId="6C3D8282" w14:textId="77777777" w:rsidR="00837C4C" w:rsidRPr="001A079E" w:rsidRDefault="00837C4C" w:rsidP="00271835">
      <w:pPr>
        <w:pStyle w:val="Tekstprzypisudolnego"/>
        <w:spacing w:before="60"/>
        <w:rPr>
          <w:sz w:val="14"/>
          <w:szCs w:val="14"/>
        </w:rPr>
      </w:pPr>
      <w:r w:rsidRPr="00BE3BE3">
        <w:rPr>
          <w:rStyle w:val="Odwoanieprzypisudolnego"/>
          <w:sz w:val="18"/>
          <w:szCs w:val="18"/>
        </w:rPr>
        <w:footnoteRef/>
      </w:r>
      <w:r w:rsidRPr="00EA00AB">
        <w:rPr>
          <w:sz w:val="14"/>
          <w:szCs w:val="14"/>
        </w:rPr>
        <w:t xml:space="preserve"> </w:t>
      </w:r>
      <w:r w:rsidRPr="001A079E">
        <w:rPr>
          <w:sz w:val="14"/>
          <w:szCs w:val="14"/>
        </w:rPr>
        <w:t xml:space="preserve">Szczegółowe dane i wyjaśnienia metodologiczne dotyczące </w:t>
      </w:r>
      <w:r>
        <w:rPr>
          <w:sz w:val="14"/>
          <w:szCs w:val="14"/>
        </w:rPr>
        <w:t>zagrożenia</w:t>
      </w:r>
      <w:r w:rsidRPr="001A079E">
        <w:rPr>
          <w:sz w:val="14"/>
          <w:szCs w:val="14"/>
        </w:rPr>
        <w:t xml:space="preserve"> niedostatk</w:t>
      </w:r>
      <w:r>
        <w:rPr>
          <w:sz w:val="14"/>
          <w:szCs w:val="14"/>
        </w:rPr>
        <w:t>iem</w:t>
      </w:r>
      <w:r w:rsidRPr="001A079E">
        <w:rPr>
          <w:sz w:val="14"/>
          <w:szCs w:val="14"/>
        </w:rPr>
        <w:t xml:space="preserve"> zawarte są w Aneksie do niniejszej informacji sygnalnej. Analizując zróżnicowanie zasięgów </w:t>
      </w:r>
      <w:r>
        <w:rPr>
          <w:sz w:val="14"/>
          <w:szCs w:val="14"/>
        </w:rPr>
        <w:t>zagrożenia niedostatkiem</w:t>
      </w:r>
      <w:r w:rsidRPr="001A079E">
        <w:rPr>
          <w:sz w:val="14"/>
          <w:szCs w:val="14"/>
        </w:rPr>
        <w:t xml:space="preserve">, podobnie jak w przypadku danych dotyczących </w:t>
      </w:r>
      <w:r>
        <w:rPr>
          <w:sz w:val="14"/>
          <w:szCs w:val="14"/>
        </w:rPr>
        <w:t xml:space="preserve">zagrożenia </w:t>
      </w:r>
      <w:r w:rsidRPr="001A079E">
        <w:rPr>
          <w:sz w:val="14"/>
          <w:szCs w:val="14"/>
        </w:rPr>
        <w:t>ubóstw</w:t>
      </w:r>
      <w:r>
        <w:rPr>
          <w:sz w:val="14"/>
          <w:szCs w:val="14"/>
        </w:rPr>
        <w:t>em,</w:t>
      </w:r>
      <w:r w:rsidRPr="001A079E">
        <w:rPr>
          <w:sz w:val="14"/>
          <w:szCs w:val="14"/>
        </w:rPr>
        <w:t xml:space="preserve"> należy brać pod uwagę błędy standardowe obliczeń. Wartości błędów standardowych zawierają tablice umieszczone</w:t>
      </w:r>
      <w:r>
        <w:rPr>
          <w:sz w:val="14"/>
          <w:szCs w:val="14"/>
        </w:rPr>
        <w:t xml:space="preserve"> </w:t>
      </w:r>
      <w:r w:rsidRPr="00F02459">
        <w:rPr>
          <w:sz w:val="14"/>
          <w:szCs w:val="14"/>
        </w:rPr>
        <w:t>w</w:t>
      </w:r>
      <w:r w:rsidRPr="001A079E">
        <w:rPr>
          <w:sz w:val="14"/>
          <w:szCs w:val="14"/>
        </w:rPr>
        <w:t xml:space="preserve"> Aneksie</w:t>
      </w:r>
      <w:r>
        <w:rPr>
          <w:sz w:val="14"/>
          <w:szCs w:val="14"/>
        </w:rPr>
        <w:t xml:space="preserve"> do niniejszej informacji sygnalnej</w:t>
      </w:r>
      <w:r w:rsidRPr="001A079E">
        <w:rPr>
          <w:sz w:val="14"/>
          <w:szCs w:val="14"/>
        </w:rPr>
        <w:t>.</w:t>
      </w:r>
    </w:p>
  </w:footnote>
  <w:footnote w:id="9">
    <w:p w14:paraId="0DD14757" w14:textId="6B36621B" w:rsidR="0093439A" w:rsidRPr="001A079E" w:rsidRDefault="0093439A" w:rsidP="0093439A">
      <w:pPr>
        <w:pStyle w:val="Tekstprzypisudolnego"/>
        <w:spacing w:before="60"/>
        <w:rPr>
          <w:sz w:val="14"/>
          <w:szCs w:val="14"/>
        </w:rPr>
      </w:pPr>
      <w:r w:rsidRPr="00BE3BE3">
        <w:rPr>
          <w:rStyle w:val="Odwoanieprzypisudolnego"/>
          <w:sz w:val="18"/>
          <w:szCs w:val="18"/>
        </w:rPr>
        <w:footnoteRef/>
      </w:r>
      <w:r w:rsidRPr="001A079E">
        <w:rPr>
          <w:sz w:val="14"/>
          <w:szCs w:val="14"/>
        </w:rPr>
        <w:t xml:space="preserve"> </w:t>
      </w:r>
      <w:r w:rsidRPr="00A91185">
        <w:rPr>
          <w:sz w:val="14"/>
          <w:szCs w:val="14"/>
        </w:rPr>
        <w:t xml:space="preserve">Dla 1-osobowych gospodarstw pracowników oraz pracujących na własny rachunek </w:t>
      </w:r>
      <w:r>
        <w:rPr>
          <w:sz w:val="14"/>
          <w:szCs w:val="14"/>
        </w:rPr>
        <w:t xml:space="preserve">granice zagrożenia niedostatkiem </w:t>
      </w:r>
      <w:r w:rsidRPr="00A91185">
        <w:rPr>
          <w:sz w:val="14"/>
          <w:szCs w:val="14"/>
        </w:rPr>
        <w:t>wynosiły (średnio w miesiącu) w poszczególnych kwartałach</w:t>
      </w:r>
      <w:r w:rsidR="006E5C52">
        <w:rPr>
          <w:sz w:val="14"/>
          <w:szCs w:val="14"/>
        </w:rPr>
        <w:t xml:space="preserve"> 2025</w:t>
      </w:r>
      <w:r w:rsidR="00186160">
        <w:rPr>
          <w:sz w:val="14"/>
          <w:szCs w:val="14"/>
        </w:rPr>
        <w:t xml:space="preserve"> r.</w:t>
      </w:r>
      <w:r w:rsidRPr="00A91185">
        <w:rPr>
          <w:sz w:val="14"/>
          <w:szCs w:val="14"/>
        </w:rPr>
        <w:t xml:space="preserve">: </w:t>
      </w:r>
      <w:r w:rsidR="00995602">
        <w:rPr>
          <w:sz w:val="14"/>
          <w:szCs w:val="14"/>
        </w:rPr>
        <w:t>1897</w:t>
      </w:r>
      <w:r w:rsidRPr="00A91185">
        <w:rPr>
          <w:sz w:val="14"/>
          <w:szCs w:val="14"/>
        </w:rPr>
        <w:t xml:space="preserve"> zł w I kw., </w:t>
      </w:r>
      <w:r w:rsidR="00995602">
        <w:rPr>
          <w:sz w:val="14"/>
          <w:szCs w:val="14"/>
        </w:rPr>
        <w:t>1925</w:t>
      </w:r>
      <w:r w:rsidRPr="00A91185">
        <w:rPr>
          <w:sz w:val="14"/>
          <w:szCs w:val="14"/>
        </w:rPr>
        <w:t xml:space="preserve"> zł w II kw., </w:t>
      </w:r>
      <w:r w:rsidR="00995602">
        <w:rPr>
          <w:sz w:val="14"/>
          <w:szCs w:val="14"/>
        </w:rPr>
        <w:t>1944</w:t>
      </w:r>
      <w:r w:rsidRPr="00A91185">
        <w:rPr>
          <w:sz w:val="14"/>
          <w:szCs w:val="14"/>
        </w:rPr>
        <w:t xml:space="preserve"> zł w III kw., </w:t>
      </w:r>
      <w:r w:rsidR="00995602">
        <w:rPr>
          <w:sz w:val="14"/>
          <w:szCs w:val="14"/>
        </w:rPr>
        <w:t>1966</w:t>
      </w:r>
      <w:r w:rsidRPr="00A91185">
        <w:rPr>
          <w:sz w:val="14"/>
          <w:szCs w:val="14"/>
        </w:rPr>
        <w:t xml:space="preserve"> zł w IV kw. </w:t>
      </w:r>
      <w:r>
        <w:rPr>
          <w:sz w:val="14"/>
          <w:szCs w:val="14"/>
        </w:rPr>
        <w:br/>
      </w:r>
      <w:r w:rsidRPr="00A91185">
        <w:rPr>
          <w:sz w:val="14"/>
          <w:szCs w:val="14"/>
        </w:rPr>
        <w:t>Z kolei dla 1-osobowych gospodarstw rolników, emerytów, rencistów i utrzymujących się z innych niezarobkowych źródeł wynosiły one (średnio w miesiącu) w poszczególnych kwartałach</w:t>
      </w:r>
      <w:r w:rsidR="00186160">
        <w:rPr>
          <w:sz w:val="14"/>
          <w:szCs w:val="14"/>
        </w:rPr>
        <w:t xml:space="preserve"> 2025 r.</w:t>
      </w:r>
      <w:r w:rsidRPr="00A91185">
        <w:rPr>
          <w:sz w:val="14"/>
          <w:szCs w:val="14"/>
        </w:rPr>
        <w:t xml:space="preserve">: </w:t>
      </w:r>
      <w:r w:rsidR="00995602">
        <w:rPr>
          <w:sz w:val="14"/>
          <w:szCs w:val="14"/>
        </w:rPr>
        <w:t>1870</w:t>
      </w:r>
      <w:r w:rsidRPr="00A91185">
        <w:rPr>
          <w:sz w:val="14"/>
          <w:szCs w:val="14"/>
        </w:rPr>
        <w:t xml:space="preserve"> zł w I kw., </w:t>
      </w:r>
      <w:r w:rsidR="00995602">
        <w:rPr>
          <w:sz w:val="14"/>
          <w:szCs w:val="14"/>
        </w:rPr>
        <w:t>1898</w:t>
      </w:r>
      <w:r w:rsidRPr="00A91185">
        <w:rPr>
          <w:sz w:val="14"/>
          <w:szCs w:val="14"/>
        </w:rPr>
        <w:t xml:space="preserve"> zł w II kw., </w:t>
      </w:r>
      <w:r w:rsidR="00995602">
        <w:rPr>
          <w:sz w:val="14"/>
          <w:szCs w:val="14"/>
        </w:rPr>
        <w:t>1912</w:t>
      </w:r>
      <w:r w:rsidRPr="00A91185">
        <w:rPr>
          <w:sz w:val="14"/>
          <w:szCs w:val="14"/>
        </w:rPr>
        <w:t xml:space="preserve"> zł w III kw., </w:t>
      </w:r>
      <w:r w:rsidR="00995602">
        <w:rPr>
          <w:sz w:val="14"/>
          <w:szCs w:val="14"/>
        </w:rPr>
        <w:t>1932</w:t>
      </w:r>
      <w:r w:rsidRPr="00A91185">
        <w:rPr>
          <w:sz w:val="14"/>
          <w:szCs w:val="14"/>
        </w:rPr>
        <w:t xml:space="preserve"> zł w</w:t>
      </w:r>
      <w:r>
        <w:rPr>
          <w:sz w:val="14"/>
          <w:szCs w:val="14"/>
        </w:rPr>
        <w:t xml:space="preserve"> </w:t>
      </w:r>
      <w:r w:rsidRPr="00A91185">
        <w:rPr>
          <w:sz w:val="14"/>
          <w:szCs w:val="14"/>
        </w:rPr>
        <w:t>IV</w:t>
      </w:r>
      <w:r>
        <w:rPr>
          <w:sz w:val="14"/>
          <w:szCs w:val="14"/>
        </w:rPr>
        <w:t xml:space="preserve"> </w:t>
      </w:r>
      <w:r w:rsidRPr="00A91185">
        <w:rPr>
          <w:sz w:val="14"/>
          <w:szCs w:val="14"/>
        </w:rPr>
        <w:t>kw</w:t>
      </w:r>
      <w:r w:rsidRPr="00DE432E">
        <w:rPr>
          <w:sz w:val="14"/>
          <w:szCs w:val="14"/>
        </w:rPr>
        <w:t xml:space="preserve">. Podane wartości granic </w:t>
      </w:r>
      <w:r>
        <w:rPr>
          <w:sz w:val="14"/>
          <w:szCs w:val="14"/>
        </w:rPr>
        <w:t>zostały</w:t>
      </w:r>
      <w:r w:rsidRPr="00DE432E">
        <w:rPr>
          <w:sz w:val="14"/>
          <w:szCs w:val="14"/>
        </w:rPr>
        <w:t xml:space="preserve"> zaokrąglone do pełnych złotych.</w:t>
      </w:r>
    </w:p>
  </w:footnote>
  <w:footnote w:id="10">
    <w:p w14:paraId="278B9B83" w14:textId="77777777" w:rsidR="00837C4C" w:rsidRPr="00271835" w:rsidRDefault="00837C4C" w:rsidP="00271835">
      <w:pPr>
        <w:pStyle w:val="Tekstprzypisudolnego"/>
        <w:spacing w:before="60"/>
        <w:rPr>
          <w:color w:val="001D77"/>
          <w:sz w:val="14"/>
          <w:szCs w:val="14"/>
        </w:rPr>
      </w:pPr>
      <w:r w:rsidRPr="00BE3BE3">
        <w:rPr>
          <w:rStyle w:val="Odwoanieprzypisudolnego"/>
          <w:sz w:val="18"/>
          <w:szCs w:val="18"/>
        </w:rPr>
        <w:footnoteRef/>
      </w:r>
      <w:r w:rsidRPr="001A079E">
        <w:rPr>
          <w:sz w:val="14"/>
          <w:szCs w:val="14"/>
        </w:rPr>
        <w:t xml:space="preserve"> Informacje dotyczące minimum socjalnego dostępne są na stronie Instytutu Pracy i Spraw Socjalnych: </w:t>
      </w:r>
      <w:hyperlink r:id="rId3" w:history="1">
        <w:r w:rsidRPr="00271835">
          <w:rPr>
            <w:rStyle w:val="Hipercze"/>
            <w:rFonts w:cstheme="minorBidi"/>
            <w:color w:val="001D77"/>
            <w:sz w:val="14"/>
            <w:szCs w:val="14"/>
          </w:rPr>
          <w:t>O minimum socjalnym i minimum egzystencji - Instytut Pracy i Spraw Socjalnych (ipiss.com.pl)</w:t>
        </w:r>
      </w:hyperlink>
      <w:r w:rsidRPr="00271835">
        <w:rPr>
          <w:color w:val="001D77"/>
          <w:sz w:val="14"/>
          <w:szCs w:val="14"/>
        </w:rPr>
        <w:t xml:space="preserve"> </w:t>
      </w:r>
      <w:r w:rsidRPr="001A079E">
        <w:rPr>
          <w:sz w:val="14"/>
          <w:szCs w:val="14"/>
        </w:rPr>
        <w:t xml:space="preserve">oraz </w:t>
      </w:r>
      <w:hyperlink r:id="rId4" w:history="1">
        <w:r w:rsidRPr="00271835">
          <w:rPr>
            <w:rStyle w:val="Hipercze"/>
            <w:rFonts w:cstheme="minorBidi"/>
            <w:color w:val="001D77"/>
            <w:sz w:val="14"/>
            <w:szCs w:val="14"/>
          </w:rPr>
          <w:t xml:space="preserve">Wysokość minimum socjalnego - Instytut Pracy </w:t>
        </w:r>
        <w:r w:rsidRPr="00BB039B">
          <w:rPr>
            <w:rStyle w:val="Hipercze"/>
            <w:rFonts w:cstheme="minorBidi"/>
            <w:color w:val="001D77"/>
            <w:sz w:val="14"/>
            <w:szCs w:val="14"/>
          </w:rPr>
          <w:t>i</w:t>
        </w:r>
        <w:r w:rsidRPr="00271835">
          <w:rPr>
            <w:rStyle w:val="Hipercze"/>
            <w:rFonts w:cstheme="minorBidi"/>
            <w:color w:val="001D77"/>
            <w:sz w:val="14"/>
            <w:szCs w:val="14"/>
          </w:rPr>
          <w:t xml:space="preserve"> Spraw Socjalnych (ipiss.com.pl)</w:t>
        </w:r>
      </w:hyperlink>
      <w:r w:rsidRPr="00271835">
        <w:rPr>
          <w:color w:val="001D77"/>
          <w:sz w:val="14"/>
          <w:szCs w:val="1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0D792B" w14:textId="77777777" w:rsidR="00837C4C" w:rsidRDefault="00837C4C">
    <w:pPr>
      <w:pStyle w:val="Nagwek"/>
    </w:pPr>
    <w:r>
      <w:rPr>
        <w:noProof/>
        <w:lang w:eastAsia="pl-PL"/>
      </w:rPr>
      <mc:AlternateContent>
        <mc:Choice Requires="wps">
          <w:drawing>
            <wp:anchor distT="0" distB="0" distL="114300" distR="114300" simplePos="0" relativeHeight="251662336" behindDoc="1" locked="0" layoutInCell="1" allowOverlap="1" wp14:anchorId="2B30A1E1" wp14:editId="03BF02BE">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E7EDCB"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" fillcolor="#f2f2f2 [3052]" stroked="f" strokeweight="1pt"/>
          </w:pict>
        </mc:Fallback>
      </mc:AlternateContent>
    </w:r>
  </w:p>
  <w:p w14:paraId="19EE421C" w14:textId="77777777" w:rsidR="00837C4C" w:rsidRDefault="00837C4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58EB4E" w14:textId="77777777" w:rsidR="00837C4C" w:rsidRDefault="00837C4C">
    <w:pPr>
      <w:pStyle w:val="Nagwek"/>
      <w:rPr>
        <w:noProof/>
        <w:lang w:eastAsia="pl-PL"/>
      </w:rPr>
    </w:pPr>
    <w:r>
      <w:rPr>
        <w:noProof/>
        <w:lang w:eastAsia="pl-PL"/>
      </w:rPr>
      <mc:AlternateContent>
        <mc:Choice Requires="wps">
          <w:drawing>
            <wp:anchor distT="0" distB="0" distL="114300" distR="114300" simplePos="0" relativeHeight="251668480" behindDoc="0" locked="0" layoutInCell="1" allowOverlap="1" wp14:anchorId="51D8E9DF" wp14:editId="0990E85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545969" w14:textId="77777777" w:rsidR="00837C4C" w:rsidRPr="003C6C8D" w:rsidRDefault="00837C4C" w:rsidP="00074DD8">
                          <w:pPr>
                            <w:spacing w:before="0" w:after="0" w:line="240" w:lineRule="auto"/>
                            <w:ind w:left="227"/>
                            <w:jc w:val="both"/>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D8E9DF" id="Schemat blokowy: opóźnienie 6" o:spid="_x0000_s1040"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B545969" w14:textId="77777777" w:rsidR="00837C4C" w:rsidRPr="003C6C8D" w:rsidRDefault="00837C4C" w:rsidP="00074DD8">
                    <w:pPr>
                      <w:spacing w:before="0" w:after="0" w:line="240" w:lineRule="auto"/>
                      <w:ind w:left="227"/>
                      <w:jc w:val="both"/>
                      <w:rPr>
                        <w:rFonts w:ascii="Fira Sans SemiBold" w:hAnsi="Fira Sans SemiBold"/>
                      </w:rPr>
                    </w:pPr>
                    <w:r>
                      <w:rPr>
                        <w:rFonts w:ascii="Fira Sans SemiBold" w:hAnsi="Fira Sans SemiBold"/>
                      </w:rPr>
                      <w:t>INFORMACJE SYGNALNE</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172EA475" wp14:editId="7367D539">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7E337E"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2rbpg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" fillcolor="#f2f2f2" stroked="f" strokeweight="1pt">
              <w10:wrap type="tight"/>
            </v:rect>
          </w:pict>
        </mc:Fallback>
      </mc:AlternateContent>
    </w:r>
    <w:r>
      <w:rPr>
        <w:noProof/>
        <w:lang w:eastAsia="pl-PL"/>
      </w:rPr>
      <w:drawing>
        <wp:inline distT="0" distB="0" distL="0" distR="0" wp14:anchorId="716BD8CD" wp14:editId="51691C4B">
          <wp:extent cx="1563482" cy="741745"/>
          <wp:effectExtent l="0" t="0" r="0" b="127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naczek gus.jpg"/>
                  <pic:cNvPicPr/>
                </pic:nvPicPr>
                <pic:blipFill>
                  <a:blip r:embed="rId1">
                    <a:extLst>
                      <a:ext uri="{28A0092B-C50C-407E-A947-70E740481C1C}">
                        <a14:useLocalDpi xmlns:a14="http://schemas.microsoft.com/office/drawing/2010/main" val="0"/>
                      </a:ext>
                    </a:extLst>
                  </a:blip>
                  <a:stretch>
                    <a:fillRect/>
                  </a:stretch>
                </pic:blipFill>
                <pic:spPr>
                  <a:xfrm>
                    <a:off x="0" y="0"/>
                    <a:ext cx="1633700" cy="77505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49D21" w14:textId="77777777" w:rsidR="00837C4C" w:rsidRDefault="00837C4C">
    <w:pPr>
      <w:pStyle w:val="Nagwek"/>
    </w:pPr>
  </w:p>
  <w:p w14:paraId="5D9CCDEF" w14:textId="77777777" w:rsidR="00837C4C" w:rsidRDefault="00837C4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F439D9"/>
    <w:multiLevelType w:val="hybridMultilevel"/>
    <w:tmpl w:val="D8327E68"/>
    <w:lvl w:ilvl="0" w:tplc="391E8528">
      <w:numFmt w:val="bullet"/>
      <w:lvlText w:val="•"/>
      <w:lvlJc w:val="left"/>
      <w:pPr>
        <w:ind w:left="1068" w:hanging="708"/>
      </w:pPr>
      <w:rPr>
        <w:rFonts w:ascii="Fira Sans" w:eastAsia="Times New Roman" w:hAnsi="Fira San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99B09AA"/>
    <w:multiLevelType w:val="hybridMultilevel"/>
    <w:tmpl w:val="43A0AF3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323A230B"/>
    <w:multiLevelType w:val="hybridMultilevel"/>
    <w:tmpl w:val="125A64C4"/>
    <w:lvl w:ilvl="0" w:tplc="340AEF3C">
      <w:start w:val="1"/>
      <w:numFmt w:val="bullet"/>
      <w:lvlText w:val=""/>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35FB186A"/>
    <w:multiLevelType w:val="hybridMultilevel"/>
    <w:tmpl w:val="6A56FAD2"/>
    <w:lvl w:ilvl="0" w:tplc="72628C14">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E9035B8"/>
    <w:multiLevelType w:val="hybridMultilevel"/>
    <w:tmpl w:val="3C2CB8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26660D3"/>
    <w:multiLevelType w:val="hybridMultilevel"/>
    <w:tmpl w:val="E4B0E872"/>
    <w:lvl w:ilvl="0" w:tplc="18AE36AC">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9A00A72"/>
    <w:multiLevelType w:val="hybridMultilevel"/>
    <w:tmpl w:val="C01A168E"/>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65F8154A"/>
    <w:multiLevelType w:val="hybridMultilevel"/>
    <w:tmpl w:val="107CB9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6D84081"/>
    <w:multiLevelType w:val="hybridMultilevel"/>
    <w:tmpl w:val="1066547C"/>
    <w:lvl w:ilvl="0" w:tplc="616CFA40">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9"/>
  </w:num>
  <w:num w:numId="4">
    <w:abstractNumId w:val="6"/>
  </w:num>
  <w:num w:numId="5">
    <w:abstractNumId w:val="2"/>
  </w:num>
  <w:num w:numId="6">
    <w:abstractNumId w:val="4"/>
  </w:num>
  <w:num w:numId="7">
    <w:abstractNumId w:val="5"/>
  </w:num>
  <w:num w:numId="8">
    <w:abstractNumId w:val="8"/>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8DD"/>
    <w:rsid w:val="00001277"/>
    <w:rsid w:val="000014E9"/>
    <w:rsid w:val="00001A79"/>
    <w:rsid w:val="00001C5B"/>
    <w:rsid w:val="00001C96"/>
    <w:rsid w:val="00002E1D"/>
    <w:rsid w:val="00003437"/>
    <w:rsid w:val="0000354A"/>
    <w:rsid w:val="00003646"/>
    <w:rsid w:val="00003EB5"/>
    <w:rsid w:val="00005371"/>
    <w:rsid w:val="000053B8"/>
    <w:rsid w:val="00006366"/>
    <w:rsid w:val="00006617"/>
    <w:rsid w:val="000067AC"/>
    <w:rsid w:val="0000709F"/>
    <w:rsid w:val="00007118"/>
    <w:rsid w:val="000101CD"/>
    <w:rsid w:val="000108B8"/>
    <w:rsid w:val="000116DD"/>
    <w:rsid w:val="00014AE8"/>
    <w:rsid w:val="000152F5"/>
    <w:rsid w:val="00015386"/>
    <w:rsid w:val="00015BD6"/>
    <w:rsid w:val="00016037"/>
    <w:rsid w:val="00016161"/>
    <w:rsid w:val="00017329"/>
    <w:rsid w:val="00020419"/>
    <w:rsid w:val="00021239"/>
    <w:rsid w:val="000212F4"/>
    <w:rsid w:val="000215E7"/>
    <w:rsid w:val="0002296C"/>
    <w:rsid w:val="000249D9"/>
    <w:rsid w:val="00025FCF"/>
    <w:rsid w:val="000302E8"/>
    <w:rsid w:val="000305A0"/>
    <w:rsid w:val="000317AB"/>
    <w:rsid w:val="00031CF2"/>
    <w:rsid w:val="000337BB"/>
    <w:rsid w:val="00034144"/>
    <w:rsid w:val="00034160"/>
    <w:rsid w:val="000342FE"/>
    <w:rsid w:val="00035665"/>
    <w:rsid w:val="00037D5B"/>
    <w:rsid w:val="00040237"/>
    <w:rsid w:val="00040344"/>
    <w:rsid w:val="0004081F"/>
    <w:rsid w:val="000417D5"/>
    <w:rsid w:val="00042199"/>
    <w:rsid w:val="00042FA0"/>
    <w:rsid w:val="00043153"/>
    <w:rsid w:val="000432F4"/>
    <w:rsid w:val="0004582E"/>
    <w:rsid w:val="0004646A"/>
    <w:rsid w:val="000470AA"/>
    <w:rsid w:val="000479C5"/>
    <w:rsid w:val="00047BD4"/>
    <w:rsid w:val="0005054E"/>
    <w:rsid w:val="00050F18"/>
    <w:rsid w:val="00051119"/>
    <w:rsid w:val="000515E0"/>
    <w:rsid w:val="00051D2F"/>
    <w:rsid w:val="000521A4"/>
    <w:rsid w:val="00052324"/>
    <w:rsid w:val="00052413"/>
    <w:rsid w:val="00053AA7"/>
    <w:rsid w:val="000541FD"/>
    <w:rsid w:val="0005464B"/>
    <w:rsid w:val="00054874"/>
    <w:rsid w:val="00057831"/>
    <w:rsid w:val="00057CA1"/>
    <w:rsid w:val="00057F3F"/>
    <w:rsid w:val="00062EFD"/>
    <w:rsid w:val="000630B9"/>
    <w:rsid w:val="00064673"/>
    <w:rsid w:val="0006547E"/>
    <w:rsid w:val="000662E2"/>
    <w:rsid w:val="00066883"/>
    <w:rsid w:val="00066E76"/>
    <w:rsid w:val="000676D2"/>
    <w:rsid w:val="00067ECB"/>
    <w:rsid w:val="00071D41"/>
    <w:rsid w:val="00072863"/>
    <w:rsid w:val="000730CD"/>
    <w:rsid w:val="000739C9"/>
    <w:rsid w:val="00074DAB"/>
    <w:rsid w:val="00074DD8"/>
    <w:rsid w:val="0007587B"/>
    <w:rsid w:val="00076B9C"/>
    <w:rsid w:val="00076F98"/>
    <w:rsid w:val="000770CE"/>
    <w:rsid w:val="0007743F"/>
    <w:rsid w:val="00077759"/>
    <w:rsid w:val="00080209"/>
    <w:rsid w:val="00080239"/>
    <w:rsid w:val="00080265"/>
    <w:rsid w:val="000806F7"/>
    <w:rsid w:val="000833FE"/>
    <w:rsid w:val="0008411D"/>
    <w:rsid w:val="00085030"/>
    <w:rsid w:val="00085D38"/>
    <w:rsid w:val="000860BB"/>
    <w:rsid w:val="000866F3"/>
    <w:rsid w:val="00086A57"/>
    <w:rsid w:val="0008747A"/>
    <w:rsid w:val="000903B7"/>
    <w:rsid w:val="0009043F"/>
    <w:rsid w:val="00090A0B"/>
    <w:rsid w:val="00090CC5"/>
    <w:rsid w:val="0009119C"/>
    <w:rsid w:val="000916A9"/>
    <w:rsid w:val="0009207C"/>
    <w:rsid w:val="000925E1"/>
    <w:rsid w:val="0009408D"/>
    <w:rsid w:val="00094690"/>
    <w:rsid w:val="000949F4"/>
    <w:rsid w:val="00094AF4"/>
    <w:rsid w:val="0009520D"/>
    <w:rsid w:val="0009522F"/>
    <w:rsid w:val="00095B61"/>
    <w:rsid w:val="00095EE8"/>
    <w:rsid w:val="00095F6B"/>
    <w:rsid w:val="0009696C"/>
    <w:rsid w:val="00097840"/>
    <w:rsid w:val="000A0AA7"/>
    <w:rsid w:val="000A0BAD"/>
    <w:rsid w:val="000A0E48"/>
    <w:rsid w:val="000A1A1A"/>
    <w:rsid w:val="000A2E3E"/>
    <w:rsid w:val="000A36CC"/>
    <w:rsid w:val="000A42BC"/>
    <w:rsid w:val="000A448B"/>
    <w:rsid w:val="000A4D64"/>
    <w:rsid w:val="000A50B0"/>
    <w:rsid w:val="000A5D0A"/>
    <w:rsid w:val="000A5F0B"/>
    <w:rsid w:val="000A6817"/>
    <w:rsid w:val="000A6963"/>
    <w:rsid w:val="000A6A80"/>
    <w:rsid w:val="000A70D9"/>
    <w:rsid w:val="000A7B28"/>
    <w:rsid w:val="000A7F1A"/>
    <w:rsid w:val="000B0727"/>
    <w:rsid w:val="000B192E"/>
    <w:rsid w:val="000B1AD5"/>
    <w:rsid w:val="000B247A"/>
    <w:rsid w:val="000B2618"/>
    <w:rsid w:val="000B2620"/>
    <w:rsid w:val="000B3785"/>
    <w:rsid w:val="000B7C47"/>
    <w:rsid w:val="000C040F"/>
    <w:rsid w:val="000C131A"/>
    <w:rsid w:val="000C135D"/>
    <w:rsid w:val="000C145F"/>
    <w:rsid w:val="000C1849"/>
    <w:rsid w:val="000C1FDC"/>
    <w:rsid w:val="000C29F1"/>
    <w:rsid w:val="000C2B3F"/>
    <w:rsid w:val="000C2E6A"/>
    <w:rsid w:val="000C36DF"/>
    <w:rsid w:val="000C48F7"/>
    <w:rsid w:val="000C4B45"/>
    <w:rsid w:val="000C5221"/>
    <w:rsid w:val="000C5613"/>
    <w:rsid w:val="000C6F53"/>
    <w:rsid w:val="000D06E0"/>
    <w:rsid w:val="000D11C0"/>
    <w:rsid w:val="000D1D43"/>
    <w:rsid w:val="000D1FAB"/>
    <w:rsid w:val="000D225C"/>
    <w:rsid w:val="000D2A5C"/>
    <w:rsid w:val="000D3477"/>
    <w:rsid w:val="000D3C59"/>
    <w:rsid w:val="000D3CDA"/>
    <w:rsid w:val="000D46C5"/>
    <w:rsid w:val="000D712C"/>
    <w:rsid w:val="000D760F"/>
    <w:rsid w:val="000D7F85"/>
    <w:rsid w:val="000E0918"/>
    <w:rsid w:val="000E1097"/>
    <w:rsid w:val="000E1349"/>
    <w:rsid w:val="000E1F41"/>
    <w:rsid w:val="000E229F"/>
    <w:rsid w:val="000E36E5"/>
    <w:rsid w:val="000E375E"/>
    <w:rsid w:val="000E3DF4"/>
    <w:rsid w:val="000E45D2"/>
    <w:rsid w:val="000E480F"/>
    <w:rsid w:val="000E5691"/>
    <w:rsid w:val="000E6E40"/>
    <w:rsid w:val="000E7917"/>
    <w:rsid w:val="000F040B"/>
    <w:rsid w:val="000F1E8C"/>
    <w:rsid w:val="000F2A8B"/>
    <w:rsid w:val="000F38B4"/>
    <w:rsid w:val="000F42C5"/>
    <w:rsid w:val="000F4EF7"/>
    <w:rsid w:val="000F5023"/>
    <w:rsid w:val="000F5B9D"/>
    <w:rsid w:val="000F5D00"/>
    <w:rsid w:val="000F6476"/>
    <w:rsid w:val="000F6F09"/>
    <w:rsid w:val="000F704F"/>
    <w:rsid w:val="000F7C83"/>
    <w:rsid w:val="001002EE"/>
    <w:rsid w:val="001004EF"/>
    <w:rsid w:val="001011C3"/>
    <w:rsid w:val="001019D0"/>
    <w:rsid w:val="00102C97"/>
    <w:rsid w:val="00102DEC"/>
    <w:rsid w:val="00103C73"/>
    <w:rsid w:val="001040BC"/>
    <w:rsid w:val="00104626"/>
    <w:rsid w:val="00104F30"/>
    <w:rsid w:val="00105496"/>
    <w:rsid w:val="001058F7"/>
    <w:rsid w:val="00106181"/>
    <w:rsid w:val="00106FAD"/>
    <w:rsid w:val="00106FF8"/>
    <w:rsid w:val="0010700C"/>
    <w:rsid w:val="00107CEA"/>
    <w:rsid w:val="00110995"/>
    <w:rsid w:val="00110C64"/>
    <w:rsid w:val="00110D87"/>
    <w:rsid w:val="001113B8"/>
    <w:rsid w:val="00111C66"/>
    <w:rsid w:val="00112031"/>
    <w:rsid w:val="00112437"/>
    <w:rsid w:val="00112AD5"/>
    <w:rsid w:val="00113685"/>
    <w:rsid w:val="00113E89"/>
    <w:rsid w:val="001149A1"/>
    <w:rsid w:val="00114DB9"/>
    <w:rsid w:val="00115809"/>
    <w:rsid w:val="00116087"/>
    <w:rsid w:val="001167B8"/>
    <w:rsid w:val="00120E78"/>
    <w:rsid w:val="001210AC"/>
    <w:rsid w:val="00121DE3"/>
    <w:rsid w:val="00122E98"/>
    <w:rsid w:val="00123947"/>
    <w:rsid w:val="00125CCD"/>
    <w:rsid w:val="00126FFD"/>
    <w:rsid w:val="00130296"/>
    <w:rsid w:val="00130DD3"/>
    <w:rsid w:val="00130FEE"/>
    <w:rsid w:val="00131940"/>
    <w:rsid w:val="00133DAF"/>
    <w:rsid w:val="00133E90"/>
    <w:rsid w:val="0013479F"/>
    <w:rsid w:val="0013577F"/>
    <w:rsid w:val="00135A93"/>
    <w:rsid w:val="00135B65"/>
    <w:rsid w:val="00137BD4"/>
    <w:rsid w:val="00140B6F"/>
    <w:rsid w:val="00141D35"/>
    <w:rsid w:val="00142037"/>
    <w:rsid w:val="0014218A"/>
    <w:rsid w:val="001423B6"/>
    <w:rsid w:val="00143DC1"/>
    <w:rsid w:val="001445DE"/>
    <w:rsid w:val="001448A7"/>
    <w:rsid w:val="00144D3A"/>
    <w:rsid w:val="00145302"/>
    <w:rsid w:val="00146621"/>
    <w:rsid w:val="0014758F"/>
    <w:rsid w:val="001502DA"/>
    <w:rsid w:val="00150756"/>
    <w:rsid w:val="00150BC9"/>
    <w:rsid w:val="00152125"/>
    <w:rsid w:val="00153093"/>
    <w:rsid w:val="00153BE0"/>
    <w:rsid w:val="00153F1D"/>
    <w:rsid w:val="0015560A"/>
    <w:rsid w:val="00155ECD"/>
    <w:rsid w:val="001562D4"/>
    <w:rsid w:val="001571B5"/>
    <w:rsid w:val="0016073E"/>
    <w:rsid w:val="00162325"/>
    <w:rsid w:val="00162625"/>
    <w:rsid w:val="00162799"/>
    <w:rsid w:val="001648E4"/>
    <w:rsid w:val="0016528F"/>
    <w:rsid w:val="00166530"/>
    <w:rsid w:val="00166578"/>
    <w:rsid w:val="00167077"/>
    <w:rsid w:val="0016724D"/>
    <w:rsid w:val="00167B8C"/>
    <w:rsid w:val="00170083"/>
    <w:rsid w:val="00170AD8"/>
    <w:rsid w:val="00170D58"/>
    <w:rsid w:val="00171300"/>
    <w:rsid w:val="00171417"/>
    <w:rsid w:val="00172F59"/>
    <w:rsid w:val="00175466"/>
    <w:rsid w:val="00175554"/>
    <w:rsid w:val="00175ADA"/>
    <w:rsid w:val="001778BA"/>
    <w:rsid w:val="00180A3F"/>
    <w:rsid w:val="00180C89"/>
    <w:rsid w:val="001824E1"/>
    <w:rsid w:val="00183536"/>
    <w:rsid w:val="00183C4C"/>
    <w:rsid w:val="00184086"/>
    <w:rsid w:val="00184864"/>
    <w:rsid w:val="00184FCD"/>
    <w:rsid w:val="00186160"/>
    <w:rsid w:val="00186576"/>
    <w:rsid w:val="0018675A"/>
    <w:rsid w:val="00190879"/>
    <w:rsid w:val="00191656"/>
    <w:rsid w:val="00191DA6"/>
    <w:rsid w:val="00192066"/>
    <w:rsid w:val="001924F6"/>
    <w:rsid w:val="001934D8"/>
    <w:rsid w:val="00193D72"/>
    <w:rsid w:val="001951B3"/>
    <w:rsid w:val="001951DA"/>
    <w:rsid w:val="0019731B"/>
    <w:rsid w:val="001973B2"/>
    <w:rsid w:val="001977C2"/>
    <w:rsid w:val="00197917"/>
    <w:rsid w:val="00197B46"/>
    <w:rsid w:val="001A079E"/>
    <w:rsid w:val="001A09A9"/>
    <w:rsid w:val="001A195E"/>
    <w:rsid w:val="001A22D4"/>
    <w:rsid w:val="001A253B"/>
    <w:rsid w:val="001A4A42"/>
    <w:rsid w:val="001A4EEA"/>
    <w:rsid w:val="001A564B"/>
    <w:rsid w:val="001A7008"/>
    <w:rsid w:val="001A7E32"/>
    <w:rsid w:val="001A7F33"/>
    <w:rsid w:val="001B085B"/>
    <w:rsid w:val="001B09A2"/>
    <w:rsid w:val="001B0F9D"/>
    <w:rsid w:val="001B2ADE"/>
    <w:rsid w:val="001B34B0"/>
    <w:rsid w:val="001B38A9"/>
    <w:rsid w:val="001B4364"/>
    <w:rsid w:val="001B468F"/>
    <w:rsid w:val="001B4FDD"/>
    <w:rsid w:val="001B50D0"/>
    <w:rsid w:val="001B759F"/>
    <w:rsid w:val="001C095D"/>
    <w:rsid w:val="001C3269"/>
    <w:rsid w:val="001C3F17"/>
    <w:rsid w:val="001C3FD4"/>
    <w:rsid w:val="001C41D7"/>
    <w:rsid w:val="001C5F39"/>
    <w:rsid w:val="001C6C72"/>
    <w:rsid w:val="001C7996"/>
    <w:rsid w:val="001C7C58"/>
    <w:rsid w:val="001C7FF1"/>
    <w:rsid w:val="001D0916"/>
    <w:rsid w:val="001D0EF0"/>
    <w:rsid w:val="001D1206"/>
    <w:rsid w:val="001D1A75"/>
    <w:rsid w:val="001D1BCC"/>
    <w:rsid w:val="001D1DB4"/>
    <w:rsid w:val="001D2EE5"/>
    <w:rsid w:val="001D3440"/>
    <w:rsid w:val="001D3AA1"/>
    <w:rsid w:val="001D3BFC"/>
    <w:rsid w:val="001D3D0B"/>
    <w:rsid w:val="001D4BB5"/>
    <w:rsid w:val="001D5DB8"/>
    <w:rsid w:val="001D5DED"/>
    <w:rsid w:val="001D6BC6"/>
    <w:rsid w:val="001D6E45"/>
    <w:rsid w:val="001D7C73"/>
    <w:rsid w:val="001E1433"/>
    <w:rsid w:val="001E1D94"/>
    <w:rsid w:val="001E21C8"/>
    <w:rsid w:val="001E225D"/>
    <w:rsid w:val="001E2BAD"/>
    <w:rsid w:val="001E44F7"/>
    <w:rsid w:val="001E48EA"/>
    <w:rsid w:val="001E519C"/>
    <w:rsid w:val="001E60FF"/>
    <w:rsid w:val="001E6DD6"/>
    <w:rsid w:val="001E6E14"/>
    <w:rsid w:val="001E7DBB"/>
    <w:rsid w:val="001F059E"/>
    <w:rsid w:val="001F130F"/>
    <w:rsid w:val="001F1613"/>
    <w:rsid w:val="001F1C0A"/>
    <w:rsid w:val="001F24A7"/>
    <w:rsid w:val="001F3E2C"/>
    <w:rsid w:val="001F502F"/>
    <w:rsid w:val="001F5D47"/>
    <w:rsid w:val="001F5E6E"/>
    <w:rsid w:val="001F6520"/>
    <w:rsid w:val="001F6EA4"/>
    <w:rsid w:val="001F7B7F"/>
    <w:rsid w:val="00201A41"/>
    <w:rsid w:val="00201BC2"/>
    <w:rsid w:val="00202617"/>
    <w:rsid w:val="00203750"/>
    <w:rsid w:val="002037EF"/>
    <w:rsid w:val="00204059"/>
    <w:rsid w:val="00205192"/>
    <w:rsid w:val="002066B4"/>
    <w:rsid w:val="002069F2"/>
    <w:rsid w:val="00207C9A"/>
    <w:rsid w:val="00207E5C"/>
    <w:rsid w:val="002104E2"/>
    <w:rsid w:val="0021184C"/>
    <w:rsid w:val="00211CF6"/>
    <w:rsid w:val="00212A41"/>
    <w:rsid w:val="00212C16"/>
    <w:rsid w:val="00214129"/>
    <w:rsid w:val="00215532"/>
    <w:rsid w:val="00215990"/>
    <w:rsid w:val="00215B0D"/>
    <w:rsid w:val="00216245"/>
    <w:rsid w:val="002170E2"/>
    <w:rsid w:val="002172EF"/>
    <w:rsid w:val="002174AA"/>
    <w:rsid w:val="0022005F"/>
    <w:rsid w:val="0022027D"/>
    <w:rsid w:val="00221EA8"/>
    <w:rsid w:val="00222C87"/>
    <w:rsid w:val="00222DD2"/>
    <w:rsid w:val="00222F07"/>
    <w:rsid w:val="00224478"/>
    <w:rsid w:val="00225918"/>
    <w:rsid w:val="00226B71"/>
    <w:rsid w:val="00227906"/>
    <w:rsid w:val="00227A98"/>
    <w:rsid w:val="00227BED"/>
    <w:rsid w:val="00227F18"/>
    <w:rsid w:val="00231880"/>
    <w:rsid w:val="00231A72"/>
    <w:rsid w:val="00232D63"/>
    <w:rsid w:val="00233288"/>
    <w:rsid w:val="00233B19"/>
    <w:rsid w:val="00233C68"/>
    <w:rsid w:val="00233FA9"/>
    <w:rsid w:val="00234547"/>
    <w:rsid w:val="002353DF"/>
    <w:rsid w:val="00235CEC"/>
    <w:rsid w:val="0023750D"/>
    <w:rsid w:val="002379D3"/>
    <w:rsid w:val="002416B9"/>
    <w:rsid w:val="00242484"/>
    <w:rsid w:val="00243B76"/>
    <w:rsid w:val="0024753C"/>
    <w:rsid w:val="002509E8"/>
    <w:rsid w:val="00253349"/>
    <w:rsid w:val="002557BA"/>
    <w:rsid w:val="0025629B"/>
    <w:rsid w:val="002574F9"/>
    <w:rsid w:val="00257B3D"/>
    <w:rsid w:val="00260078"/>
    <w:rsid w:val="00260C07"/>
    <w:rsid w:val="00260C98"/>
    <w:rsid w:val="002613E5"/>
    <w:rsid w:val="0026168B"/>
    <w:rsid w:val="00261A8F"/>
    <w:rsid w:val="00261EF1"/>
    <w:rsid w:val="00262787"/>
    <w:rsid w:val="00262B61"/>
    <w:rsid w:val="00262F01"/>
    <w:rsid w:val="002669C0"/>
    <w:rsid w:val="00267967"/>
    <w:rsid w:val="00267AB1"/>
    <w:rsid w:val="00267F5A"/>
    <w:rsid w:val="0027160D"/>
    <w:rsid w:val="00271835"/>
    <w:rsid w:val="00271E09"/>
    <w:rsid w:val="00272016"/>
    <w:rsid w:val="002723F2"/>
    <w:rsid w:val="00272C76"/>
    <w:rsid w:val="00272FDB"/>
    <w:rsid w:val="002730B1"/>
    <w:rsid w:val="002731F4"/>
    <w:rsid w:val="002736E9"/>
    <w:rsid w:val="00275267"/>
    <w:rsid w:val="0027539B"/>
    <w:rsid w:val="0027545E"/>
    <w:rsid w:val="00276093"/>
    <w:rsid w:val="002761E5"/>
    <w:rsid w:val="00276811"/>
    <w:rsid w:val="00276874"/>
    <w:rsid w:val="00276C9A"/>
    <w:rsid w:val="002805FC"/>
    <w:rsid w:val="0028121D"/>
    <w:rsid w:val="002813EE"/>
    <w:rsid w:val="00281611"/>
    <w:rsid w:val="002822B9"/>
    <w:rsid w:val="00282699"/>
    <w:rsid w:val="00282B84"/>
    <w:rsid w:val="00282D39"/>
    <w:rsid w:val="0028326F"/>
    <w:rsid w:val="00283671"/>
    <w:rsid w:val="00285262"/>
    <w:rsid w:val="0028574F"/>
    <w:rsid w:val="002863CD"/>
    <w:rsid w:val="00287E5D"/>
    <w:rsid w:val="0029077F"/>
    <w:rsid w:val="00291D70"/>
    <w:rsid w:val="002926DF"/>
    <w:rsid w:val="00292D46"/>
    <w:rsid w:val="0029416C"/>
    <w:rsid w:val="0029469D"/>
    <w:rsid w:val="00296697"/>
    <w:rsid w:val="002970BE"/>
    <w:rsid w:val="0029720E"/>
    <w:rsid w:val="002977C0"/>
    <w:rsid w:val="002A10D5"/>
    <w:rsid w:val="002A1CFD"/>
    <w:rsid w:val="002A1EA7"/>
    <w:rsid w:val="002A2C82"/>
    <w:rsid w:val="002A387B"/>
    <w:rsid w:val="002A3F8F"/>
    <w:rsid w:val="002A43C4"/>
    <w:rsid w:val="002A4D80"/>
    <w:rsid w:val="002A647B"/>
    <w:rsid w:val="002A6D75"/>
    <w:rsid w:val="002B0472"/>
    <w:rsid w:val="002B125B"/>
    <w:rsid w:val="002B1B4A"/>
    <w:rsid w:val="002B20A3"/>
    <w:rsid w:val="002B2CCA"/>
    <w:rsid w:val="002B2D39"/>
    <w:rsid w:val="002B2EE4"/>
    <w:rsid w:val="002B44AC"/>
    <w:rsid w:val="002B4CA5"/>
    <w:rsid w:val="002B4D10"/>
    <w:rsid w:val="002B4DFD"/>
    <w:rsid w:val="002B5B1A"/>
    <w:rsid w:val="002B6B12"/>
    <w:rsid w:val="002B71BA"/>
    <w:rsid w:val="002C06A5"/>
    <w:rsid w:val="002C0D32"/>
    <w:rsid w:val="002C2652"/>
    <w:rsid w:val="002C5836"/>
    <w:rsid w:val="002C65D9"/>
    <w:rsid w:val="002C6897"/>
    <w:rsid w:val="002C6CCD"/>
    <w:rsid w:val="002C6FBC"/>
    <w:rsid w:val="002C736F"/>
    <w:rsid w:val="002D0020"/>
    <w:rsid w:val="002D18AE"/>
    <w:rsid w:val="002D287D"/>
    <w:rsid w:val="002D2E02"/>
    <w:rsid w:val="002D3722"/>
    <w:rsid w:val="002D5B6B"/>
    <w:rsid w:val="002D606E"/>
    <w:rsid w:val="002D64B0"/>
    <w:rsid w:val="002D6F5D"/>
    <w:rsid w:val="002D71B8"/>
    <w:rsid w:val="002D7576"/>
    <w:rsid w:val="002D7E06"/>
    <w:rsid w:val="002E23E8"/>
    <w:rsid w:val="002E2E99"/>
    <w:rsid w:val="002E3219"/>
    <w:rsid w:val="002E4030"/>
    <w:rsid w:val="002E47B6"/>
    <w:rsid w:val="002E5059"/>
    <w:rsid w:val="002E5500"/>
    <w:rsid w:val="002E5A65"/>
    <w:rsid w:val="002E5EA5"/>
    <w:rsid w:val="002E6140"/>
    <w:rsid w:val="002E6343"/>
    <w:rsid w:val="002E697F"/>
    <w:rsid w:val="002E6985"/>
    <w:rsid w:val="002E6F2A"/>
    <w:rsid w:val="002E71B6"/>
    <w:rsid w:val="002E7233"/>
    <w:rsid w:val="002F0FF4"/>
    <w:rsid w:val="002F2188"/>
    <w:rsid w:val="002F2642"/>
    <w:rsid w:val="002F33DE"/>
    <w:rsid w:val="002F3885"/>
    <w:rsid w:val="002F670A"/>
    <w:rsid w:val="002F676E"/>
    <w:rsid w:val="002F7126"/>
    <w:rsid w:val="002F72D3"/>
    <w:rsid w:val="002F77C8"/>
    <w:rsid w:val="002F7AFB"/>
    <w:rsid w:val="002F7F37"/>
    <w:rsid w:val="00300BC0"/>
    <w:rsid w:val="00301BCC"/>
    <w:rsid w:val="00302EE2"/>
    <w:rsid w:val="00303240"/>
    <w:rsid w:val="0030331D"/>
    <w:rsid w:val="00303466"/>
    <w:rsid w:val="003037AF"/>
    <w:rsid w:val="00304F22"/>
    <w:rsid w:val="00304F9A"/>
    <w:rsid w:val="00305162"/>
    <w:rsid w:val="00306053"/>
    <w:rsid w:val="00306094"/>
    <w:rsid w:val="0030639F"/>
    <w:rsid w:val="003067C1"/>
    <w:rsid w:val="00306900"/>
    <w:rsid w:val="00306C7C"/>
    <w:rsid w:val="003077D1"/>
    <w:rsid w:val="00310E05"/>
    <w:rsid w:val="0031133C"/>
    <w:rsid w:val="00311561"/>
    <w:rsid w:val="00311746"/>
    <w:rsid w:val="003122A3"/>
    <w:rsid w:val="00312A6B"/>
    <w:rsid w:val="00314263"/>
    <w:rsid w:val="00314DDE"/>
    <w:rsid w:val="00315200"/>
    <w:rsid w:val="00315409"/>
    <w:rsid w:val="00315881"/>
    <w:rsid w:val="00317857"/>
    <w:rsid w:val="00317ECF"/>
    <w:rsid w:val="003207F3"/>
    <w:rsid w:val="0032271E"/>
    <w:rsid w:val="00322EDD"/>
    <w:rsid w:val="00323208"/>
    <w:rsid w:val="00324AC8"/>
    <w:rsid w:val="00326808"/>
    <w:rsid w:val="003272FB"/>
    <w:rsid w:val="0032730A"/>
    <w:rsid w:val="00327420"/>
    <w:rsid w:val="00327909"/>
    <w:rsid w:val="003279D3"/>
    <w:rsid w:val="0033034E"/>
    <w:rsid w:val="00330E56"/>
    <w:rsid w:val="00331802"/>
    <w:rsid w:val="00331A58"/>
    <w:rsid w:val="00331D2B"/>
    <w:rsid w:val="00332320"/>
    <w:rsid w:val="00333DD0"/>
    <w:rsid w:val="003348B0"/>
    <w:rsid w:val="00334978"/>
    <w:rsid w:val="00334B55"/>
    <w:rsid w:val="003401E3"/>
    <w:rsid w:val="00341148"/>
    <w:rsid w:val="0034231C"/>
    <w:rsid w:val="00342947"/>
    <w:rsid w:val="00343187"/>
    <w:rsid w:val="00344ACC"/>
    <w:rsid w:val="003454B0"/>
    <w:rsid w:val="00345B04"/>
    <w:rsid w:val="00345DCA"/>
    <w:rsid w:val="00346408"/>
    <w:rsid w:val="00346613"/>
    <w:rsid w:val="0034677A"/>
    <w:rsid w:val="00346CA8"/>
    <w:rsid w:val="00347D72"/>
    <w:rsid w:val="003500C4"/>
    <w:rsid w:val="00350FDF"/>
    <w:rsid w:val="003513BF"/>
    <w:rsid w:val="00354763"/>
    <w:rsid w:val="003562B3"/>
    <w:rsid w:val="0035697D"/>
    <w:rsid w:val="00356D08"/>
    <w:rsid w:val="00357611"/>
    <w:rsid w:val="003600AF"/>
    <w:rsid w:val="00360BA6"/>
    <w:rsid w:val="00361AB0"/>
    <w:rsid w:val="003630C0"/>
    <w:rsid w:val="00364F5C"/>
    <w:rsid w:val="00365FEF"/>
    <w:rsid w:val="00367237"/>
    <w:rsid w:val="0037077F"/>
    <w:rsid w:val="00371CFB"/>
    <w:rsid w:val="00372411"/>
    <w:rsid w:val="00373882"/>
    <w:rsid w:val="003747EF"/>
    <w:rsid w:val="0037494B"/>
    <w:rsid w:val="00375C45"/>
    <w:rsid w:val="00375F23"/>
    <w:rsid w:val="00376B24"/>
    <w:rsid w:val="003779EB"/>
    <w:rsid w:val="00377ADF"/>
    <w:rsid w:val="00377C22"/>
    <w:rsid w:val="00380C23"/>
    <w:rsid w:val="003816AB"/>
    <w:rsid w:val="00383B5E"/>
    <w:rsid w:val="003843DB"/>
    <w:rsid w:val="00384D14"/>
    <w:rsid w:val="00385497"/>
    <w:rsid w:val="003857F5"/>
    <w:rsid w:val="00386435"/>
    <w:rsid w:val="003869AC"/>
    <w:rsid w:val="00386AA7"/>
    <w:rsid w:val="00387731"/>
    <w:rsid w:val="00387E72"/>
    <w:rsid w:val="003901AC"/>
    <w:rsid w:val="00390244"/>
    <w:rsid w:val="00390A37"/>
    <w:rsid w:val="00390C2D"/>
    <w:rsid w:val="00391B62"/>
    <w:rsid w:val="00391BD9"/>
    <w:rsid w:val="0039219F"/>
    <w:rsid w:val="00393335"/>
    <w:rsid w:val="00393761"/>
    <w:rsid w:val="00393B98"/>
    <w:rsid w:val="00393DB9"/>
    <w:rsid w:val="00393FA8"/>
    <w:rsid w:val="003940C6"/>
    <w:rsid w:val="0039484E"/>
    <w:rsid w:val="0039498D"/>
    <w:rsid w:val="00394A1D"/>
    <w:rsid w:val="00397D18"/>
    <w:rsid w:val="003A0B4E"/>
    <w:rsid w:val="003A1807"/>
    <w:rsid w:val="003A1B36"/>
    <w:rsid w:val="003A200E"/>
    <w:rsid w:val="003A2333"/>
    <w:rsid w:val="003A30AA"/>
    <w:rsid w:val="003A31B4"/>
    <w:rsid w:val="003A35B1"/>
    <w:rsid w:val="003A41C1"/>
    <w:rsid w:val="003A440F"/>
    <w:rsid w:val="003A5E8C"/>
    <w:rsid w:val="003A6DAB"/>
    <w:rsid w:val="003A7A1F"/>
    <w:rsid w:val="003A7CA6"/>
    <w:rsid w:val="003B0511"/>
    <w:rsid w:val="003B1239"/>
    <w:rsid w:val="003B1454"/>
    <w:rsid w:val="003B18B6"/>
    <w:rsid w:val="003B1AE7"/>
    <w:rsid w:val="003B26B3"/>
    <w:rsid w:val="003B3DFA"/>
    <w:rsid w:val="003B3F1E"/>
    <w:rsid w:val="003B40C4"/>
    <w:rsid w:val="003B44EC"/>
    <w:rsid w:val="003B45FF"/>
    <w:rsid w:val="003B5C6F"/>
    <w:rsid w:val="003B5E1C"/>
    <w:rsid w:val="003C0256"/>
    <w:rsid w:val="003C0EB3"/>
    <w:rsid w:val="003C1DAD"/>
    <w:rsid w:val="003C2499"/>
    <w:rsid w:val="003C2C2A"/>
    <w:rsid w:val="003C3230"/>
    <w:rsid w:val="003C4E9D"/>
    <w:rsid w:val="003C572C"/>
    <w:rsid w:val="003C579C"/>
    <w:rsid w:val="003C59E0"/>
    <w:rsid w:val="003C5C96"/>
    <w:rsid w:val="003C6C8D"/>
    <w:rsid w:val="003D0DD3"/>
    <w:rsid w:val="003D288D"/>
    <w:rsid w:val="003D3057"/>
    <w:rsid w:val="003D407D"/>
    <w:rsid w:val="003D4D2F"/>
    <w:rsid w:val="003D4F95"/>
    <w:rsid w:val="003D5880"/>
    <w:rsid w:val="003D5C58"/>
    <w:rsid w:val="003D5F42"/>
    <w:rsid w:val="003D60A9"/>
    <w:rsid w:val="003D6678"/>
    <w:rsid w:val="003D6F45"/>
    <w:rsid w:val="003D73E0"/>
    <w:rsid w:val="003D74B3"/>
    <w:rsid w:val="003D7969"/>
    <w:rsid w:val="003D7A3D"/>
    <w:rsid w:val="003E0773"/>
    <w:rsid w:val="003E0935"/>
    <w:rsid w:val="003E11CD"/>
    <w:rsid w:val="003E170F"/>
    <w:rsid w:val="003E1ADF"/>
    <w:rsid w:val="003E2AFC"/>
    <w:rsid w:val="003E2B7A"/>
    <w:rsid w:val="003E35BE"/>
    <w:rsid w:val="003E49F4"/>
    <w:rsid w:val="003F04C7"/>
    <w:rsid w:val="003F09F7"/>
    <w:rsid w:val="003F0EA8"/>
    <w:rsid w:val="003F1FAD"/>
    <w:rsid w:val="003F27FF"/>
    <w:rsid w:val="003F350B"/>
    <w:rsid w:val="003F360E"/>
    <w:rsid w:val="003F45B3"/>
    <w:rsid w:val="003F4908"/>
    <w:rsid w:val="003F4C97"/>
    <w:rsid w:val="003F5245"/>
    <w:rsid w:val="003F57C8"/>
    <w:rsid w:val="003F650D"/>
    <w:rsid w:val="003F78BB"/>
    <w:rsid w:val="003F7FE6"/>
    <w:rsid w:val="00400193"/>
    <w:rsid w:val="00400E99"/>
    <w:rsid w:val="00401184"/>
    <w:rsid w:val="00401C52"/>
    <w:rsid w:val="004025F5"/>
    <w:rsid w:val="00403994"/>
    <w:rsid w:val="00404AA7"/>
    <w:rsid w:val="004051E7"/>
    <w:rsid w:val="00406B96"/>
    <w:rsid w:val="00406D56"/>
    <w:rsid w:val="00406E5C"/>
    <w:rsid w:val="00410FC6"/>
    <w:rsid w:val="004119FA"/>
    <w:rsid w:val="00411D1D"/>
    <w:rsid w:val="00412AB7"/>
    <w:rsid w:val="00412C9C"/>
    <w:rsid w:val="00414018"/>
    <w:rsid w:val="004142B7"/>
    <w:rsid w:val="004143EC"/>
    <w:rsid w:val="0041482C"/>
    <w:rsid w:val="00415299"/>
    <w:rsid w:val="004160D3"/>
    <w:rsid w:val="0041613E"/>
    <w:rsid w:val="00416B42"/>
    <w:rsid w:val="00417A31"/>
    <w:rsid w:val="0042007B"/>
    <w:rsid w:val="00420414"/>
    <w:rsid w:val="00420658"/>
    <w:rsid w:val="0042077D"/>
    <w:rsid w:val="00420941"/>
    <w:rsid w:val="004212E7"/>
    <w:rsid w:val="00421734"/>
    <w:rsid w:val="0042218D"/>
    <w:rsid w:val="00422417"/>
    <w:rsid w:val="00422E8F"/>
    <w:rsid w:val="0042434B"/>
    <w:rsid w:val="0042446D"/>
    <w:rsid w:val="00424E53"/>
    <w:rsid w:val="0042554A"/>
    <w:rsid w:val="004259DF"/>
    <w:rsid w:val="00426313"/>
    <w:rsid w:val="00426525"/>
    <w:rsid w:val="00426D79"/>
    <w:rsid w:val="00426ECB"/>
    <w:rsid w:val="00427212"/>
    <w:rsid w:val="004275A4"/>
    <w:rsid w:val="004276D8"/>
    <w:rsid w:val="00427AA1"/>
    <w:rsid w:val="00427BF8"/>
    <w:rsid w:val="00427D5A"/>
    <w:rsid w:val="004318EA"/>
    <w:rsid w:val="00431C02"/>
    <w:rsid w:val="00432294"/>
    <w:rsid w:val="00433D08"/>
    <w:rsid w:val="004343C9"/>
    <w:rsid w:val="004364A6"/>
    <w:rsid w:val="0043688B"/>
    <w:rsid w:val="00436967"/>
    <w:rsid w:val="00436B8B"/>
    <w:rsid w:val="00437395"/>
    <w:rsid w:val="0043760B"/>
    <w:rsid w:val="004378F5"/>
    <w:rsid w:val="00437A8A"/>
    <w:rsid w:val="00437EB1"/>
    <w:rsid w:val="00440921"/>
    <w:rsid w:val="004449DD"/>
    <w:rsid w:val="00445047"/>
    <w:rsid w:val="00445261"/>
    <w:rsid w:val="00445CF8"/>
    <w:rsid w:val="00445E3F"/>
    <w:rsid w:val="00445EB7"/>
    <w:rsid w:val="0044765A"/>
    <w:rsid w:val="004520C9"/>
    <w:rsid w:val="004524C4"/>
    <w:rsid w:val="00452D4F"/>
    <w:rsid w:val="00452E99"/>
    <w:rsid w:val="004535E2"/>
    <w:rsid w:val="00453610"/>
    <w:rsid w:val="00454CB2"/>
    <w:rsid w:val="004557C4"/>
    <w:rsid w:val="00456132"/>
    <w:rsid w:val="004566AB"/>
    <w:rsid w:val="00456775"/>
    <w:rsid w:val="00456B4B"/>
    <w:rsid w:val="00457BD1"/>
    <w:rsid w:val="0046009C"/>
    <w:rsid w:val="004601AC"/>
    <w:rsid w:val="0046062B"/>
    <w:rsid w:val="00460C9C"/>
    <w:rsid w:val="004613D5"/>
    <w:rsid w:val="00461F5B"/>
    <w:rsid w:val="00461F98"/>
    <w:rsid w:val="004634C0"/>
    <w:rsid w:val="00463DEE"/>
    <w:rsid w:val="00463E39"/>
    <w:rsid w:val="004657FC"/>
    <w:rsid w:val="00465AF4"/>
    <w:rsid w:val="00465D10"/>
    <w:rsid w:val="00466D3A"/>
    <w:rsid w:val="0046722F"/>
    <w:rsid w:val="00467C4C"/>
    <w:rsid w:val="00472414"/>
    <w:rsid w:val="00472CB9"/>
    <w:rsid w:val="004733F6"/>
    <w:rsid w:val="00474276"/>
    <w:rsid w:val="00474431"/>
    <w:rsid w:val="00474E69"/>
    <w:rsid w:val="004752EF"/>
    <w:rsid w:val="004763CE"/>
    <w:rsid w:val="00477397"/>
    <w:rsid w:val="00477BF9"/>
    <w:rsid w:val="00477F61"/>
    <w:rsid w:val="00480650"/>
    <w:rsid w:val="004808CA"/>
    <w:rsid w:val="00480F69"/>
    <w:rsid w:val="0048228A"/>
    <w:rsid w:val="00484FE8"/>
    <w:rsid w:val="00485034"/>
    <w:rsid w:val="004852A9"/>
    <w:rsid w:val="00485FDA"/>
    <w:rsid w:val="0048607E"/>
    <w:rsid w:val="00486A6A"/>
    <w:rsid w:val="00487A43"/>
    <w:rsid w:val="004921D0"/>
    <w:rsid w:val="004926D7"/>
    <w:rsid w:val="0049495D"/>
    <w:rsid w:val="004950B1"/>
    <w:rsid w:val="00495978"/>
    <w:rsid w:val="00496001"/>
    <w:rsid w:val="0049611E"/>
    <w:rsid w:val="0049621B"/>
    <w:rsid w:val="004A0B02"/>
    <w:rsid w:val="004A1069"/>
    <w:rsid w:val="004A1496"/>
    <w:rsid w:val="004A15D0"/>
    <w:rsid w:val="004A3072"/>
    <w:rsid w:val="004A5444"/>
    <w:rsid w:val="004A64B6"/>
    <w:rsid w:val="004A69F8"/>
    <w:rsid w:val="004A6DAC"/>
    <w:rsid w:val="004A6E16"/>
    <w:rsid w:val="004B025F"/>
    <w:rsid w:val="004B0A5E"/>
    <w:rsid w:val="004B282C"/>
    <w:rsid w:val="004B43B8"/>
    <w:rsid w:val="004B4B29"/>
    <w:rsid w:val="004B5CC9"/>
    <w:rsid w:val="004B5F1D"/>
    <w:rsid w:val="004B6713"/>
    <w:rsid w:val="004B73FB"/>
    <w:rsid w:val="004B7B2F"/>
    <w:rsid w:val="004B7D58"/>
    <w:rsid w:val="004C0AF5"/>
    <w:rsid w:val="004C1895"/>
    <w:rsid w:val="004C19C2"/>
    <w:rsid w:val="004C3CB2"/>
    <w:rsid w:val="004C3D5E"/>
    <w:rsid w:val="004C5CDD"/>
    <w:rsid w:val="004C65F2"/>
    <w:rsid w:val="004C6C2B"/>
    <w:rsid w:val="004C6D40"/>
    <w:rsid w:val="004D30DD"/>
    <w:rsid w:val="004D32F8"/>
    <w:rsid w:val="004D4427"/>
    <w:rsid w:val="004D4809"/>
    <w:rsid w:val="004D5050"/>
    <w:rsid w:val="004D5843"/>
    <w:rsid w:val="004E04C1"/>
    <w:rsid w:val="004E071F"/>
    <w:rsid w:val="004E318F"/>
    <w:rsid w:val="004E6D41"/>
    <w:rsid w:val="004F013C"/>
    <w:rsid w:val="004F0AE0"/>
    <w:rsid w:val="004F0C3C"/>
    <w:rsid w:val="004F178C"/>
    <w:rsid w:val="004F1CF8"/>
    <w:rsid w:val="004F3899"/>
    <w:rsid w:val="004F3A59"/>
    <w:rsid w:val="004F3BDA"/>
    <w:rsid w:val="004F4280"/>
    <w:rsid w:val="004F440F"/>
    <w:rsid w:val="004F529E"/>
    <w:rsid w:val="004F5385"/>
    <w:rsid w:val="004F6254"/>
    <w:rsid w:val="004F63FC"/>
    <w:rsid w:val="004F738F"/>
    <w:rsid w:val="004F74FE"/>
    <w:rsid w:val="004F7C9F"/>
    <w:rsid w:val="00500388"/>
    <w:rsid w:val="0050062C"/>
    <w:rsid w:val="0050065C"/>
    <w:rsid w:val="005006B8"/>
    <w:rsid w:val="0050156B"/>
    <w:rsid w:val="005025E4"/>
    <w:rsid w:val="00502CA5"/>
    <w:rsid w:val="00502E6F"/>
    <w:rsid w:val="005030EC"/>
    <w:rsid w:val="005031AC"/>
    <w:rsid w:val="00503A1F"/>
    <w:rsid w:val="00504BA1"/>
    <w:rsid w:val="00505A92"/>
    <w:rsid w:val="005062F8"/>
    <w:rsid w:val="00506531"/>
    <w:rsid w:val="005068CC"/>
    <w:rsid w:val="00506CD6"/>
    <w:rsid w:val="00507BE6"/>
    <w:rsid w:val="0051054F"/>
    <w:rsid w:val="0051166C"/>
    <w:rsid w:val="00514B54"/>
    <w:rsid w:val="00515D62"/>
    <w:rsid w:val="00516395"/>
    <w:rsid w:val="0051646A"/>
    <w:rsid w:val="00516A50"/>
    <w:rsid w:val="00517855"/>
    <w:rsid w:val="005203F1"/>
    <w:rsid w:val="0052058B"/>
    <w:rsid w:val="00521BC3"/>
    <w:rsid w:val="00521D7B"/>
    <w:rsid w:val="00522814"/>
    <w:rsid w:val="00522BF7"/>
    <w:rsid w:val="005239F8"/>
    <w:rsid w:val="005265D2"/>
    <w:rsid w:val="00526672"/>
    <w:rsid w:val="00526A58"/>
    <w:rsid w:val="00526AEE"/>
    <w:rsid w:val="00526DF2"/>
    <w:rsid w:val="00526EA9"/>
    <w:rsid w:val="00530E55"/>
    <w:rsid w:val="0053145E"/>
    <w:rsid w:val="00531882"/>
    <w:rsid w:val="00531957"/>
    <w:rsid w:val="005324ED"/>
    <w:rsid w:val="00532FCF"/>
    <w:rsid w:val="00533150"/>
    <w:rsid w:val="00533479"/>
    <w:rsid w:val="00533632"/>
    <w:rsid w:val="00533C5B"/>
    <w:rsid w:val="0053648F"/>
    <w:rsid w:val="005366B6"/>
    <w:rsid w:val="00540228"/>
    <w:rsid w:val="00541946"/>
    <w:rsid w:val="00541E6E"/>
    <w:rsid w:val="00542241"/>
    <w:rsid w:val="0054251F"/>
    <w:rsid w:val="00542ADC"/>
    <w:rsid w:val="00543A69"/>
    <w:rsid w:val="00543FD6"/>
    <w:rsid w:val="005456BD"/>
    <w:rsid w:val="00545BE2"/>
    <w:rsid w:val="00545D93"/>
    <w:rsid w:val="00547C53"/>
    <w:rsid w:val="0055163B"/>
    <w:rsid w:val="005518AF"/>
    <w:rsid w:val="005520D8"/>
    <w:rsid w:val="00553889"/>
    <w:rsid w:val="00554B53"/>
    <w:rsid w:val="00554F36"/>
    <w:rsid w:val="00555279"/>
    <w:rsid w:val="00556CF1"/>
    <w:rsid w:val="005573EF"/>
    <w:rsid w:val="005574AD"/>
    <w:rsid w:val="005610F8"/>
    <w:rsid w:val="005611CB"/>
    <w:rsid w:val="0056240C"/>
    <w:rsid w:val="00563476"/>
    <w:rsid w:val="00563487"/>
    <w:rsid w:val="00563E1A"/>
    <w:rsid w:val="005645E3"/>
    <w:rsid w:val="00564730"/>
    <w:rsid w:val="005651EF"/>
    <w:rsid w:val="005674A5"/>
    <w:rsid w:val="00567AA8"/>
    <w:rsid w:val="0057035C"/>
    <w:rsid w:val="005704BC"/>
    <w:rsid w:val="0057050B"/>
    <w:rsid w:val="00571703"/>
    <w:rsid w:val="005730B5"/>
    <w:rsid w:val="00574CAC"/>
    <w:rsid w:val="005756E5"/>
    <w:rsid w:val="00575B6B"/>
    <w:rsid w:val="00575BB1"/>
    <w:rsid w:val="005762A7"/>
    <w:rsid w:val="00577456"/>
    <w:rsid w:val="0057773F"/>
    <w:rsid w:val="00577F75"/>
    <w:rsid w:val="00582C5C"/>
    <w:rsid w:val="00582CC1"/>
    <w:rsid w:val="0058330E"/>
    <w:rsid w:val="0058388C"/>
    <w:rsid w:val="00583894"/>
    <w:rsid w:val="0058405C"/>
    <w:rsid w:val="00584B69"/>
    <w:rsid w:val="00584F7F"/>
    <w:rsid w:val="005861D7"/>
    <w:rsid w:val="00586C0C"/>
    <w:rsid w:val="005877DE"/>
    <w:rsid w:val="00587BF0"/>
    <w:rsid w:val="00587EAB"/>
    <w:rsid w:val="0059130F"/>
    <w:rsid w:val="005916D7"/>
    <w:rsid w:val="005919BA"/>
    <w:rsid w:val="00593C52"/>
    <w:rsid w:val="00594608"/>
    <w:rsid w:val="0059684E"/>
    <w:rsid w:val="00597212"/>
    <w:rsid w:val="0059734D"/>
    <w:rsid w:val="005A0505"/>
    <w:rsid w:val="005A0712"/>
    <w:rsid w:val="005A1307"/>
    <w:rsid w:val="005A14B0"/>
    <w:rsid w:val="005A1E23"/>
    <w:rsid w:val="005A2863"/>
    <w:rsid w:val="005A2A77"/>
    <w:rsid w:val="005A3529"/>
    <w:rsid w:val="005A44FA"/>
    <w:rsid w:val="005A5113"/>
    <w:rsid w:val="005A538A"/>
    <w:rsid w:val="005A549E"/>
    <w:rsid w:val="005A698C"/>
    <w:rsid w:val="005A7325"/>
    <w:rsid w:val="005A73AD"/>
    <w:rsid w:val="005A7D4E"/>
    <w:rsid w:val="005B0D62"/>
    <w:rsid w:val="005B1364"/>
    <w:rsid w:val="005B1BE1"/>
    <w:rsid w:val="005B2201"/>
    <w:rsid w:val="005B24AD"/>
    <w:rsid w:val="005B26AC"/>
    <w:rsid w:val="005B2D3E"/>
    <w:rsid w:val="005B2F0E"/>
    <w:rsid w:val="005B3800"/>
    <w:rsid w:val="005B3B21"/>
    <w:rsid w:val="005B4EEB"/>
    <w:rsid w:val="005B5807"/>
    <w:rsid w:val="005B5AE7"/>
    <w:rsid w:val="005B6468"/>
    <w:rsid w:val="005B7017"/>
    <w:rsid w:val="005B77AA"/>
    <w:rsid w:val="005B7B3F"/>
    <w:rsid w:val="005C112A"/>
    <w:rsid w:val="005C1AF8"/>
    <w:rsid w:val="005C1BD8"/>
    <w:rsid w:val="005C3CF6"/>
    <w:rsid w:val="005C5EFF"/>
    <w:rsid w:val="005C6682"/>
    <w:rsid w:val="005C7939"/>
    <w:rsid w:val="005C7E5E"/>
    <w:rsid w:val="005D05A7"/>
    <w:rsid w:val="005D0726"/>
    <w:rsid w:val="005D0E39"/>
    <w:rsid w:val="005D15A0"/>
    <w:rsid w:val="005D29FA"/>
    <w:rsid w:val="005D2A85"/>
    <w:rsid w:val="005D3C38"/>
    <w:rsid w:val="005D3C3E"/>
    <w:rsid w:val="005D45EB"/>
    <w:rsid w:val="005D470D"/>
    <w:rsid w:val="005D493C"/>
    <w:rsid w:val="005D583E"/>
    <w:rsid w:val="005D5F71"/>
    <w:rsid w:val="005D6430"/>
    <w:rsid w:val="005D646E"/>
    <w:rsid w:val="005E0799"/>
    <w:rsid w:val="005E0E19"/>
    <w:rsid w:val="005E104D"/>
    <w:rsid w:val="005E18E0"/>
    <w:rsid w:val="005E27A1"/>
    <w:rsid w:val="005E2988"/>
    <w:rsid w:val="005E2A6D"/>
    <w:rsid w:val="005E53DB"/>
    <w:rsid w:val="005E6CC8"/>
    <w:rsid w:val="005E724E"/>
    <w:rsid w:val="005E746B"/>
    <w:rsid w:val="005E74CE"/>
    <w:rsid w:val="005E7A67"/>
    <w:rsid w:val="005F070F"/>
    <w:rsid w:val="005F0D76"/>
    <w:rsid w:val="005F135C"/>
    <w:rsid w:val="005F237F"/>
    <w:rsid w:val="005F253D"/>
    <w:rsid w:val="005F2F01"/>
    <w:rsid w:val="005F3350"/>
    <w:rsid w:val="005F352F"/>
    <w:rsid w:val="005F42F6"/>
    <w:rsid w:val="005F5A80"/>
    <w:rsid w:val="005F686E"/>
    <w:rsid w:val="005F6C4F"/>
    <w:rsid w:val="005F6CA4"/>
    <w:rsid w:val="0060083D"/>
    <w:rsid w:val="006009C9"/>
    <w:rsid w:val="0060263B"/>
    <w:rsid w:val="00602F28"/>
    <w:rsid w:val="0060333C"/>
    <w:rsid w:val="00603531"/>
    <w:rsid w:val="006037DC"/>
    <w:rsid w:val="00603886"/>
    <w:rsid w:val="006039C0"/>
    <w:rsid w:val="00603D16"/>
    <w:rsid w:val="006044FF"/>
    <w:rsid w:val="00607C1F"/>
    <w:rsid w:val="00607CC5"/>
    <w:rsid w:val="0061088B"/>
    <w:rsid w:val="00610DBF"/>
    <w:rsid w:val="00611336"/>
    <w:rsid w:val="006116E3"/>
    <w:rsid w:val="0061225F"/>
    <w:rsid w:val="006125F3"/>
    <w:rsid w:val="00612708"/>
    <w:rsid w:val="00613DB1"/>
    <w:rsid w:val="00613E0A"/>
    <w:rsid w:val="006144EA"/>
    <w:rsid w:val="00615D26"/>
    <w:rsid w:val="00615D2D"/>
    <w:rsid w:val="006160FF"/>
    <w:rsid w:val="00616FDA"/>
    <w:rsid w:val="006174D8"/>
    <w:rsid w:val="0061791A"/>
    <w:rsid w:val="006200A6"/>
    <w:rsid w:val="006205EA"/>
    <w:rsid w:val="00620704"/>
    <w:rsid w:val="00621504"/>
    <w:rsid w:val="006220DA"/>
    <w:rsid w:val="00622953"/>
    <w:rsid w:val="00622B35"/>
    <w:rsid w:val="006242AE"/>
    <w:rsid w:val="006245EE"/>
    <w:rsid w:val="00624C85"/>
    <w:rsid w:val="00625C89"/>
    <w:rsid w:val="00626512"/>
    <w:rsid w:val="00626D78"/>
    <w:rsid w:val="0063050B"/>
    <w:rsid w:val="00633014"/>
    <w:rsid w:val="006334B8"/>
    <w:rsid w:val="0063437B"/>
    <w:rsid w:val="006352CF"/>
    <w:rsid w:val="0063579F"/>
    <w:rsid w:val="00636797"/>
    <w:rsid w:val="006367E6"/>
    <w:rsid w:val="00636869"/>
    <w:rsid w:val="00637C1E"/>
    <w:rsid w:val="00637FD2"/>
    <w:rsid w:val="00640790"/>
    <w:rsid w:val="00643236"/>
    <w:rsid w:val="00645B4B"/>
    <w:rsid w:val="00646570"/>
    <w:rsid w:val="0064774F"/>
    <w:rsid w:val="00647757"/>
    <w:rsid w:val="00647A34"/>
    <w:rsid w:val="00650320"/>
    <w:rsid w:val="0065082D"/>
    <w:rsid w:val="00650F9C"/>
    <w:rsid w:val="0065167F"/>
    <w:rsid w:val="006517B4"/>
    <w:rsid w:val="006535F6"/>
    <w:rsid w:val="006558B0"/>
    <w:rsid w:val="00657C95"/>
    <w:rsid w:val="006619BD"/>
    <w:rsid w:val="006630F3"/>
    <w:rsid w:val="006640F6"/>
    <w:rsid w:val="00664BA1"/>
    <w:rsid w:val="00665E21"/>
    <w:rsid w:val="00666B9A"/>
    <w:rsid w:val="00666ECA"/>
    <w:rsid w:val="006673CA"/>
    <w:rsid w:val="006677A2"/>
    <w:rsid w:val="00670458"/>
    <w:rsid w:val="00673017"/>
    <w:rsid w:val="00673BFA"/>
    <w:rsid w:val="00673C26"/>
    <w:rsid w:val="00673D6D"/>
    <w:rsid w:val="00674A8B"/>
    <w:rsid w:val="00675150"/>
    <w:rsid w:val="00675B16"/>
    <w:rsid w:val="00675FF1"/>
    <w:rsid w:val="00676FC4"/>
    <w:rsid w:val="006778AB"/>
    <w:rsid w:val="00677902"/>
    <w:rsid w:val="00677DF4"/>
    <w:rsid w:val="00677F65"/>
    <w:rsid w:val="00680442"/>
    <w:rsid w:val="00680DA8"/>
    <w:rsid w:val="006812AF"/>
    <w:rsid w:val="0068184B"/>
    <w:rsid w:val="0068310D"/>
    <w:rsid w:val="006831C6"/>
    <w:rsid w:val="006831D3"/>
    <w:rsid w:val="0068327D"/>
    <w:rsid w:val="006833D0"/>
    <w:rsid w:val="006838BB"/>
    <w:rsid w:val="006838EE"/>
    <w:rsid w:val="00683E5E"/>
    <w:rsid w:val="00684520"/>
    <w:rsid w:val="00684B13"/>
    <w:rsid w:val="00685123"/>
    <w:rsid w:val="00685190"/>
    <w:rsid w:val="00685607"/>
    <w:rsid w:val="0068658B"/>
    <w:rsid w:val="0068797F"/>
    <w:rsid w:val="00691225"/>
    <w:rsid w:val="00693CA3"/>
    <w:rsid w:val="00694ACC"/>
    <w:rsid w:val="00694AF0"/>
    <w:rsid w:val="00694BB5"/>
    <w:rsid w:val="006955B9"/>
    <w:rsid w:val="00695A90"/>
    <w:rsid w:val="006971EE"/>
    <w:rsid w:val="006972A8"/>
    <w:rsid w:val="006978DE"/>
    <w:rsid w:val="006A07DC"/>
    <w:rsid w:val="006A2809"/>
    <w:rsid w:val="006A404B"/>
    <w:rsid w:val="006A4686"/>
    <w:rsid w:val="006A4AF9"/>
    <w:rsid w:val="006A578A"/>
    <w:rsid w:val="006A6FA9"/>
    <w:rsid w:val="006A743C"/>
    <w:rsid w:val="006A7857"/>
    <w:rsid w:val="006A7B81"/>
    <w:rsid w:val="006B0041"/>
    <w:rsid w:val="006B01B3"/>
    <w:rsid w:val="006B046A"/>
    <w:rsid w:val="006B05C4"/>
    <w:rsid w:val="006B074C"/>
    <w:rsid w:val="006B0E9E"/>
    <w:rsid w:val="006B1AA1"/>
    <w:rsid w:val="006B1AB4"/>
    <w:rsid w:val="006B208D"/>
    <w:rsid w:val="006B292D"/>
    <w:rsid w:val="006B34B5"/>
    <w:rsid w:val="006B4B96"/>
    <w:rsid w:val="006B502C"/>
    <w:rsid w:val="006B5AE4"/>
    <w:rsid w:val="006C07AF"/>
    <w:rsid w:val="006C12C9"/>
    <w:rsid w:val="006C1FBD"/>
    <w:rsid w:val="006C29E6"/>
    <w:rsid w:val="006C3BFA"/>
    <w:rsid w:val="006C3E2A"/>
    <w:rsid w:val="006C4304"/>
    <w:rsid w:val="006C5EE7"/>
    <w:rsid w:val="006C71AC"/>
    <w:rsid w:val="006C7A09"/>
    <w:rsid w:val="006D0120"/>
    <w:rsid w:val="006D0EA2"/>
    <w:rsid w:val="006D1340"/>
    <w:rsid w:val="006D1507"/>
    <w:rsid w:val="006D27AF"/>
    <w:rsid w:val="006D3036"/>
    <w:rsid w:val="006D4054"/>
    <w:rsid w:val="006D6395"/>
    <w:rsid w:val="006D6B72"/>
    <w:rsid w:val="006E00B6"/>
    <w:rsid w:val="006E02EC"/>
    <w:rsid w:val="006E0625"/>
    <w:rsid w:val="006E06DA"/>
    <w:rsid w:val="006E1FB0"/>
    <w:rsid w:val="006E200E"/>
    <w:rsid w:val="006E2093"/>
    <w:rsid w:val="006E2976"/>
    <w:rsid w:val="006E2F89"/>
    <w:rsid w:val="006E31FE"/>
    <w:rsid w:val="006E42AE"/>
    <w:rsid w:val="006E5A5D"/>
    <w:rsid w:val="006E5C52"/>
    <w:rsid w:val="006E6545"/>
    <w:rsid w:val="006E73D7"/>
    <w:rsid w:val="006E7A8A"/>
    <w:rsid w:val="006E7F29"/>
    <w:rsid w:val="006F0AF7"/>
    <w:rsid w:val="006F1295"/>
    <w:rsid w:val="006F1896"/>
    <w:rsid w:val="006F1AC1"/>
    <w:rsid w:val="006F2F1A"/>
    <w:rsid w:val="006F42BD"/>
    <w:rsid w:val="006F437C"/>
    <w:rsid w:val="006F4F57"/>
    <w:rsid w:val="006F583A"/>
    <w:rsid w:val="006F5B40"/>
    <w:rsid w:val="006F606A"/>
    <w:rsid w:val="006F70B3"/>
    <w:rsid w:val="006F713A"/>
    <w:rsid w:val="007000D0"/>
    <w:rsid w:val="00700B06"/>
    <w:rsid w:val="007015FE"/>
    <w:rsid w:val="007025CA"/>
    <w:rsid w:val="0070286C"/>
    <w:rsid w:val="0070343B"/>
    <w:rsid w:val="00703625"/>
    <w:rsid w:val="007049D4"/>
    <w:rsid w:val="00704AFF"/>
    <w:rsid w:val="007059D5"/>
    <w:rsid w:val="00705B8D"/>
    <w:rsid w:val="00705E23"/>
    <w:rsid w:val="0070644E"/>
    <w:rsid w:val="00706F0E"/>
    <w:rsid w:val="007100C6"/>
    <w:rsid w:val="00710313"/>
    <w:rsid w:val="007105FC"/>
    <w:rsid w:val="007134F0"/>
    <w:rsid w:val="00713B08"/>
    <w:rsid w:val="00714169"/>
    <w:rsid w:val="00714544"/>
    <w:rsid w:val="0071524A"/>
    <w:rsid w:val="00715764"/>
    <w:rsid w:val="007161C7"/>
    <w:rsid w:val="007162EB"/>
    <w:rsid w:val="00717B9D"/>
    <w:rsid w:val="00717F48"/>
    <w:rsid w:val="00720447"/>
    <w:rsid w:val="007209BD"/>
    <w:rsid w:val="007211B1"/>
    <w:rsid w:val="007216E0"/>
    <w:rsid w:val="00721F2F"/>
    <w:rsid w:val="007220E7"/>
    <w:rsid w:val="00722234"/>
    <w:rsid w:val="00722489"/>
    <w:rsid w:val="00722696"/>
    <w:rsid w:val="00722F6B"/>
    <w:rsid w:val="00724F7E"/>
    <w:rsid w:val="007250D5"/>
    <w:rsid w:val="0072674A"/>
    <w:rsid w:val="007267A0"/>
    <w:rsid w:val="007268BF"/>
    <w:rsid w:val="00730095"/>
    <w:rsid w:val="007307FC"/>
    <w:rsid w:val="00731532"/>
    <w:rsid w:val="00732A65"/>
    <w:rsid w:val="00733042"/>
    <w:rsid w:val="007336CA"/>
    <w:rsid w:val="00733BD8"/>
    <w:rsid w:val="00733D55"/>
    <w:rsid w:val="00734A38"/>
    <w:rsid w:val="007357DA"/>
    <w:rsid w:val="00736BC6"/>
    <w:rsid w:val="007374B9"/>
    <w:rsid w:val="00737BB2"/>
    <w:rsid w:val="007400AA"/>
    <w:rsid w:val="00740D89"/>
    <w:rsid w:val="007421B5"/>
    <w:rsid w:val="007422C7"/>
    <w:rsid w:val="0074249C"/>
    <w:rsid w:val="007444B1"/>
    <w:rsid w:val="0074479C"/>
    <w:rsid w:val="00745204"/>
    <w:rsid w:val="00745B03"/>
    <w:rsid w:val="00746187"/>
    <w:rsid w:val="007464A5"/>
    <w:rsid w:val="0074742C"/>
    <w:rsid w:val="00747679"/>
    <w:rsid w:val="00750A29"/>
    <w:rsid w:val="007511CB"/>
    <w:rsid w:val="00751F6F"/>
    <w:rsid w:val="00752A67"/>
    <w:rsid w:val="00752C23"/>
    <w:rsid w:val="00753893"/>
    <w:rsid w:val="00753D97"/>
    <w:rsid w:val="0075687F"/>
    <w:rsid w:val="00756C88"/>
    <w:rsid w:val="00756E62"/>
    <w:rsid w:val="0075742C"/>
    <w:rsid w:val="00757DDA"/>
    <w:rsid w:val="007609C1"/>
    <w:rsid w:val="00761070"/>
    <w:rsid w:val="00761758"/>
    <w:rsid w:val="007619A7"/>
    <w:rsid w:val="00761CA8"/>
    <w:rsid w:val="0076254F"/>
    <w:rsid w:val="007631C6"/>
    <w:rsid w:val="00763720"/>
    <w:rsid w:val="00765A12"/>
    <w:rsid w:val="00765BEE"/>
    <w:rsid w:val="00765D12"/>
    <w:rsid w:val="007715F6"/>
    <w:rsid w:val="00772618"/>
    <w:rsid w:val="00773BD3"/>
    <w:rsid w:val="0077473D"/>
    <w:rsid w:val="0077490E"/>
    <w:rsid w:val="007754A0"/>
    <w:rsid w:val="0077567D"/>
    <w:rsid w:val="00775DEF"/>
    <w:rsid w:val="007764D0"/>
    <w:rsid w:val="007801F5"/>
    <w:rsid w:val="00780AC9"/>
    <w:rsid w:val="00781CF7"/>
    <w:rsid w:val="007824C9"/>
    <w:rsid w:val="007828D6"/>
    <w:rsid w:val="00783CA4"/>
    <w:rsid w:val="007842FB"/>
    <w:rsid w:val="00784D8D"/>
    <w:rsid w:val="007854BD"/>
    <w:rsid w:val="00785BD2"/>
    <w:rsid w:val="00786124"/>
    <w:rsid w:val="00786328"/>
    <w:rsid w:val="0078645E"/>
    <w:rsid w:val="00786AD9"/>
    <w:rsid w:val="00786AE8"/>
    <w:rsid w:val="007874A9"/>
    <w:rsid w:val="0078756B"/>
    <w:rsid w:val="00787BE0"/>
    <w:rsid w:val="00787F7C"/>
    <w:rsid w:val="007901EF"/>
    <w:rsid w:val="00790C32"/>
    <w:rsid w:val="007911AF"/>
    <w:rsid w:val="0079150A"/>
    <w:rsid w:val="00791C14"/>
    <w:rsid w:val="007924BB"/>
    <w:rsid w:val="0079372F"/>
    <w:rsid w:val="00793AEE"/>
    <w:rsid w:val="00793EFA"/>
    <w:rsid w:val="00794961"/>
    <w:rsid w:val="00794BF3"/>
    <w:rsid w:val="0079514B"/>
    <w:rsid w:val="00796FEF"/>
    <w:rsid w:val="00797175"/>
    <w:rsid w:val="00797CED"/>
    <w:rsid w:val="007A0AB2"/>
    <w:rsid w:val="007A1678"/>
    <w:rsid w:val="007A1870"/>
    <w:rsid w:val="007A1C7C"/>
    <w:rsid w:val="007A2DC1"/>
    <w:rsid w:val="007A39B7"/>
    <w:rsid w:val="007A3BCB"/>
    <w:rsid w:val="007A4CF7"/>
    <w:rsid w:val="007A7C51"/>
    <w:rsid w:val="007B04D4"/>
    <w:rsid w:val="007B090C"/>
    <w:rsid w:val="007B0E24"/>
    <w:rsid w:val="007B0FAA"/>
    <w:rsid w:val="007B1654"/>
    <w:rsid w:val="007B1C9C"/>
    <w:rsid w:val="007B4C18"/>
    <w:rsid w:val="007B596E"/>
    <w:rsid w:val="007B5989"/>
    <w:rsid w:val="007B5CBB"/>
    <w:rsid w:val="007B6165"/>
    <w:rsid w:val="007B632D"/>
    <w:rsid w:val="007B6D51"/>
    <w:rsid w:val="007B74D8"/>
    <w:rsid w:val="007B7847"/>
    <w:rsid w:val="007B7F08"/>
    <w:rsid w:val="007C05F7"/>
    <w:rsid w:val="007C0655"/>
    <w:rsid w:val="007C0C5D"/>
    <w:rsid w:val="007C1D83"/>
    <w:rsid w:val="007C22A5"/>
    <w:rsid w:val="007C2D61"/>
    <w:rsid w:val="007C302E"/>
    <w:rsid w:val="007C4310"/>
    <w:rsid w:val="007C474B"/>
    <w:rsid w:val="007C48E2"/>
    <w:rsid w:val="007C4935"/>
    <w:rsid w:val="007C49C8"/>
    <w:rsid w:val="007C79FF"/>
    <w:rsid w:val="007D02FB"/>
    <w:rsid w:val="007D038D"/>
    <w:rsid w:val="007D273E"/>
    <w:rsid w:val="007D3319"/>
    <w:rsid w:val="007D335D"/>
    <w:rsid w:val="007D4522"/>
    <w:rsid w:val="007D54EB"/>
    <w:rsid w:val="007D5690"/>
    <w:rsid w:val="007D594D"/>
    <w:rsid w:val="007D7316"/>
    <w:rsid w:val="007D76B1"/>
    <w:rsid w:val="007D7741"/>
    <w:rsid w:val="007E0D84"/>
    <w:rsid w:val="007E1292"/>
    <w:rsid w:val="007E1DB6"/>
    <w:rsid w:val="007E252E"/>
    <w:rsid w:val="007E2E61"/>
    <w:rsid w:val="007E3314"/>
    <w:rsid w:val="007E4B03"/>
    <w:rsid w:val="007E4C16"/>
    <w:rsid w:val="007E6013"/>
    <w:rsid w:val="007E6CBB"/>
    <w:rsid w:val="007E7848"/>
    <w:rsid w:val="007E7D25"/>
    <w:rsid w:val="007F16D5"/>
    <w:rsid w:val="007F1728"/>
    <w:rsid w:val="007F184E"/>
    <w:rsid w:val="007F324B"/>
    <w:rsid w:val="007F376F"/>
    <w:rsid w:val="007F3E09"/>
    <w:rsid w:val="007F45AB"/>
    <w:rsid w:val="007F692D"/>
    <w:rsid w:val="007F6D53"/>
    <w:rsid w:val="007F7579"/>
    <w:rsid w:val="007F7B7B"/>
    <w:rsid w:val="00800A3F"/>
    <w:rsid w:val="00802A9A"/>
    <w:rsid w:val="00803AFD"/>
    <w:rsid w:val="008048B0"/>
    <w:rsid w:val="00805383"/>
    <w:rsid w:val="0080553C"/>
    <w:rsid w:val="00805B46"/>
    <w:rsid w:val="00806195"/>
    <w:rsid w:val="008067DA"/>
    <w:rsid w:val="00806ECE"/>
    <w:rsid w:val="00810681"/>
    <w:rsid w:val="0081116C"/>
    <w:rsid w:val="008117AA"/>
    <w:rsid w:val="00812A2D"/>
    <w:rsid w:val="00812AED"/>
    <w:rsid w:val="008132DE"/>
    <w:rsid w:val="00814AA6"/>
    <w:rsid w:val="00814E26"/>
    <w:rsid w:val="00815861"/>
    <w:rsid w:val="00815D0F"/>
    <w:rsid w:val="00816BC7"/>
    <w:rsid w:val="00817F7A"/>
    <w:rsid w:val="00820876"/>
    <w:rsid w:val="00820A72"/>
    <w:rsid w:val="00820B10"/>
    <w:rsid w:val="008213F1"/>
    <w:rsid w:val="008219F7"/>
    <w:rsid w:val="00821EBB"/>
    <w:rsid w:val="008227DE"/>
    <w:rsid w:val="00822BF2"/>
    <w:rsid w:val="00823B22"/>
    <w:rsid w:val="0082498D"/>
    <w:rsid w:val="00825BCC"/>
    <w:rsid w:val="00825DC2"/>
    <w:rsid w:val="008268BF"/>
    <w:rsid w:val="008270BA"/>
    <w:rsid w:val="008270D5"/>
    <w:rsid w:val="00831172"/>
    <w:rsid w:val="0083170C"/>
    <w:rsid w:val="00831DEF"/>
    <w:rsid w:val="00832183"/>
    <w:rsid w:val="00833E06"/>
    <w:rsid w:val="008343F4"/>
    <w:rsid w:val="00834AD3"/>
    <w:rsid w:val="00837116"/>
    <w:rsid w:val="0083781C"/>
    <w:rsid w:val="00837A2F"/>
    <w:rsid w:val="00837A63"/>
    <w:rsid w:val="00837C4C"/>
    <w:rsid w:val="0084000D"/>
    <w:rsid w:val="0084007B"/>
    <w:rsid w:val="008429FD"/>
    <w:rsid w:val="008430AD"/>
    <w:rsid w:val="008432D8"/>
    <w:rsid w:val="00843795"/>
    <w:rsid w:val="00843D5A"/>
    <w:rsid w:val="00843D7E"/>
    <w:rsid w:val="008457DA"/>
    <w:rsid w:val="00845804"/>
    <w:rsid w:val="00845A9A"/>
    <w:rsid w:val="00846193"/>
    <w:rsid w:val="0084642E"/>
    <w:rsid w:val="00847898"/>
    <w:rsid w:val="00847F0F"/>
    <w:rsid w:val="0085052F"/>
    <w:rsid w:val="00850ABA"/>
    <w:rsid w:val="00852448"/>
    <w:rsid w:val="00853FF8"/>
    <w:rsid w:val="00854F10"/>
    <w:rsid w:val="00855BEC"/>
    <w:rsid w:val="00856557"/>
    <w:rsid w:val="008568CD"/>
    <w:rsid w:val="00857606"/>
    <w:rsid w:val="00860B06"/>
    <w:rsid w:val="0086136A"/>
    <w:rsid w:val="00863FFC"/>
    <w:rsid w:val="00864C92"/>
    <w:rsid w:val="008657B1"/>
    <w:rsid w:val="00865967"/>
    <w:rsid w:val="00867CA1"/>
    <w:rsid w:val="00871050"/>
    <w:rsid w:val="00871693"/>
    <w:rsid w:val="008718F7"/>
    <w:rsid w:val="00871AA1"/>
    <w:rsid w:val="00872731"/>
    <w:rsid w:val="00873926"/>
    <w:rsid w:val="0087465A"/>
    <w:rsid w:val="00875548"/>
    <w:rsid w:val="008755FB"/>
    <w:rsid w:val="00875D94"/>
    <w:rsid w:val="00875E9E"/>
    <w:rsid w:val="00876BFD"/>
    <w:rsid w:val="008777AC"/>
    <w:rsid w:val="00877B12"/>
    <w:rsid w:val="00880579"/>
    <w:rsid w:val="0088089B"/>
    <w:rsid w:val="00880FBE"/>
    <w:rsid w:val="00881211"/>
    <w:rsid w:val="00881F0B"/>
    <w:rsid w:val="008822F5"/>
    <w:rsid w:val="0088258A"/>
    <w:rsid w:val="008832C4"/>
    <w:rsid w:val="00883763"/>
    <w:rsid w:val="00884717"/>
    <w:rsid w:val="00885CB9"/>
    <w:rsid w:val="00885E6F"/>
    <w:rsid w:val="00886332"/>
    <w:rsid w:val="00886943"/>
    <w:rsid w:val="00890779"/>
    <w:rsid w:val="00891018"/>
    <w:rsid w:val="0089305D"/>
    <w:rsid w:val="008957B5"/>
    <w:rsid w:val="008A0DB7"/>
    <w:rsid w:val="008A1851"/>
    <w:rsid w:val="008A2173"/>
    <w:rsid w:val="008A26D9"/>
    <w:rsid w:val="008A5908"/>
    <w:rsid w:val="008A666E"/>
    <w:rsid w:val="008A720C"/>
    <w:rsid w:val="008A7E9D"/>
    <w:rsid w:val="008B034B"/>
    <w:rsid w:val="008B0741"/>
    <w:rsid w:val="008B0966"/>
    <w:rsid w:val="008B2734"/>
    <w:rsid w:val="008B422A"/>
    <w:rsid w:val="008B6292"/>
    <w:rsid w:val="008B7A27"/>
    <w:rsid w:val="008B7CDC"/>
    <w:rsid w:val="008B7F92"/>
    <w:rsid w:val="008B7FAB"/>
    <w:rsid w:val="008C09FD"/>
    <w:rsid w:val="008C0C29"/>
    <w:rsid w:val="008C0FB9"/>
    <w:rsid w:val="008C207C"/>
    <w:rsid w:val="008C34DE"/>
    <w:rsid w:val="008C43C1"/>
    <w:rsid w:val="008C4EB6"/>
    <w:rsid w:val="008C55CD"/>
    <w:rsid w:val="008C73C5"/>
    <w:rsid w:val="008C7A01"/>
    <w:rsid w:val="008C7F86"/>
    <w:rsid w:val="008D0003"/>
    <w:rsid w:val="008D0D87"/>
    <w:rsid w:val="008D181C"/>
    <w:rsid w:val="008D21B2"/>
    <w:rsid w:val="008D23DA"/>
    <w:rsid w:val="008D357B"/>
    <w:rsid w:val="008D3B07"/>
    <w:rsid w:val="008D53FF"/>
    <w:rsid w:val="008D5655"/>
    <w:rsid w:val="008D56D0"/>
    <w:rsid w:val="008D75DC"/>
    <w:rsid w:val="008E0EE0"/>
    <w:rsid w:val="008E11DB"/>
    <w:rsid w:val="008E12C0"/>
    <w:rsid w:val="008E1FFF"/>
    <w:rsid w:val="008E2C0D"/>
    <w:rsid w:val="008E33F4"/>
    <w:rsid w:val="008E4712"/>
    <w:rsid w:val="008E6092"/>
    <w:rsid w:val="008E6EF2"/>
    <w:rsid w:val="008E717B"/>
    <w:rsid w:val="008E778B"/>
    <w:rsid w:val="008E7EA7"/>
    <w:rsid w:val="008E7FA8"/>
    <w:rsid w:val="008F235A"/>
    <w:rsid w:val="008F2CC2"/>
    <w:rsid w:val="008F3638"/>
    <w:rsid w:val="008F3845"/>
    <w:rsid w:val="008F39E1"/>
    <w:rsid w:val="008F4441"/>
    <w:rsid w:val="008F6150"/>
    <w:rsid w:val="008F6C88"/>
    <w:rsid w:val="008F6F31"/>
    <w:rsid w:val="008F712C"/>
    <w:rsid w:val="008F74DF"/>
    <w:rsid w:val="0090087E"/>
    <w:rsid w:val="009009F2"/>
    <w:rsid w:val="00901AC7"/>
    <w:rsid w:val="00902D07"/>
    <w:rsid w:val="0090345E"/>
    <w:rsid w:val="00903547"/>
    <w:rsid w:val="009037AB"/>
    <w:rsid w:val="0090486C"/>
    <w:rsid w:val="00904B5C"/>
    <w:rsid w:val="0090744E"/>
    <w:rsid w:val="009125AA"/>
    <w:rsid w:val="009127BA"/>
    <w:rsid w:val="00916353"/>
    <w:rsid w:val="00916782"/>
    <w:rsid w:val="00916C38"/>
    <w:rsid w:val="009170BA"/>
    <w:rsid w:val="009177E6"/>
    <w:rsid w:val="00917F5A"/>
    <w:rsid w:val="009200FC"/>
    <w:rsid w:val="00920915"/>
    <w:rsid w:val="009215C0"/>
    <w:rsid w:val="00921748"/>
    <w:rsid w:val="00921DD6"/>
    <w:rsid w:val="009227A6"/>
    <w:rsid w:val="00923104"/>
    <w:rsid w:val="009231D6"/>
    <w:rsid w:val="00923FCE"/>
    <w:rsid w:val="0092536D"/>
    <w:rsid w:val="00927C40"/>
    <w:rsid w:val="0093017F"/>
    <w:rsid w:val="00930F95"/>
    <w:rsid w:val="009313E3"/>
    <w:rsid w:val="009319CB"/>
    <w:rsid w:val="00931CDD"/>
    <w:rsid w:val="009324DE"/>
    <w:rsid w:val="00932B19"/>
    <w:rsid w:val="00933B26"/>
    <w:rsid w:val="00933EC1"/>
    <w:rsid w:val="0093439A"/>
    <w:rsid w:val="00936024"/>
    <w:rsid w:val="00936AB7"/>
    <w:rsid w:val="00937D92"/>
    <w:rsid w:val="00941D48"/>
    <w:rsid w:val="009421F0"/>
    <w:rsid w:val="009425DA"/>
    <w:rsid w:val="0094385C"/>
    <w:rsid w:val="00947E1D"/>
    <w:rsid w:val="0095029C"/>
    <w:rsid w:val="0095033A"/>
    <w:rsid w:val="00951978"/>
    <w:rsid w:val="00952038"/>
    <w:rsid w:val="00952664"/>
    <w:rsid w:val="009530DB"/>
    <w:rsid w:val="009534B5"/>
    <w:rsid w:val="00953676"/>
    <w:rsid w:val="00954B54"/>
    <w:rsid w:val="0095536D"/>
    <w:rsid w:val="00955593"/>
    <w:rsid w:val="00955DB8"/>
    <w:rsid w:val="00957606"/>
    <w:rsid w:val="009578BB"/>
    <w:rsid w:val="00960F0F"/>
    <w:rsid w:val="009610C2"/>
    <w:rsid w:val="0096188E"/>
    <w:rsid w:val="00964236"/>
    <w:rsid w:val="00964346"/>
    <w:rsid w:val="00964B8B"/>
    <w:rsid w:val="009650A3"/>
    <w:rsid w:val="00965A88"/>
    <w:rsid w:val="00965DFD"/>
    <w:rsid w:val="00965F41"/>
    <w:rsid w:val="00965F48"/>
    <w:rsid w:val="009705EE"/>
    <w:rsid w:val="00971240"/>
    <w:rsid w:val="00973EDB"/>
    <w:rsid w:val="00974B90"/>
    <w:rsid w:val="00975F7E"/>
    <w:rsid w:val="009764DF"/>
    <w:rsid w:val="00977927"/>
    <w:rsid w:val="0098068F"/>
    <w:rsid w:val="0098135C"/>
    <w:rsid w:val="0098156A"/>
    <w:rsid w:val="009823B5"/>
    <w:rsid w:val="009833DF"/>
    <w:rsid w:val="009836AB"/>
    <w:rsid w:val="00983C8A"/>
    <w:rsid w:val="0098460E"/>
    <w:rsid w:val="009851FA"/>
    <w:rsid w:val="009854EA"/>
    <w:rsid w:val="009854FE"/>
    <w:rsid w:val="00985747"/>
    <w:rsid w:val="009859CC"/>
    <w:rsid w:val="009866AF"/>
    <w:rsid w:val="0098680E"/>
    <w:rsid w:val="00986A91"/>
    <w:rsid w:val="00986CEF"/>
    <w:rsid w:val="009876F2"/>
    <w:rsid w:val="0098779B"/>
    <w:rsid w:val="00987A4E"/>
    <w:rsid w:val="00990133"/>
    <w:rsid w:val="00990D85"/>
    <w:rsid w:val="0099126C"/>
    <w:rsid w:val="00991BAC"/>
    <w:rsid w:val="0099268D"/>
    <w:rsid w:val="00992986"/>
    <w:rsid w:val="00995216"/>
    <w:rsid w:val="00995602"/>
    <w:rsid w:val="00997052"/>
    <w:rsid w:val="00997225"/>
    <w:rsid w:val="00997A47"/>
    <w:rsid w:val="009A0209"/>
    <w:rsid w:val="009A0726"/>
    <w:rsid w:val="009A1538"/>
    <w:rsid w:val="009A1D47"/>
    <w:rsid w:val="009A284B"/>
    <w:rsid w:val="009A2B68"/>
    <w:rsid w:val="009A3604"/>
    <w:rsid w:val="009A3644"/>
    <w:rsid w:val="009A427B"/>
    <w:rsid w:val="009A455B"/>
    <w:rsid w:val="009A4FDB"/>
    <w:rsid w:val="009A5572"/>
    <w:rsid w:val="009A5CD3"/>
    <w:rsid w:val="009A6EA0"/>
    <w:rsid w:val="009B05C5"/>
    <w:rsid w:val="009B05F3"/>
    <w:rsid w:val="009B1280"/>
    <w:rsid w:val="009B1399"/>
    <w:rsid w:val="009B2C6B"/>
    <w:rsid w:val="009B2F7E"/>
    <w:rsid w:val="009B4252"/>
    <w:rsid w:val="009B57DD"/>
    <w:rsid w:val="009B5ABC"/>
    <w:rsid w:val="009B6342"/>
    <w:rsid w:val="009B66F6"/>
    <w:rsid w:val="009C1244"/>
    <w:rsid w:val="009C1335"/>
    <w:rsid w:val="009C156D"/>
    <w:rsid w:val="009C1AB2"/>
    <w:rsid w:val="009C2E03"/>
    <w:rsid w:val="009C3C38"/>
    <w:rsid w:val="009C5407"/>
    <w:rsid w:val="009C68F7"/>
    <w:rsid w:val="009C7251"/>
    <w:rsid w:val="009D0986"/>
    <w:rsid w:val="009D0E81"/>
    <w:rsid w:val="009D24F4"/>
    <w:rsid w:val="009D25B4"/>
    <w:rsid w:val="009D2643"/>
    <w:rsid w:val="009D29BF"/>
    <w:rsid w:val="009D35D1"/>
    <w:rsid w:val="009D48C2"/>
    <w:rsid w:val="009D4CE0"/>
    <w:rsid w:val="009D50E2"/>
    <w:rsid w:val="009D6122"/>
    <w:rsid w:val="009D6CD0"/>
    <w:rsid w:val="009E06DF"/>
    <w:rsid w:val="009E0DC3"/>
    <w:rsid w:val="009E0FB6"/>
    <w:rsid w:val="009E1E41"/>
    <w:rsid w:val="009E2E91"/>
    <w:rsid w:val="009E3BF4"/>
    <w:rsid w:val="009E3C27"/>
    <w:rsid w:val="009E4892"/>
    <w:rsid w:val="009E5223"/>
    <w:rsid w:val="009E7212"/>
    <w:rsid w:val="009E7E5C"/>
    <w:rsid w:val="009F040A"/>
    <w:rsid w:val="009F0609"/>
    <w:rsid w:val="009F0E92"/>
    <w:rsid w:val="009F2047"/>
    <w:rsid w:val="009F24DC"/>
    <w:rsid w:val="009F28CD"/>
    <w:rsid w:val="009F2D33"/>
    <w:rsid w:val="009F47F8"/>
    <w:rsid w:val="009F4B41"/>
    <w:rsid w:val="009F5815"/>
    <w:rsid w:val="009F5E9D"/>
    <w:rsid w:val="009F65ED"/>
    <w:rsid w:val="009F661F"/>
    <w:rsid w:val="009F68D7"/>
    <w:rsid w:val="009F7404"/>
    <w:rsid w:val="009F7972"/>
    <w:rsid w:val="009F7C4C"/>
    <w:rsid w:val="009F7C8A"/>
    <w:rsid w:val="00A00947"/>
    <w:rsid w:val="00A01C8D"/>
    <w:rsid w:val="00A024A5"/>
    <w:rsid w:val="00A036A8"/>
    <w:rsid w:val="00A03844"/>
    <w:rsid w:val="00A0519C"/>
    <w:rsid w:val="00A05407"/>
    <w:rsid w:val="00A05590"/>
    <w:rsid w:val="00A07B88"/>
    <w:rsid w:val="00A07F00"/>
    <w:rsid w:val="00A10795"/>
    <w:rsid w:val="00A11C89"/>
    <w:rsid w:val="00A12435"/>
    <w:rsid w:val="00A139F5"/>
    <w:rsid w:val="00A1449D"/>
    <w:rsid w:val="00A15400"/>
    <w:rsid w:val="00A16213"/>
    <w:rsid w:val="00A202B4"/>
    <w:rsid w:val="00A20DA6"/>
    <w:rsid w:val="00A2136A"/>
    <w:rsid w:val="00A221A2"/>
    <w:rsid w:val="00A22209"/>
    <w:rsid w:val="00A2273C"/>
    <w:rsid w:val="00A238D5"/>
    <w:rsid w:val="00A2475E"/>
    <w:rsid w:val="00A24CEE"/>
    <w:rsid w:val="00A24D75"/>
    <w:rsid w:val="00A24EC7"/>
    <w:rsid w:val="00A2570A"/>
    <w:rsid w:val="00A25CAB"/>
    <w:rsid w:val="00A25CCA"/>
    <w:rsid w:val="00A25FF0"/>
    <w:rsid w:val="00A26163"/>
    <w:rsid w:val="00A26225"/>
    <w:rsid w:val="00A2658A"/>
    <w:rsid w:val="00A26BCC"/>
    <w:rsid w:val="00A27261"/>
    <w:rsid w:val="00A27DA8"/>
    <w:rsid w:val="00A27DC9"/>
    <w:rsid w:val="00A300CD"/>
    <w:rsid w:val="00A306B2"/>
    <w:rsid w:val="00A30B64"/>
    <w:rsid w:val="00A325CB"/>
    <w:rsid w:val="00A3361C"/>
    <w:rsid w:val="00A33B53"/>
    <w:rsid w:val="00A33F84"/>
    <w:rsid w:val="00A33FC2"/>
    <w:rsid w:val="00A34A3F"/>
    <w:rsid w:val="00A34C24"/>
    <w:rsid w:val="00A35421"/>
    <w:rsid w:val="00A365F4"/>
    <w:rsid w:val="00A37B31"/>
    <w:rsid w:val="00A37CE0"/>
    <w:rsid w:val="00A411A4"/>
    <w:rsid w:val="00A41ED4"/>
    <w:rsid w:val="00A43907"/>
    <w:rsid w:val="00A43EC0"/>
    <w:rsid w:val="00A4443C"/>
    <w:rsid w:val="00A44D13"/>
    <w:rsid w:val="00A44E4A"/>
    <w:rsid w:val="00A460E6"/>
    <w:rsid w:val="00A46BD5"/>
    <w:rsid w:val="00A47D80"/>
    <w:rsid w:val="00A51A3C"/>
    <w:rsid w:val="00A51E49"/>
    <w:rsid w:val="00A52D14"/>
    <w:rsid w:val="00A5307C"/>
    <w:rsid w:val="00A53132"/>
    <w:rsid w:val="00A53475"/>
    <w:rsid w:val="00A55280"/>
    <w:rsid w:val="00A557C9"/>
    <w:rsid w:val="00A563F2"/>
    <w:rsid w:val="00A566E8"/>
    <w:rsid w:val="00A60F72"/>
    <w:rsid w:val="00A61E82"/>
    <w:rsid w:val="00A61EB7"/>
    <w:rsid w:val="00A625F7"/>
    <w:rsid w:val="00A62B51"/>
    <w:rsid w:val="00A634AA"/>
    <w:rsid w:val="00A64133"/>
    <w:rsid w:val="00A64437"/>
    <w:rsid w:val="00A6483F"/>
    <w:rsid w:val="00A65705"/>
    <w:rsid w:val="00A65BB3"/>
    <w:rsid w:val="00A65DB3"/>
    <w:rsid w:val="00A65DF1"/>
    <w:rsid w:val="00A65F78"/>
    <w:rsid w:val="00A65FE2"/>
    <w:rsid w:val="00A671AE"/>
    <w:rsid w:val="00A67282"/>
    <w:rsid w:val="00A672E6"/>
    <w:rsid w:val="00A7022E"/>
    <w:rsid w:val="00A70AFB"/>
    <w:rsid w:val="00A71E83"/>
    <w:rsid w:val="00A72EFF"/>
    <w:rsid w:val="00A74445"/>
    <w:rsid w:val="00A75F7C"/>
    <w:rsid w:val="00A76506"/>
    <w:rsid w:val="00A76691"/>
    <w:rsid w:val="00A77495"/>
    <w:rsid w:val="00A77756"/>
    <w:rsid w:val="00A809B1"/>
    <w:rsid w:val="00A80F2D"/>
    <w:rsid w:val="00A810F9"/>
    <w:rsid w:val="00A81781"/>
    <w:rsid w:val="00A83F2F"/>
    <w:rsid w:val="00A86967"/>
    <w:rsid w:val="00A86ECC"/>
    <w:rsid w:val="00A86FCC"/>
    <w:rsid w:val="00A87C7E"/>
    <w:rsid w:val="00A90A2D"/>
    <w:rsid w:val="00A91185"/>
    <w:rsid w:val="00A91BA0"/>
    <w:rsid w:val="00A91E49"/>
    <w:rsid w:val="00A92A18"/>
    <w:rsid w:val="00A93737"/>
    <w:rsid w:val="00A94476"/>
    <w:rsid w:val="00A96DE0"/>
    <w:rsid w:val="00A9718A"/>
    <w:rsid w:val="00AA0F24"/>
    <w:rsid w:val="00AA206E"/>
    <w:rsid w:val="00AA211C"/>
    <w:rsid w:val="00AA293B"/>
    <w:rsid w:val="00AA2CD0"/>
    <w:rsid w:val="00AA3048"/>
    <w:rsid w:val="00AA35F5"/>
    <w:rsid w:val="00AA4416"/>
    <w:rsid w:val="00AA4474"/>
    <w:rsid w:val="00AA499B"/>
    <w:rsid w:val="00AA4AC1"/>
    <w:rsid w:val="00AA57CC"/>
    <w:rsid w:val="00AA710D"/>
    <w:rsid w:val="00AA7119"/>
    <w:rsid w:val="00AB041F"/>
    <w:rsid w:val="00AB0CAA"/>
    <w:rsid w:val="00AB1A9B"/>
    <w:rsid w:val="00AB1E44"/>
    <w:rsid w:val="00AB355B"/>
    <w:rsid w:val="00AB3FB5"/>
    <w:rsid w:val="00AB4FBB"/>
    <w:rsid w:val="00AB5F93"/>
    <w:rsid w:val="00AB6006"/>
    <w:rsid w:val="00AB60EC"/>
    <w:rsid w:val="00AB6D25"/>
    <w:rsid w:val="00AB79DC"/>
    <w:rsid w:val="00AB7D89"/>
    <w:rsid w:val="00AC0682"/>
    <w:rsid w:val="00AC0F8C"/>
    <w:rsid w:val="00AC1CAF"/>
    <w:rsid w:val="00AC24D2"/>
    <w:rsid w:val="00AC3A14"/>
    <w:rsid w:val="00AC3E05"/>
    <w:rsid w:val="00AC412E"/>
    <w:rsid w:val="00AC6149"/>
    <w:rsid w:val="00AC65A1"/>
    <w:rsid w:val="00AC6C54"/>
    <w:rsid w:val="00AC7483"/>
    <w:rsid w:val="00AC76BB"/>
    <w:rsid w:val="00AC7FA4"/>
    <w:rsid w:val="00AD0F0D"/>
    <w:rsid w:val="00AD1BBD"/>
    <w:rsid w:val="00AD1D4E"/>
    <w:rsid w:val="00AD2387"/>
    <w:rsid w:val="00AD2BA7"/>
    <w:rsid w:val="00AD3350"/>
    <w:rsid w:val="00AD470A"/>
    <w:rsid w:val="00AD4947"/>
    <w:rsid w:val="00AD4C87"/>
    <w:rsid w:val="00AD60A3"/>
    <w:rsid w:val="00AD71E6"/>
    <w:rsid w:val="00AD7994"/>
    <w:rsid w:val="00AE0CC6"/>
    <w:rsid w:val="00AE1AC4"/>
    <w:rsid w:val="00AE1D05"/>
    <w:rsid w:val="00AE20FD"/>
    <w:rsid w:val="00AE2D4B"/>
    <w:rsid w:val="00AE3075"/>
    <w:rsid w:val="00AE32EA"/>
    <w:rsid w:val="00AE3D89"/>
    <w:rsid w:val="00AE4F99"/>
    <w:rsid w:val="00AE55E4"/>
    <w:rsid w:val="00AE5E6B"/>
    <w:rsid w:val="00AE66DB"/>
    <w:rsid w:val="00AE7E5E"/>
    <w:rsid w:val="00AF1F29"/>
    <w:rsid w:val="00AF1F44"/>
    <w:rsid w:val="00AF2A53"/>
    <w:rsid w:val="00AF38BA"/>
    <w:rsid w:val="00AF3FAC"/>
    <w:rsid w:val="00AF5748"/>
    <w:rsid w:val="00AF5A02"/>
    <w:rsid w:val="00AF5A3C"/>
    <w:rsid w:val="00AF5EC0"/>
    <w:rsid w:val="00AF64A1"/>
    <w:rsid w:val="00AF6733"/>
    <w:rsid w:val="00AF6A14"/>
    <w:rsid w:val="00AF7864"/>
    <w:rsid w:val="00AF78B4"/>
    <w:rsid w:val="00B004AF"/>
    <w:rsid w:val="00B04519"/>
    <w:rsid w:val="00B04DD4"/>
    <w:rsid w:val="00B051B6"/>
    <w:rsid w:val="00B05ABF"/>
    <w:rsid w:val="00B05CEA"/>
    <w:rsid w:val="00B101D0"/>
    <w:rsid w:val="00B11238"/>
    <w:rsid w:val="00B11260"/>
    <w:rsid w:val="00B11721"/>
    <w:rsid w:val="00B1188B"/>
    <w:rsid w:val="00B11B69"/>
    <w:rsid w:val="00B14952"/>
    <w:rsid w:val="00B15058"/>
    <w:rsid w:val="00B150EC"/>
    <w:rsid w:val="00B15970"/>
    <w:rsid w:val="00B159DC"/>
    <w:rsid w:val="00B15BF3"/>
    <w:rsid w:val="00B16AF1"/>
    <w:rsid w:val="00B1737C"/>
    <w:rsid w:val="00B1738A"/>
    <w:rsid w:val="00B20525"/>
    <w:rsid w:val="00B20865"/>
    <w:rsid w:val="00B21042"/>
    <w:rsid w:val="00B21234"/>
    <w:rsid w:val="00B22193"/>
    <w:rsid w:val="00B226CD"/>
    <w:rsid w:val="00B23166"/>
    <w:rsid w:val="00B231DD"/>
    <w:rsid w:val="00B23A98"/>
    <w:rsid w:val="00B24394"/>
    <w:rsid w:val="00B24B66"/>
    <w:rsid w:val="00B27284"/>
    <w:rsid w:val="00B27F51"/>
    <w:rsid w:val="00B317CB"/>
    <w:rsid w:val="00B31984"/>
    <w:rsid w:val="00B31E5A"/>
    <w:rsid w:val="00B322EC"/>
    <w:rsid w:val="00B3255C"/>
    <w:rsid w:val="00B32892"/>
    <w:rsid w:val="00B32B44"/>
    <w:rsid w:val="00B348E1"/>
    <w:rsid w:val="00B349BC"/>
    <w:rsid w:val="00B3507F"/>
    <w:rsid w:val="00B35A2F"/>
    <w:rsid w:val="00B36E67"/>
    <w:rsid w:val="00B37131"/>
    <w:rsid w:val="00B409F0"/>
    <w:rsid w:val="00B414A6"/>
    <w:rsid w:val="00B4171D"/>
    <w:rsid w:val="00B4269A"/>
    <w:rsid w:val="00B42A6B"/>
    <w:rsid w:val="00B436D2"/>
    <w:rsid w:val="00B46C6E"/>
    <w:rsid w:val="00B50290"/>
    <w:rsid w:val="00B508F7"/>
    <w:rsid w:val="00B52010"/>
    <w:rsid w:val="00B526C3"/>
    <w:rsid w:val="00B533C6"/>
    <w:rsid w:val="00B53884"/>
    <w:rsid w:val="00B540C3"/>
    <w:rsid w:val="00B542BE"/>
    <w:rsid w:val="00B546A6"/>
    <w:rsid w:val="00B54ADC"/>
    <w:rsid w:val="00B54D43"/>
    <w:rsid w:val="00B55F4E"/>
    <w:rsid w:val="00B56441"/>
    <w:rsid w:val="00B56511"/>
    <w:rsid w:val="00B56B8D"/>
    <w:rsid w:val="00B57821"/>
    <w:rsid w:val="00B57B02"/>
    <w:rsid w:val="00B606DD"/>
    <w:rsid w:val="00B609CE"/>
    <w:rsid w:val="00B6254F"/>
    <w:rsid w:val="00B638FF"/>
    <w:rsid w:val="00B6464C"/>
    <w:rsid w:val="00B64A60"/>
    <w:rsid w:val="00B653AB"/>
    <w:rsid w:val="00B65CEF"/>
    <w:rsid w:val="00B65F9E"/>
    <w:rsid w:val="00B66784"/>
    <w:rsid w:val="00B66B19"/>
    <w:rsid w:val="00B71133"/>
    <w:rsid w:val="00B71F33"/>
    <w:rsid w:val="00B7305F"/>
    <w:rsid w:val="00B7464B"/>
    <w:rsid w:val="00B74BE2"/>
    <w:rsid w:val="00B7583E"/>
    <w:rsid w:val="00B76726"/>
    <w:rsid w:val="00B8057F"/>
    <w:rsid w:val="00B80D1E"/>
    <w:rsid w:val="00B818C1"/>
    <w:rsid w:val="00B81FAF"/>
    <w:rsid w:val="00B81FC7"/>
    <w:rsid w:val="00B8216B"/>
    <w:rsid w:val="00B82615"/>
    <w:rsid w:val="00B82E6C"/>
    <w:rsid w:val="00B834FA"/>
    <w:rsid w:val="00B83BD6"/>
    <w:rsid w:val="00B83BDC"/>
    <w:rsid w:val="00B841AF"/>
    <w:rsid w:val="00B85502"/>
    <w:rsid w:val="00B85D58"/>
    <w:rsid w:val="00B861A8"/>
    <w:rsid w:val="00B864D9"/>
    <w:rsid w:val="00B87BDF"/>
    <w:rsid w:val="00B87DAD"/>
    <w:rsid w:val="00B914E9"/>
    <w:rsid w:val="00B920E9"/>
    <w:rsid w:val="00B921FC"/>
    <w:rsid w:val="00B939B5"/>
    <w:rsid w:val="00B93CB1"/>
    <w:rsid w:val="00B93FB3"/>
    <w:rsid w:val="00B942C4"/>
    <w:rsid w:val="00B94737"/>
    <w:rsid w:val="00B9567D"/>
    <w:rsid w:val="00B956EE"/>
    <w:rsid w:val="00B95852"/>
    <w:rsid w:val="00B95ECD"/>
    <w:rsid w:val="00B96ADE"/>
    <w:rsid w:val="00B97152"/>
    <w:rsid w:val="00B97339"/>
    <w:rsid w:val="00B97462"/>
    <w:rsid w:val="00B9773B"/>
    <w:rsid w:val="00BA05D8"/>
    <w:rsid w:val="00BA086A"/>
    <w:rsid w:val="00BA0A28"/>
    <w:rsid w:val="00BA1326"/>
    <w:rsid w:val="00BA17C2"/>
    <w:rsid w:val="00BA2BA1"/>
    <w:rsid w:val="00BA3471"/>
    <w:rsid w:val="00BA3562"/>
    <w:rsid w:val="00BA440E"/>
    <w:rsid w:val="00BA495E"/>
    <w:rsid w:val="00BA5009"/>
    <w:rsid w:val="00BA5A42"/>
    <w:rsid w:val="00BB0357"/>
    <w:rsid w:val="00BB039B"/>
    <w:rsid w:val="00BB08ED"/>
    <w:rsid w:val="00BB0C8E"/>
    <w:rsid w:val="00BB13A9"/>
    <w:rsid w:val="00BB2C3C"/>
    <w:rsid w:val="00BB2F35"/>
    <w:rsid w:val="00BB4567"/>
    <w:rsid w:val="00BB4AC2"/>
    <w:rsid w:val="00BB4E92"/>
    <w:rsid w:val="00BB4F09"/>
    <w:rsid w:val="00BB609E"/>
    <w:rsid w:val="00BB792C"/>
    <w:rsid w:val="00BC1F27"/>
    <w:rsid w:val="00BC2897"/>
    <w:rsid w:val="00BC3859"/>
    <w:rsid w:val="00BC399D"/>
    <w:rsid w:val="00BC4896"/>
    <w:rsid w:val="00BC4DEE"/>
    <w:rsid w:val="00BC515D"/>
    <w:rsid w:val="00BC5C8D"/>
    <w:rsid w:val="00BC6560"/>
    <w:rsid w:val="00BC6B35"/>
    <w:rsid w:val="00BC6D4A"/>
    <w:rsid w:val="00BC7D35"/>
    <w:rsid w:val="00BD041C"/>
    <w:rsid w:val="00BD14D7"/>
    <w:rsid w:val="00BD2595"/>
    <w:rsid w:val="00BD2D6F"/>
    <w:rsid w:val="00BD2EDE"/>
    <w:rsid w:val="00BD375E"/>
    <w:rsid w:val="00BD3992"/>
    <w:rsid w:val="00BD49C9"/>
    <w:rsid w:val="00BD4E33"/>
    <w:rsid w:val="00BD7BDE"/>
    <w:rsid w:val="00BE145F"/>
    <w:rsid w:val="00BE1CFB"/>
    <w:rsid w:val="00BE1FC2"/>
    <w:rsid w:val="00BE2D97"/>
    <w:rsid w:val="00BE3505"/>
    <w:rsid w:val="00BE3BE3"/>
    <w:rsid w:val="00BE3D40"/>
    <w:rsid w:val="00BE4391"/>
    <w:rsid w:val="00BE4E43"/>
    <w:rsid w:val="00BE5495"/>
    <w:rsid w:val="00BE5C75"/>
    <w:rsid w:val="00BE76CA"/>
    <w:rsid w:val="00BE778D"/>
    <w:rsid w:val="00BE7831"/>
    <w:rsid w:val="00BF0B2C"/>
    <w:rsid w:val="00BF23DA"/>
    <w:rsid w:val="00BF2558"/>
    <w:rsid w:val="00BF41A1"/>
    <w:rsid w:val="00BF4927"/>
    <w:rsid w:val="00BF49E5"/>
    <w:rsid w:val="00BF4ABF"/>
    <w:rsid w:val="00BF50B1"/>
    <w:rsid w:val="00BF68FE"/>
    <w:rsid w:val="00BF6F12"/>
    <w:rsid w:val="00C00321"/>
    <w:rsid w:val="00C00EDA"/>
    <w:rsid w:val="00C0123A"/>
    <w:rsid w:val="00C01297"/>
    <w:rsid w:val="00C030DE"/>
    <w:rsid w:val="00C03EC4"/>
    <w:rsid w:val="00C04ADD"/>
    <w:rsid w:val="00C04FEC"/>
    <w:rsid w:val="00C05302"/>
    <w:rsid w:val="00C05CCE"/>
    <w:rsid w:val="00C06605"/>
    <w:rsid w:val="00C06D50"/>
    <w:rsid w:val="00C104DF"/>
    <w:rsid w:val="00C12384"/>
    <w:rsid w:val="00C123F4"/>
    <w:rsid w:val="00C12A2C"/>
    <w:rsid w:val="00C12A36"/>
    <w:rsid w:val="00C13740"/>
    <w:rsid w:val="00C141A0"/>
    <w:rsid w:val="00C15200"/>
    <w:rsid w:val="00C1559E"/>
    <w:rsid w:val="00C163E1"/>
    <w:rsid w:val="00C17759"/>
    <w:rsid w:val="00C17EC0"/>
    <w:rsid w:val="00C20304"/>
    <w:rsid w:val="00C218D4"/>
    <w:rsid w:val="00C22105"/>
    <w:rsid w:val="00C2259D"/>
    <w:rsid w:val="00C22974"/>
    <w:rsid w:val="00C23801"/>
    <w:rsid w:val="00C244B6"/>
    <w:rsid w:val="00C24859"/>
    <w:rsid w:val="00C2503F"/>
    <w:rsid w:val="00C263F3"/>
    <w:rsid w:val="00C26B9E"/>
    <w:rsid w:val="00C272D4"/>
    <w:rsid w:val="00C27D75"/>
    <w:rsid w:val="00C303F7"/>
    <w:rsid w:val="00C328BD"/>
    <w:rsid w:val="00C32B8A"/>
    <w:rsid w:val="00C32F2B"/>
    <w:rsid w:val="00C333E8"/>
    <w:rsid w:val="00C33885"/>
    <w:rsid w:val="00C34529"/>
    <w:rsid w:val="00C348B0"/>
    <w:rsid w:val="00C3510D"/>
    <w:rsid w:val="00C353DC"/>
    <w:rsid w:val="00C360E2"/>
    <w:rsid w:val="00C3673A"/>
    <w:rsid w:val="00C36866"/>
    <w:rsid w:val="00C36C85"/>
    <w:rsid w:val="00C3702F"/>
    <w:rsid w:val="00C40731"/>
    <w:rsid w:val="00C40A97"/>
    <w:rsid w:val="00C413DD"/>
    <w:rsid w:val="00C41EAD"/>
    <w:rsid w:val="00C4278C"/>
    <w:rsid w:val="00C42794"/>
    <w:rsid w:val="00C43656"/>
    <w:rsid w:val="00C44F84"/>
    <w:rsid w:val="00C4500A"/>
    <w:rsid w:val="00C45288"/>
    <w:rsid w:val="00C47208"/>
    <w:rsid w:val="00C5002D"/>
    <w:rsid w:val="00C50BD6"/>
    <w:rsid w:val="00C51071"/>
    <w:rsid w:val="00C51142"/>
    <w:rsid w:val="00C52267"/>
    <w:rsid w:val="00C52277"/>
    <w:rsid w:val="00C52893"/>
    <w:rsid w:val="00C529A0"/>
    <w:rsid w:val="00C529E9"/>
    <w:rsid w:val="00C52B9D"/>
    <w:rsid w:val="00C52CB4"/>
    <w:rsid w:val="00C52F0E"/>
    <w:rsid w:val="00C53D14"/>
    <w:rsid w:val="00C54288"/>
    <w:rsid w:val="00C54E5E"/>
    <w:rsid w:val="00C55661"/>
    <w:rsid w:val="00C55977"/>
    <w:rsid w:val="00C55C91"/>
    <w:rsid w:val="00C564F2"/>
    <w:rsid w:val="00C56E8E"/>
    <w:rsid w:val="00C57F26"/>
    <w:rsid w:val="00C60E38"/>
    <w:rsid w:val="00C62A49"/>
    <w:rsid w:val="00C630AD"/>
    <w:rsid w:val="00C638C5"/>
    <w:rsid w:val="00C6433A"/>
    <w:rsid w:val="00C646AF"/>
    <w:rsid w:val="00C649E9"/>
    <w:rsid w:val="00C64A37"/>
    <w:rsid w:val="00C6549D"/>
    <w:rsid w:val="00C6601A"/>
    <w:rsid w:val="00C67150"/>
    <w:rsid w:val="00C67426"/>
    <w:rsid w:val="00C67619"/>
    <w:rsid w:val="00C677F8"/>
    <w:rsid w:val="00C70A44"/>
    <w:rsid w:val="00C70F8A"/>
    <w:rsid w:val="00C71465"/>
    <w:rsid w:val="00C7158E"/>
    <w:rsid w:val="00C7250B"/>
    <w:rsid w:val="00C72F55"/>
    <w:rsid w:val="00C73210"/>
    <w:rsid w:val="00C7346B"/>
    <w:rsid w:val="00C7364B"/>
    <w:rsid w:val="00C74548"/>
    <w:rsid w:val="00C7499C"/>
    <w:rsid w:val="00C752A7"/>
    <w:rsid w:val="00C76EB4"/>
    <w:rsid w:val="00C77C0E"/>
    <w:rsid w:val="00C77D75"/>
    <w:rsid w:val="00C77DAE"/>
    <w:rsid w:val="00C77F1F"/>
    <w:rsid w:val="00C8000E"/>
    <w:rsid w:val="00C8319A"/>
    <w:rsid w:val="00C83CE3"/>
    <w:rsid w:val="00C8596C"/>
    <w:rsid w:val="00C85FF2"/>
    <w:rsid w:val="00C86F3A"/>
    <w:rsid w:val="00C870B3"/>
    <w:rsid w:val="00C90542"/>
    <w:rsid w:val="00C90979"/>
    <w:rsid w:val="00C91687"/>
    <w:rsid w:val="00C91DF2"/>
    <w:rsid w:val="00C91FAD"/>
    <w:rsid w:val="00C9235A"/>
    <w:rsid w:val="00C924A8"/>
    <w:rsid w:val="00C9296C"/>
    <w:rsid w:val="00C92F37"/>
    <w:rsid w:val="00C93B3B"/>
    <w:rsid w:val="00C945FE"/>
    <w:rsid w:val="00C94D71"/>
    <w:rsid w:val="00C950B4"/>
    <w:rsid w:val="00C95D9E"/>
    <w:rsid w:val="00C96264"/>
    <w:rsid w:val="00C965E8"/>
    <w:rsid w:val="00C96FAA"/>
    <w:rsid w:val="00C9757E"/>
    <w:rsid w:val="00C97A04"/>
    <w:rsid w:val="00CA107B"/>
    <w:rsid w:val="00CA172B"/>
    <w:rsid w:val="00CA20EB"/>
    <w:rsid w:val="00CA247A"/>
    <w:rsid w:val="00CA3F7A"/>
    <w:rsid w:val="00CA4468"/>
    <w:rsid w:val="00CA484D"/>
    <w:rsid w:val="00CA4F82"/>
    <w:rsid w:val="00CA4FB6"/>
    <w:rsid w:val="00CA65C3"/>
    <w:rsid w:val="00CA66C4"/>
    <w:rsid w:val="00CA736D"/>
    <w:rsid w:val="00CA7A1E"/>
    <w:rsid w:val="00CB075E"/>
    <w:rsid w:val="00CB12B9"/>
    <w:rsid w:val="00CB1754"/>
    <w:rsid w:val="00CB27EE"/>
    <w:rsid w:val="00CB33F3"/>
    <w:rsid w:val="00CB3A7A"/>
    <w:rsid w:val="00CB3CDB"/>
    <w:rsid w:val="00CB4439"/>
    <w:rsid w:val="00CB4898"/>
    <w:rsid w:val="00CB4B90"/>
    <w:rsid w:val="00CB55FD"/>
    <w:rsid w:val="00CB5E4B"/>
    <w:rsid w:val="00CB79BD"/>
    <w:rsid w:val="00CB7F3B"/>
    <w:rsid w:val="00CB7FCC"/>
    <w:rsid w:val="00CC03F1"/>
    <w:rsid w:val="00CC0993"/>
    <w:rsid w:val="00CC2104"/>
    <w:rsid w:val="00CC2CA1"/>
    <w:rsid w:val="00CC3465"/>
    <w:rsid w:val="00CC348F"/>
    <w:rsid w:val="00CC45B9"/>
    <w:rsid w:val="00CC501E"/>
    <w:rsid w:val="00CC5658"/>
    <w:rsid w:val="00CC739E"/>
    <w:rsid w:val="00CC7EED"/>
    <w:rsid w:val="00CD18F2"/>
    <w:rsid w:val="00CD1E2E"/>
    <w:rsid w:val="00CD2120"/>
    <w:rsid w:val="00CD2F5F"/>
    <w:rsid w:val="00CD310C"/>
    <w:rsid w:val="00CD4392"/>
    <w:rsid w:val="00CD44E6"/>
    <w:rsid w:val="00CD4A48"/>
    <w:rsid w:val="00CD58B7"/>
    <w:rsid w:val="00CD6474"/>
    <w:rsid w:val="00CD686C"/>
    <w:rsid w:val="00CD69A1"/>
    <w:rsid w:val="00CD7AE8"/>
    <w:rsid w:val="00CE014F"/>
    <w:rsid w:val="00CE06EA"/>
    <w:rsid w:val="00CE0B79"/>
    <w:rsid w:val="00CE2231"/>
    <w:rsid w:val="00CE22C6"/>
    <w:rsid w:val="00CE23A3"/>
    <w:rsid w:val="00CE3A99"/>
    <w:rsid w:val="00CE3EC9"/>
    <w:rsid w:val="00CE5597"/>
    <w:rsid w:val="00CE55DF"/>
    <w:rsid w:val="00CE5629"/>
    <w:rsid w:val="00CE5CB5"/>
    <w:rsid w:val="00CF036E"/>
    <w:rsid w:val="00CF06F0"/>
    <w:rsid w:val="00CF30FD"/>
    <w:rsid w:val="00CF36C4"/>
    <w:rsid w:val="00CF38F9"/>
    <w:rsid w:val="00CF3B62"/>
    <w:rsid w:val="00CF3C0A"/>
    <w:rsid w:val="00CF4099"/>
    <w:rsid w:val="00CF5120"/>
    <w:rsid w:val="00D00796"/>
    <w:rsid w:val="00D00C62"/>
    <w:rsid w:val="00D014A0"/>
    <w:rsid w:val="00D014CA"/>
    <w:rsid w:val="00D022D3"/>
    <w:rsid w:val="00D02D2C"/>
    <w:rsid w:val="00D04B33"/>
    <w:rsid w:val="00D06495"/>
    <w:rsid w:val="00D074C4"/>
    <w:rsid w:val="00D102D1"/>
    <w:rsid w:val="00D10570"/>
    <w:rsid w:val="00D1112D"/>
    <w:rsid w:val="00D111A3"/>
    <w:rsid w:val="00D1162F"/>
    <w:rsid w:val="00D11783"/>
    <w:rsid w:val="00D121A1"/>
    <w:rsid w:val="00D12292"/>
    <w:rsid w:val="00D128E0"/>
    <w:rsid w:val="00D137A2"/>
    <w:rsid w:val="00D13953"/>
    <w:rsid w:val="00D13BE7"/>
    <w:rsid w:val="00D150F6"/>
    <w:rsid w:val="00D1537F"/>
    <w:rsid w:val="00D16512"/>
    <w:rsid w:val="00D16CF5"/>
    <w:rsid w:val="00D179E4"/>
    <w:rsid w:val="00D2072B"/>
    <w:rsid w:val="00D2094C"/>
    <w:rsid w:val="00D22C4F"/>
    <w:rsid w:val="00D22F3F"/>
    <w:rsid w:val="00D230B7"/>
    <w:rsid w:val="00D245AB"/>
    <w:rsid w:val="00D2483A"/>
    <w:rsid w:val="00D24909"/>
    <w:rsid w:val="00D24D89"/>
    <w:rsid w:val="00D2521F"/>
    <w:rsid w:val="00D25600"/>
    <w:rsid w:val="00D26005"/>
    <w:rsid w:val="00D261A2"/>
    <w:rsid w:val="00D26C08"/>
    <w:rsid w:val="00D273A2"/>
    <w:rsid w:val="00D27CAF"/>
    <w:rsid w:val="00D33623"/>
    <w:rsid w:val="00D33BB4"/>
    <w:rsid w:val="00D34017"/>
    <w:rsid w:val="00D34FB7"/>
    <w:rsid w:val="00D35294"/>
    <w:rsid w:val="00D358C2"/>
    <w:rsid w:val="00D36494"/>
    <w:rsid w:val="00D40CF0"/>
    <w:rsid w:val="00D4181F"/>
    <w:rsid w:val="00D41F9A"/>
    <w:rsid w:val="00D42A4D"/>
    <w:rsid w:val="00D42B4F"/>
    <w:rsid w:val="00D44477"/>
    <w:rsid w:val="00D4466E"/>
    <w:rsid w:val="00D44836"/>
    <w:rsid w:val="00D458EE"/>
    <w:rsid w:val="00D45DEF"/>
    <w:rsid w:val="00D46446"/>
    <w:rsid w:val="00D46EE3"/>
    <w:rsid w:val="00D47534"/>
    <w:rsid w:val="00D478C0"/>
    <w:rsid w:val="00D502E4"/>
    <w:rsid w:val="00D5188B"/>
    <w:rsid w:val="00D5268C"/>
    <w:rsid w:val="00D52C36"/>
    <w:rsid w:val="00D53621"/>
    <w:rsid w:val="00D538E4"/>
    <w:rsid w:val="00D5394A"/>
    <w:rsid w:val="00D54284"/>
    <w:rsid w:val="00D54E69"/>
    <w:rsid w:val="00D55129"/>
    <w:rsid w:val="00D558A0"/>
    <w:rsid w:val="00D5686B"/>
    <w:rsid w:val="00D56EB6"/>
    <w:rsid w:val="00D57837"/>
    <w:rsid w:val="00D57FFD"/>
    <w:rsid w:val="00D608C9"/>
    <w:rsid w:val="00D616D2"/>
    <w:rsid w:val="00D62BD1"/>
    <w:rsid w:val="00D62BD2"/>
    <w:rsid w:val="00D63375"/>
    <w:rsid w:val="00D63A13"/>
    <w:rsid w:val="00D63B5F"/>
    <w:rsid w:val="00D63EB5"/>
    <w:rsid w:val="00D64849"/>
    <w:rsid w:val="00D65E7E"/>
    <w:rsid w:val="00D6611E"/>
    <w:rsid w:val="00D67D0C"/>
    <w:rsid w:val="00D7066F"/>
    <w:rsid w:val="00D70B9E"/>
    <w:rsid w:val="00D70EF7"/>
    <w:rsid w:val="00D72BB0"/>
    <w:rsid w:val="00D72CD2"/>
    <w:rsid w:val="00D7444B"/>
    <w:rsid w:val="00D753B6"/>
    <w:rsid w:val="00D757F2"/>
    <w:rsid w:val="00D75ADE"/>
    <w:rsid w:val="00D77440"/>
    <w:rsid w:val="00D80A63"/>
    <w:rsid w:val="00D815F5"/>
    <w:rsid w:val="00D82919"/>
    <w:rsid w:val="00D8397C"/>
    <w:rsid w:val="00D84061"/>
    <w:rsid w:val="00D84A71"/>
    <w:rsid w:val="00D84BF7"/>
    <w:rsid w:val="00D86D38"/>
    <w:rsid w:val="00D87084"/>
    <w:rsid w:val="00D8778C"/>
    <w:rsid w:val="00D9009F"/>
    <w:rsid w:val="00D9045A"/>
    <w:rsid w:val="00D90B50"/>
    <w:rsid w:val="00D91CC9"/>
    <w:rsid w:val="00D920E2"/>
    <w:rsid w:val="00D92506"/>
    <w:rsid w:val="00D92F18"/>
    <w:rsid w:val="00D92FE3"/>
    <w:rsid w:val="00D94EED"/>
    <w:rsid w:val="00D95752"/>
    <w:rsid w:val="00D96026"/>
    <w:rsid w:val="00D9637E"/>
    <w:rsid w:val="00D968BC"/>
    <w:rsid w:val="00D97AA5"/>
    <w:rsid w:val="00DA0243"/>
    <w:rsid w:val="00DA0B01"/>
    <w:rsid w:val="00DA1CAC"/>
    <w:rsid w:val="00DA1FC9"/>
    <w:rsid w:val="00DA259D"/>
    <w:rsid w:val="00DA298E"/>
    <w:rsid w:val="00DA2A18"/>
    <w:rsid w:val="00DA2F94"/>
    <w:rsid w:val="00DA3908"/>
    <w:rsid w:val="00DA3B95"/>
    <w:rsid w:val="00DA433C"/>
    <w:rsid w:val="00DA56D1"/>
    <w:rsid w:val="00DA7722"/>
    <w:rsid w:val="00DA7C1C"/>
    <w:rsid w:val="00DB018C"/>
    <w:rsid w:val="00DB08AC"/>
    <w:rsid w:val="00DB1027"/>
    <w:rsid w:val="00DB147A"/>
    <w:rsid w:val="00DB1B7A"/>
    <w:rsid w:val="00DB2762"/>
    <w:rsid w:val="00DB35AE"/>
    <w:rsid w:val="00DB4F3C"/>
    <w:rsid w:val="00DB575A"/>
    <w:rsid w:val="00DB590A"/>
    <w:rsid w:val="00DB59DA"/>
    <w:rsid w:val="00DB5B02"/>
    <w:rsid w:val="00DB5F1F"/>
    <w:rsid w:val="00DB5F5D"/>
    <w:rsid w:val="00DB646E"/>
    <w:rsid w:val="00DB651B"/>
    <w:rsid w:val="00DB65D4"/>
    <w:rsid w:val="00DB722A"/>
    <w:rsid w:val="00DB7870"/>
    <w:rsid w:val="00DB7AA0"/>
    <w:rsid w:val="00DB7F78"/>
    <w:rsid w:val="00DC055C"/>
    <w:rsid w:val="00DC08FE"/>
    <w:rsid w:val="00DC15CA"/>
    <w:rsid w:val="00DC38E0"/>
    <w:rsid w:val="00DC4391"/>
    <w:rsid w:val="00DC5B37"/>
    <w:rsid w:val="00DC64F6"/>
    <w:rsid w:val="00DC6708"/>
    <w:rsid w:val="00DC69BC"/>
    <w:rsid w:val="00DC708B"/>
    <w:rsid w:val="00DD058E"/>
    <w:rsid w:val="00DD129A"/>
    <w:rsid w:val="00DD19A4"/>
    <w:rsid w:val="00DD2B89"/>
    <w:rsid w:val="00DD2FF8"/>
    <w:rsid w:val="00DD31AF"/>
    <w:rsid w:val="00DD3249"/>
    <w:rsid w:val="00DD4017"/>
    <w:rsid w:val="00DD5B9B"/>
    <w:rsid w:val="00DD628E"/>
    <w:rsid w:val="00DD70D9"/>
    <w:rsid w:val="00DD7344"/>
    <w:rsid w:val="00DD7785"/>
    <w:rsid w:val="00DD7A58"/>
    <w:rsid w:val="00DE12CF"/>
    <w:rsid w:val="00DE341A"/>
    <w:rsid w:val="00DE3579"/>
    <w:rsid w:val="00DE3A3F"/>
    <w:rsid w:val="00DE432E"/>
    <w:rsid w:val="00DE6BB0"/>
    <w:rsid w:val="00DE71FF"/>
    <w:rsid w:val="00DE7B65"/>
    <w:rsid w:val="00DE7EEE"/>
    <w:rsid w:val="00DF01BD"/>
    <w:rsid w:val="00DF190A"/>
    <w:rsid w:val="00DF3B36"/>
    <w:rsid w:val="00DF5CC8"/>
    <w:rsid w:val="00DF712D"/>
    <w:rsid w:val="00DF7C13"/>
    <w:rsid w:val="00E005DC"/>
    <w:rsid w:val="00E00D3B"/>
    <w:rsid w:val="00E01436"/>
    <w:rsid w:val="00E0173C"/>
    <w:rsid w:val="00E0207F"/>
    <w:rsid w:val="00E0349E"/>
    <w:rsid w:val="00E03CAD"/>
    <w:rsid w:val="00E045BD"/>
    <w:rsid w:val="00E04D9A"/>
    <w:rsid w:val="00E056D9"/>
    <w:rsid w:val="00E0646A"/>
    <w:rsid w:val="00E06E70"/>
    <w:rsid w:val="00E07416"/>
    <w:rsid w:val="00E07C40"/>
    <w:rsid w:val="00E10FBB"/>
    <w:rsid w:val="00E11028"/>
    <w:rsid w:val="00E11099"/>
    <w:rsid w:val="00E11ADC"/>
    <w:rsid w:val="00E12283"/>
    <w:rsid w:val="00E12297"/>
    <w:rsid w:val="00E1284C"/>
    <w:rsid w:val="00E14196"/>
    <w:rsid w:val="00E146D1"/>
    <w:rsid w:val="00E14A24"/>
    <w:rsid w:val="00E15AA7"/>
    <w:rsid w:val="00E15DFD"/>
    <w:rsid w:val="00E174C4"/>
    <w:rsid w:val="00E17997"/>
    <w:rsid w:val="00E17A9F"/>
    <w:rsid w:val="00E17B77"/>
    <w:rsid w:val="00E17DEA"/>
    <w:rsid w:val="00E21A10"/>
    <w:rsid w:val="00E23337"/>
    <w:rsid w:val="00E23453"/>
    <w:rsid w:val="00E23687"/>
    <w:rsid w:val="00E2370A"/>
    <w:rsid w:val="00E23A3F"/>
    <w:rsid w:val="00E2484A"/>
    <w:rsid w:val="00E24FD6"/>
    <w:rsid w:val="00E259EA"/>
    <w:rsid w:val="00E25C1F"/>
    <w:rsid w:val="00E266B2"/>
    <w:rsid w:val="00E27005"/>
    <w:rsid w:val="00E27E85"/>
    <w:rsid w:val="00E30793"/>
    <w:rsid w:val="00E31D8C"/>
    <w:rsid w:val="00E31DE9"/>
    <w:rsid w:val="00E32061"/>
    <w:rsid w:val="00E350A7"/>
    <w:rsid w:val="00E35767"/>
    <w:rsid w:val="00E37011"/>
    <w:rsid w:val="00E377C7"/>
    <w:rsid w:val="00E402EA"/>
    <w:rsid w:val="00E40C2E"/>
    <w:rsid w:val="00E411B3"/>
    <w:rsid w:val="00E4138D"/>
    <w:rsid w:val="00E41CA5"/>
    <w:rsid w:val="00E41FCF"/>
    <w:rsid w:val="00E4234B"/>
    <w:rsid w:val="00E42FF9"/>
    <w:rsid w:val="00E443D2"/>
    <w:rsid w:val="00E448BB"/>
    <w:rsid w:val="00E44C7E"/>
    <w:rsid w:val="00E44CDA"/>
    <w:rsid w:val="00E44FA9"/>
    <w:rsid w:val="00E458DE"/>
    <w:rsid w:val="00E461BB"/>
    <w:rsid w:val="00E46475"/>
    <w:rsid w:val="00E4714C"/>
    <w:rsid w:val="00E503EC"/>
    <w:rsid w:val="00E5084E"/>
    <w:rsid w:val="00E51AEB"/>
    <w:rsid w:val="00E522A7"/>
    <w:rsid w:val="00E524C7"/>
    <w:rsid w:val="00E52681"/>
    <w:rsid w:val="00E52A38"/>
    <w:rsid w:val="00E52E39"/>
    <w:rsid w:val="00E52E6B"/>
    <w:rsid w:val="00E531A9"/>
    <w:rsid w:val="00E5418C"/>
    <w:rsid w:val="00E54452"/>
    <w:rsid w:val="00E5526F"/>
    <w:rsid w:val="00E55E6C"/>
    <w:rsid w:val="00E560F6"/>
    <w:rsid w:val="00E5639F"/>
    <w:rsid w:val="00E565EA"/>
    <w:rsid w:val="00E56901"/>
    <w:rsid w:val="00E5722A"/>
    <w:rsid w:val="00E5790D"/>
    <w:rsid w:val="00E57C17"/>
    <w:rsid w:val="00E60B65"/>
    <w:rsid w:val="00E60C77"/>
    <w:rsid w:val="00E63060"/>
    <w:rsid w:val="00E632E1"/>
    <w:rsid w:val="00E63984"/>
    <w:rsid w:val="00E6448F"/>
    <w:rsid w:val="00E645C0"/>
    <w:rsid w:val="00E6463D"/>
    <w:rsid w:val="00E651D4"/>
    <w:rsid w:val="00E651E3"/>
    <w:rsid w:val="00E65A0C"/>
    <w:rsid w:val="00E6605E"/>
    <w:rsid w:val="00E664C5"/>
    <w:rsid w:val="00E66E4D"/>
    <w:rsid w:val="00E671A2"/>
    <w:rsid w:val="00E679A9"/>
    <w:rsid w:val="00E70A1E"/>
    <w:rsid w:val="00E72863"/>
    <w:rsid w:val="00E72AF5"/>
    <w:rsid w:val="00E73440"/>
    <w:rsid w:val="00E74509"/>
    <w:rsid w:val="00E75566"/>
    <w:rsid w:val="00E7566E"/>
    <w:rsid w:val="00E759AC"/>
    <w:rsid w:val="00E75E7E"/>
    <w:rsid w:val="00E76307"/>
    <w:rsid w:val="00E76D26"/>
    <w:rsid w:val="00E76EA3"/>
    <w:rsid w:val="00E80F67"/>
    <w:rsid w:val="00E82EDF"/>
    <w:rsid w:val="00E82F58"/>
    <w:rsid w:val="00E82F8C"/>
    <w:rsid w:val="00E83E91"/>
    <w:rsid w:val="00E84672"/>
    <w:rsid w:val="00E84A9B"/>
    <w:rsid w:val="00E86222"/>
    <w:rsid w:val="00E87C78"/>
    <w:rsid w:val="00E924E5"/>
    <w:rsid w:val="00E93515"/>
    <w:rsid w:val="00E938DA"/>
    <w:rsid w:val="00E940DC"/>
    <w:rsid w:val="00E94530"/>
    <w:rsid w:val="00E95C2F"/>
    <w:rsid w:val="00E96F96"/>
    <w:rsid w:val="00EA00AB"/>
    <w:rsid w:val="00EA02BD"/>
    <w:rsid w:val="00EA0F2D"/>
    <w:rsid w:val="00EA1451"/>
    <w:rsid w:val="00EA39D0"/>
    <w:rsid w:val="00EA4DB5"/>
    <w:rsid w:val="00EA5C3C"/>
    <w:rsid w:val="00EA5DBF"/>
    <w:rsid w:val="00EA6204"/>
    <w:rsid w:val="00EA6CD4"/>
    <w:rsid w:val="00EA6D25"/>
    <w:rsid w:val="00EA7EEC"/>
    <w:rsid w:val="00EB02C9"/>
    <w:rsid w:val="00EB075F"/>
    <w:rsid w:val="00EB09B0"/>
    <w:rsid w:val="00EB0AA3"/>
    <w:rsid w:val="00EB1390"/>
    <w:rsid w:val="00EB2C27"/>
    <w:rsid w:val="00EB2C71"/>
    <w:rsid w:val="00EB2D10"/>
    <w:rsid w:val="00EB37B6"/>
    <w:rsid w:val="00EB3D8A"/>
    <w:rsid w:val="00EB4142"/>
    <w:rsid w:val="00EB4340"/>
    <w:rsid w:val="00EB4764"/>
    <w:rsid w:val="00EB47BA"/>
    <w:rsid w:val="00EB556D"/>
    <w:rsid w:val="00EB5A7D"/>
    <w:rsid w:val="00EB5F30"/>
    <w:rsid w:val="00EB5F8C"/>
    <w:rsid w:val="00EB6982"/>
    <w:rsid w:val="00EB6E5F"/>
    <w:rsid w:val="00EC13A6"/>
    <w:rsid w:val="00EC5A37"/>
    <w:rsid w:val="00EC5B0F"/>
    <w:rsid w:val="00EC68E0"/>
    <w:rsid w:val="00EC78CD"/>
    <w:rsid w:val="00EC7E2D"/>
    <w:rsid w:val="00ED3475"/>
    <w:rsid w:val="00ED41E6"/>
    <w:rsid w:val="00ED55C0"/>
    <w:rsid w:val="00ED5981"/>
    <w:rsid w:val="00ED5FBD"/>
    <w:rsid w:val="00ED619B"/>
    <w:rsid w:val="00ED682B"/>
    <w:rsid w:val="00ED6A3D"/>
    <w:rsid w:val="00ED71DD"/>
    <w:rsid w:val="00ED7975"/>
    <w:rsid w:val="00EE07FB"/>
    <w:rsid w:val="00EE0B73"/>
    <w:rsid w:val="00EE0BDD"/>
    <w:rsid w:val="00EE1932"/>
    <w:rsid w:val="00EE2335"/>
    <w:rsid w:val="00EE2D9A"/>
    <w:rsid w:val="00EE3D2D"/>
    <w:rsid w:val="00EE41D5"/>
    <w:rsid w:val="00EE447E"/>
    <w:rsid w:val="00EE49FD"/>
    <w:rsid w:val="00EE5326"/>
    <w:rsid w:val="00EE583C"/>
    <w:rsid w:val="00EE6734"/>
    <w:rsid w:val="00EE696D"/>
    <w:rsid w:val="00EE7EAF"/>
    <w:rsid w:val="00EF2676"/>
    <w:rsid w:val="00EF3E29"/>
    <w:rsid w:val="00EF4C42"/>
    <w:rsid w:val="00EF6368"/>
    <w:rsid w:val="00EF7B36"/>
    <w:rsid w:val="00EF7BA3"/>
    <w:rsid w:val="00F0009A"/>
    <w:rsid w:val="00F00296"/>
    <w:rsid w:val="00F0048C"/>
    <w:rsid w:val="00F01539"/>
    <w:rsid w:val="00F019EB"/>
    <w:rsid w:val="00F01D38"/>
    <w:rsid w:val="00F01FC6"/>
    <w:rsid w:val="00F02459"/>
    <w:rsid w:val="00F02FE5"/>
    <w:rsid w:val="00F031E7"/>
    <w:rsid w:val="00F037A4"/>
    <w:rsid w:val="00F051C5"/>
    <w:rsid w:val="00F06F60"/>
    <w:rsid w:val="00F07434"/>
    <w:rsid w:val="00F103A7"/>
    <w:rsid w:val="00F11405"/>
    <w:rsid w:val="00F1145A"/>
    <w:rsid w:val="00F12A22"/>
    <w:rsid w:val="00F12FEC"/>
    <w:rsid w:val="00F1364E"/>
    <w:rsid w:val="00F138A3"/>
    <w:rsid w:val="00F14357"/>
    <w:rsid w:val="00F161D3"/>
    <w:rsid w:val="00F1698C"/>
    <w:rsid w:val="00F16CA6"/>
    <w:rsid w:val="00F1751F"/>
    <w:rsid w:val="00F17C38"/>
    <w:rsid w:val="00F20448"/>
    <w:rsid w:val="00F204E5"/>
    <w:rsid w:val="00F20881"/>
    <w:rsid w:val="00F2356A"/>
    <w:rsid w:val="00F24660"/>
    <w:rsid w:val="00F24783"/>
    <w:rsid w:val="00F24ACB"/>
    <w:rsid w:val="00F25EEE"/>
    <w:rsid w:val="00F26013"/>
    <w:rsid w:val="00F26024"/>
    <w:rsid w:val="00F2620B"/>
    <w:rsid w:val="00F268A5"/>
    <w:rsid w:val="00F2709D"/>
    <w:rsid w:val="00F27C8F"/>
    <w:rsid w:val="00F30570"/>
    <w:rsid w:val="00F30A0C"/>
    <w:rsid w:val="00F30FEA"/>
    <w:rsid w:val="00F319D7"/>
    <w:rsid w:val="00F31FE7"/>
    <w:rsid w:val="00F32588"/>
    <w:rsid w:val="00F32749"/>
    <w:rsid w:val="00F34872"/>
    <w:rsid w:val="00F35128"/>
    <w:rsid w:val="00F3549E"/>
    <w:rsid w:val="00F360EB"/>
    <w:rsid w:val="00F36E2D"/>
    <w:rsid w:val="00F37172"/>
    <w:rsid w:val="00F373CC"/>
    <w:rsid w:val="00F408B3"/>
    <w:rsid w:val="00F40E3D"/>
    <w:rsid w:val="00F418EF"/>
    <w:rsid w:val="00F41FB3"/>
    <w:rsid w:val="00F42870"/>
    <w:rsid w:val="00F428ED"/>
    <w:rsid w:val="00F42BF4"/>
    <w:rsid w:val="00F42CF6"/>
    <w:rsid w:val="00F4477E"/>
    <w:rsid w:val="00F44B2F"/>
    <w:rsid w:val="00F455AD"/>
    <w:rsid w:val="00F45717"/>
    <w:rsid w:val="00F45FBD"/>
    <w:rsid w:val="00F4651F"/>
    <w:rsid w:val="00F467CF"/>
    <w:rsid w:val="00F472F8"/>
    <w:rsid w:val="00F503A4"/>
    <w:rsid w:val="00F50C9C"/>
    <w:rsid w:val="00F510DE"/>
    <w:rsid w:val="00F520D7"/>
    <w:rsid w:val="00F52825"/>
    <w:rsid w:val="00F529C8"/>
    <w:rsid w:val="00F531E1"/>
    <w:rsid w:val="00F53384"/>
    <w:rsid w:val="00F5344D"/>
    <w:rsid w:val="00F5482B"/>
    <w:rsid w:val="00F55184"/>
    <w:rsid w:val="00F57322"/>
    <w:rsid w:val="00F604B9"/>
    <w:rsid w:val="00F65360"/>
    <w:rsid w:val="00F65469"/>
    <w:rsid w:val="00F65EEC"/>
    <w:rsid w:val="00F6600C"/>
    <w:rsid w:val="00F6637E"/>
    <w:rsid w:val="00F66EF7"/>
    <w:rsid w:val="00F679D9"/>
    <w:rsid w:val="00F67D8F"/>
    <w:rsid w:val="00F70C76"/>
    <w:rsid w:val="00F71162"/>
    <w:rsid w:val="00F725F2"/>
    <w:rsid w:val="00F72618"/>
    <w:rsid w:val="00F72954"/>
    <w:rsid w:val="00F73220"/>
    <w:rsid w:val="00F734BD"/>
    <w:rsid w:val="00F739B3"/>
    <w:rsid w:val="00F74926"/>
    <w:rsid w:val="00F74B10"/>
    <w:rsid w:val="00F7664B"/>
    <w:rsid w:val="00F76BDA"/>
    <w:rsid w:val="00F77AC0"/>
    <w:rsid w:val="00F801E1"/>
    <w:rsid w:val="00F80247"/>
    <w:rsid w:val="00F802BE"/>
    <w:rsid w:val="00F80E93"/>
    <w:rsid w:val="00F8199B"/>
    <w:rsid w:val="00F82032"/>
    <w:rsid w:val="00F830BF"/>
    <w:rsid w:val="00F8350E"/>
    <w:rsid w:val="00F844DE"/>
    <w:rsid w:val="00F84E9D"/>
    <w:rsid w:val="00F8590F"/>
    <w:rsid w:val="00F85B86"/>
    <w:rsid w:val="00F86024"/>
    <w:rsid w:val="00F86119"/>
    <w:rsid w:val="00F8611A"/>
    <w:rsid w:val="00F866F2"/>
    <w:rsid w:val="00F86C02"/>
    <w:rsid w:val="00F86DF5"/>
    <w:rsid w:val="00F877DD"/>
    <w:rsid w:val="00F87CE0"/>
    <w:rsid w:val="00F90BB1"/>
    <w:rsid w:val="00F9121B"/>
    <w:rsid w:val="00F91C76"/>
    <w:rsid w:val="00F92310"/>
    <w:rsid w:val="00F928B7"/>
    <w:rsid w:val="00F9358F"/>
    <w:rsid w:val="00F93B25"/>
    <w:rsid w:val="00F93C39"/>
    <w:rsid w:val="00F94354"/>
    <w:rsid w:val="00F9463C"/>
    <w:rsid w:val="00F947BB"/>
    <w:rsid w:val="00F9518C"/>
    <w:rsid w:val="00F952B9"/>
    <w:rsid w:val="00F961E4"/>
    <w:rsid w:val="00F96592"/>
    <w:rsid w:val="00F968F6"/>
    <w:rsid w:val="00FA3268"/>
    <w:rsid w:val="00FA5128"/>
    <w:rsid w:val="00FA5BDD"/>
    <w:rsid w:val="00FA6D0C"/>
    <w:rsid w:val="00FB03CE"/>
    <w:rsid w:val="00FB049A"/>
    <w:rsid w:val="00FB13F8"/>
    <w:rsid w:val="00FB2A1E"/>
    <w:rsid w:val="00FB30BF"/>
    <w:rsid w:val="00FB33B0"/>
    <w:rsid w:val="00FB346C"/>
    <w:rsid w:val="00FB3892"/>
    <w:rsid w:val="00FB3BD6"/>
    <w:rsid w:val="00FB42D4"/>
    <w:rsid w:val="00FB5906"/>
    <w:rsid w:val="00FB752F"/>
    <w:rsid w:val="00FB762F"/>
    <w:rsid w:val="00FB76CE"/>
    <w:rsid w:val="00FB78CF"/>
    <w:rsid w:val="00FC1759"/>
    <w:rsid w:val="00FC1EA0"/>
    <w:rsid w:val="00FC1F48"/>
    <w:rsid w:val="00FC2590"/>
    <w:rsid w:val="00FC2AED"/>
    <w:rsid w:val="00FC32CA"/>
    <w:rsid w:val="00FC5439"/>
    <w:rsid w:val="00FC5A70"/>
    <w:rsid w:val="00FC6342"/>
    <w:rsid w:val="00FC65EC"/>
    <w:rsid w:val="00FC79A0"/>
    <w:rsid w:val="00FC7CB0"/>
    <w:rsid w:val="00FD0589"/>
    <w:rsid w:val="00FD0D41"/>
    <w:rsid w:val="00FD19A9"/>
    <w:rsid w:val="00FD1B35"/>
    <w:rsid w:val="00FD2398"/>
    <w:rsid w:val="00FD2B61"/>
    <w:rsid w:val="00FD3DC6"/>
    <w:rsid w:val="00FD4F05"/>
    <w:rsid w:val="00FD5EA7"/>
    <w:rsid w:val="00FD6629"/>
    <w:rsid w:val="00FD7F98"/>
    <w:rsid w:val="00FE076A"/>
    <w:rsid w:val="00FE0816"/>
    <w:rsid w:val="00FE0D88"/>
    <w:rsid w:val="00FE1223"/>
    <w:rsid w:val="00FE1C09"/>
    <w:rsid w:val="00FE20C4"/>
    <w:rsid w:val="00FE2FEC"/>
    <w:rsid w:val="00FE39C0"/>
    <w:rsid w:val="00FE3F16"/>
    <w:rsid w:val="00FE4E1A"/>
    <w:rsid w:val="00FE54FA"/>
    <w:rsid w:val="00FE595C"/>
    <w:rsid w:val="00FE622D"/>
    <w:rsid w:val="00FF0222"/>
    <w:rsid w:val="00FF1865"/>
    <w:rsid w:val="00FF201B"/>
    <w:rsid w:val="00FF277A"/>
    <w:rsid w:val="00FF2A1C"/>
    <w:rsid w:val="00FF314D"/>
    <w:rsid w:val="00FF48FA"/>
    <w:rsid w:val="00FF4D01"/>
    <w:rsid w:val="00FF4D75"/>
    <w:rsid w:val="00FF62BB"/>
    <w:rsid w:val="00FF76E1"/>
    <w:rsid w:val="00FF7E13"/>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8E840E"/>
  <w15:docId w15:val="{4AAAF116-9E6E-4D19-8DB0-EFC35B55F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lsdException w:name="heading 4" w:semiHidden="1" w:uiPriority="9" w:unhideWhenUsed="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693CA3"/>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nhideWhenUsed/>
    <w:qFormat/>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7">
    <w:name w:val="heading 7"/>
    <w:basedOn w:val="Normalny"/>
    <w:next w:val="Normalny"/>
    <w:link w:val="Nagwek7Znak"/>
    <w:uiPriority w:val="9"/>
    <w:semiHidden/>
    <w:unhideWhenUsed/>
    <w:qFormat/>
    <w:rsid w:val="009C156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table" w:customStyle="1" w:styleId="Siatkatabelijasna11">
    <w:name w:val="Siatka tabeli — jasna11"/>
    <w:basedOn w:val="Standardowy"/>
    <w:uiPriority w:val="40"/>
    <w:rsid w:val="0068512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agwek7Znak">
    <w:name w:val="Nagłówek 7 Znak"/>
    <w:basedOn w:val="Domylnaczcionkaakapitu"/>
    <w:link w:val="Nagwek7"/>
    <w:uiPriority w:val="9"/>
    <w:semiHidden/>
    <w:rsid w:val="009C156D"/>
    <w:rPr>
      <w:rFonts w:asciiTheme="majorHAnsi" w:eastAsiaTheme="majorEastAsia" w:hAnsiTheme="majorHAnsi" w:cstheme="majorBidi"/>
      <w:i/>
      <w:iCs/>
      <w:color w:val="1F4D78" w:themeColor="accent1" w:themeShade="7F"/>
      <w:sz w:val="19"/>
    </w:rPr>
  </w:style>
  <w:style w:type="paragraph" w:styleId="NormalnyWeb">
    <w:name w:val="Normal (Web)"/>
    <w:basedOn w:val="Normalny"/>
    <w:uiPriority w:val="99"/>
    <w:semiHidden/>
    <w:unhideWhenUsed/>
    <w:rsid w:val="009D50E2"/>
    <w:pPr>
      <w:spacing w:before="100" w:beforeAutospacing="1" w:after="100" w:afterAutospacing="1" w:line="240" w:lineRule="auto"/>
    </w:pPr>
    <w:rPr>
      <w:rFonts w:ascii="Times New Roman" w:eastAsiaTheme="minorEastAsia" w:hAnsi="Times New Roman" w:cs="Times New Roman"/>
      <w:sz w:val="24"/>
      <w:szCs w:val="24"/>
      <w:lang w:eastAsia="pl-PL"/>
    </w:rPr>
  </w:style>
  <w:style w:type="character" w:styleId="UyteHipercze">
    <w:name w:val="FollowedHyperlink"/>
    <w:basedOn w:val="Domylnaczcionkaakapitu"/>
    <w:uiPriority w:val="99"/>
    <w:semiHidden/>
    <w:unhideWhenUsed/>
    <w:rsid w:val="00BE7831"/>
    <w:rPr>
      <w:color w:val="954F72" w:themeColor="followedHyperlink"/>
      <w:u w:val="single"/>
    </w:rPr>
  </w:style>
  <w:style w:type="paragraph" w:styleId="Tekstprzypisukocowego">
    <w:name w:val="endnote text"/>
    <w:basedOn w:val="Normalny"/>
    <w:link w:val="TekstprzypisukocowegoZnak"/>
    <w:uiPriority w:val="99"/>
    <w:semiHidden/>
    <w:unhideWhenUsed/>
    <w:rsid w:val="004160D3"/>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160D3"/>
    <w:rPr>
      <w:rFonts w:ascii="Fira Sans" w:hAnsi="Fira Sans"/>
      <w:sz w:val="20"/>
      <w:szCs w:val="20"/>
    </w:rPr>
  </w:style>
  <w:style w:type="character" w:styleId="Odwoanieprzypisukocowego">
    <w:name w:val="endnote reference"/>
    <w:basedOn w:val="Domylnaczcionkaakapitu"/>
    <w:uiPriority w:val="99"/>
    <w:semiHidden/>
    <w:unhideWhenUsed/>
    <w:rsid w:val="004160D3"/>
    <w:rPr>
      <w:vertAlign w:val="superscript"/>
    </w:rPr>
  </w:style>
  <w:style w:type="character" w:styleId="Odwoaniedokomentarza">
    <w:name w:val="annotation reference"/>
    <w:basedOn w:val="Domylnaczcionkaakapitu"/>
    <w:uiPriority w:val="99"/>
    <w:semiHidden/>
    <w:unhideWhenUsed/>
    <w:rsid w:val="00AE3D89"/>
    <w:rPr>
      <w:sz w:val="16"/>
      <w:szCs w:val="16"/>
    </w:rPr>
  </w:style>
  <w:style w:type="paragraph" w:styleId="Tekstkomentarza">
    <w:name w:val="annotation text"/>
    <w:basedOn w:val="Normalny"/>
    <w:link w:val="TekstkomentarzaZnak"/>
    <w:uiPriority w:val="99"/>
    <w:semiHidden/>
    <w:unhideWhenUsed/>
    <w:rsid w:val="00AE3D8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E3D89"/>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AE3D89"/>
    <w:rPr>
      <w:b/>
      <w:bCs/>
    </w:rPr>
  </w:style>
  <w:style w:type="character" w:customStyle="1" w:styleId="TematkomentarzaZnak">
    <w:name w:val="Temat komentarza Znak"/>
    <w:basedOn w:val="TekstkomentarzaZnak"/>
    <w:link w:val="Tematkomentarza"/>
    <w:uiPriority w:val="99"/>
    <w:semiHidden/>
    <w:rsid w:val="00AE3D89"/>
    <w:rPr>
      <w:rFonts w:ascii="Fira Sans" w:hAnsi="Fira Sans"/>
      <w:b/>
      <w:bCs/>
      <w:sz w:val="20"/>
      <w:szCs w:val="20"/>
    </w:rPr>
  </w:style>
  <w:style w:type="character" w:customStyle="1" w:styleId="e24kjd">
    <w:name w:val="e24kjd"/>
    <w:basedOn w:val="Domylnaczcionkaakapitu"/>
    <w:rsid w:val="000E7917"/>
  </w:style>
  <w:style w:type="paragraph" w:styleId="Poprawka">
    <w:name w:val="Revision"/>
    <w:hidden/>
    <w:uiPriority w:val="99"/>
    <w:semiHidden/>
    <w:rsid w:val="00531957"/>
    <w:pPr>
      <w:spacing w:after="0" w:line="240" w:lineRule="auto"/>
    </w:pPr>
    <w:rPr>
      <w:rFonts w:ascii="Fira Sans" w:hAnsi="Fira Sans"/>
      <w:sz w:val="19"/>
    </w:rPr>
  </w:style>
  <w:style w:type="character" w:customStyle="1" w:styleId="Nierozpoznanawzmianka1">
    <w:name w:val="Nierozpoznana wzmianka1"/>
    <w:basedOn w:val="Domylnaczcionkaakapitu"/>
    <w:uiPriority w:val="99"/>
    <w:semiHidden/>
    <w:unhideWhenUsed/>
    <w:rsid w:val="00F418EF"/>
    <w:rPr>
      <w:color w:val="605E5C"/>
      <w:shd w:val="clear" w:color="auto" w:fill="E1DFDD"/>
    </w:rPr>
  </w:style>
  <w:style w:type="paragraph" w:styleId="Zwykytekst">
    <w:name w:val="Plain Text"/>
    <w:basedOn w:val="Normalny"/>
    <w:link w:val="ZwykytekstZnak"/>
    <w:uiPriority w:val="99"/>
    <w:unhideWhenUsed/>
    <w:rsid w:val="00A16213"/>
    <w:pPr>
      <w:spacing w:before="0" w:after="0" w:line="240" w:lineRule="auto"/>
    </w:pPr>
    <w:rPr>
      <w:rFonts w:ascii="Calibri" w:hAnsi="Calibri"/>
      <w:sz w:val="22"/>
      <w:szCs w:val="21"/>
    </w:rPr>
  </w:style>
  <w:style w:type="character" w:customStyle="1" w:styleId="ZwykytekstZnak">
    <w:name w:val="Zwykły tekst Znak"/>
    <w:basedOn w:val="Domylnaczcionkaakapitu"/>
    <w:link w:val="Zwykytekst"/>
    <w:uiPriority w:val="99"/>
    <w:rsid w:val="00A16213"/>
    <w:rPr>
      <w:rFonts w:ascii="Calibri" w:hAnsi="Calibri"/>
      <w:szCs w:val="21"/>
    </w:rPr>
  </w:style>
  <w:style w:type="paragraph" w:customStyle="1" w:styleId="Ikonawskanika">
    <w:name w:val="Ikona wskaźnika"/>
    <w:basedOn w:val="Normalny"/>
    <w:link w:val="IkonawskanikaZnak"/>
    <w:qFormat/>
    <w:rsid w:val="00731532"/>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IkonawskanikaZnak">
    <w:name w:val="Ikona wskaźnika Znak"/>
    <w:basedOn w:val="Domylnaczcionkaakapitu"/>
    <w:link w:val="Ikonawskanika"/>
    <w:rsid w:val="00731532"/>
    <w:rPr>
      <w:rFonts w:ascii="Fira Sans SemiBold" w:hAnsi="Fira Sans SemiBold"/>
      <w:color w:val="66AFDE"/>
      <w:sz w:val="60"/>
      <w:szCs w:val="60"/>
    </w:rPr>
  </w:style>
  <w:style w:type="character" w:customStyle="1" w:styleId="Nierozpoznanawzmianka2">
    <w:name w:val="Nierozpoznana wzmianka2"/>
    <w:basedOn w:val="Domylnaczcionkaakapitu"/>
    <w:uiPriority w:val="99"/>
    <w:semiHidden/>
    <w:unhideWhenUsed/>
    <w:rsid w:val="006833D0"/>
    <w:rPr>
      <w:color w:val="605E5C"/>
      <w:shd w:val="clear" w:color="auto" w:fill="E1DFDD"/>
    </w:rPr>
  </w:style>
  <w:style w:type="character" w:customStyle="1" w:styleId="Nierozpoznanawzmianka3">
    <w:name w:val="Nierozpoznana wzmianka3"/>
    <w:basedOn w:val="Domylnaczcionkaakapitu"/>
    <w:uiPriority w:val="99"/>
    <w:semiHidden/>
    <w:unhideWhenUsed/>
    <w:rsid w:val="00FC5439"/>
    <w:rPr>
      <w:color w:val="605E5C"/>
      <w:shd w:val="clear" w:color="auto" w:fill="E1DFDD"/>
    </w:rPr>
  </w:style>
  <w:style w:type="character" w:customStyle="1" w:styleId="Nierozpoznanawzmianka4">
    <w:name w:val="Nierozpoznana wzmianka4"/>
    <w:basedOn w:val="Domylnaczcionkaakapitu"/>
    <w:uiPriority w:val="99"/>
    <w:semiHidden/>
    <w:unhideWhenUsed/>
    <w:rsid w:val="008213F1"/>
    <w:rPr>
      <w:color w:val="605E5C"/>
      <w:shd w:val="clear" w:color="auto" w:fill="E1DFDD"/>
    </w:rPr>
  </w:style>
  <w:style w:type="character" w:customStyle="1" w:styleId="Nierozpoznanawzmianka5">
    <w:name w:val="Nierozpoznana wzmianka5"/>
    <w:basedOn w:val="Domylnaczcionkaakapitu"/>
    <w:uiPriority w:val="99"/>
    <w:semiHidden/>
    <w:unhideWhenUsed/>
    <w:rsid w:val="00A4443C"/>
    <w:rPr>
      <w:color w:val="605E5C"/>
      <w:shd w:val="clear" w:color="auto" w:fill="E1DFDD"/>
    </w:rPr>
  </w:style>
  <w:style w:type="character" w:customStyle="1" w:styleId="Nierozpoznanawzmianka6">
    <w:name w:val="Nierozpoznana wzmianka6"/>
    <w:basedOn w:val="Domylnaczcionkaakapitu"/>
    <w:uiPriority w:val="99"/>
    <w:semiHidden/>
    <w:unhideWhenUsed/>
    <w:rsid w:val="00964346"/>
    <w:rPr>
      <w:color w:val="605E5C"/>
      <w:shd w:val="clear" w:color="auto" w:fill="E1DFDD"/>
    </w:rPr>
  </w:style>
  <w:style w:type="character" w:styleId="Nierozpoznanawzmianka">
    <w:name w:val="Unresolved Mention"/>
    <w:basedOn w:val="Domylnaczcionkaakapitu"/>
    <w:uiPriority w:val="99"/>
    <w:semiHidden/>
    <w:unhideWhenUsed/>
    <w:rsid w:val="001E6E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11023">
      <w:bodyDiv w:val="1"/>
      <w:marLeft w:val="0"/>
      <w:marRight w:val="0"/>
      <w:marTop w:val="0"/>
      <w:marBottom w:val="0"/>
      <w:divBdr>
        <w:top w:val="none" w:sz="0" w:space="0" w:color="auto"/>
        <w:left w:val="none" w:sz="0" w:space="0" w:color="auto"/>
        <w:bottom w:val="none" w:sz="0" w:space="0" w:color="auto"/>
        <w:right w:val="none" w:sz="0" w:space="0" w:color="auto"/>
      </w:divBdr>
    </w:div>
    <w:div w:id="211698313">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43623176">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99066925">
      <w:bodyDiv w:val="1"/>
      <w:marLeft w:val="0"/>
      <w:marRight w:val="0"/>
      <w:marTop w:val="0"/>
      <w:marBottom w:val="0"/>
      <w:divBdr>
        <w:top w:val="none" w:sz="0" w:space="0" w:color="auto"/>
        <w:left w:val="none" w:sz="0" w:space="0" w:color="auto"/>
        <w:bottom w:val="none" w:sz="0" w:space="0" w:color="auto"/>
        <w:right w:val="none" w:sz="0" w:space="0" w:color="auto"/>
      </w:divBdr>
    </w:div>
    <w:div w:id="711229171">
      <w:bodyDiv w:val="1"/>
      <w:marLeft w:val="0"/>
      <w:marRight w:val="0"/>
      <w:marTop w:val="0"/>
      <w:marBottom w:val="0"/>
      <w:divBdr>
        <w:top w:val="none" w:sz="0" w:space="0" w:color="auto"/>
        <w:left w:val="none" w:sz="0" w:space="0" w:color="auto"/>
        <w:bottom w:val="none" w:sz="0" w:space="0" w:color="auto"/>
        <w:right w:val="none" w:sz="0" w:space="0" w:color="auto"/>
      </w:divBdr>
    </w:div>
    <w:div w:id="8053177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598633694">
      <w:bodyDiv w:val="1"/>
      <w:marLeft w:val="0"/>
      <w:marRight w:val="0"/>
      <w:marTop w:val="0"/>
      <w:marBottom w:val="0"/>
      <w:divBdr>
        <w:top w:val="none" w:sz="0" w:space="0" w:color="auto"/>
        <w:left w:val="none" w:sz="0" w:space="0" w:color="auto"/>
        <w:bottom w:val="none" w:sz="0" w:space="0" w:color="auto"/>
        <w:right w:val="none" w:sz="0" w:space="0" w:color="auto"/>
      </w:divBdr>
    </w:div>
    <w:div w:id="1667436098">
      <w:bodyDiv w:val="1"/>
      <w:marLeft w:val="0"/>
      <w:marRight w:val="0"/>
      <w:marTop w:val="0"/>
      <w:marBottom w:val="0"/>
      <w:divBdr>
        <w:top w:val="none" w:sz="0" w:space="0" w:color="auto"/>
        <w:left w:val="none" w:sz="0" w:space="0" w:color="auto"/>
        <w:bottom w:val="none" w:sz="0" w:space="0" w:color="auto"/>
        <w:right w:val="none" w:sz="0" w:space="0" w:color="auto"/>
      </w:divBdr>
    </w:div>
    <w:div w:id="1876384509">
      <w:bodyDiv w:val="1"/>
      <w:marLeft w:val="0"/>
      <w:marRight w:val="0"/>
      <w:marTop w:val="0"/>
      <w:marBottom w:val="0"/>
      <w:divBdr>
        <w:top w:val="none" w:sz="0" w:space="0" w:color="auto"/>
        <w:left w:val="none" w:sz="0" w:space="0" w:color="auto"/>
        <w:bottom w:val="none" w:sz="0" w:space="0" w:color="auto"/>
        <w:right w:val="none" w:sz="0" w:space="0" w:color="auto"/>
      </w:divBdr>
    </w:div>
    <w:div w:id="187951454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44086470">
      <w:bodyDiv w:val="1"/>
      <w:marLeft w:val="0"/>
      <w:marRight w:val="0"/>
      <w:marTop w:val="0"/>
      <w:marBottom w:val="0"/>
      <w:divBdr>
        <w:top w:val="none" w:sz="0" w:space="0" w:color="auto"/>
        <w:left w:val="none" w:sz="0" w:space="0" w:color="auto"/>
        <w:bottom w:val="none" w:sz="0" w:space="0" w:color="auto"/>
        <w:right w:val="none" w:sz="0" w:space="0" w:color="auto"/>
      </w:divBdr>
    </w:div>
    <w:div w:id="2099330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obslugaprasowa@stat.gov.pl" TargetMode="External"/><Relationship Id="rId21" Type="http://schemas.openxmlformats.org/officeDocument/2006/relationships/chart" Target="charts/chart11.xml"/><Relationship Id="rId42" Type="http://schemas.openxmlformats.org/officeDocument/2006/relationships/hyperlink" Target="https://stat.gov.pl/obszary-tematyczne/warunki-zycia/dochody-wydatki-i-warunki-zycia-ludnosci/sytuacja-gospodarstw-domowych-w-2023-r-w-swietle-badania-budzetow-gospodarstw-domowych,3,23.html" TargetMode="External"/><Relationship Id="rId47" Type="http://schemas.openxmlformats.org/officeDocument/2006/relationships/hyperlink" Target="https://www.ipiss.com.pl/pion-badawczy-polityki-spolecznej/wysokosc-minimum-egzystencji/" TargetMode="External"/><Relationship Id="rId63" Type="http://schemas.openxmlformats.org/officeDocument/2006/relationships/hyperlink" Target="https://www.ipiss.com.pl/pion-badawczy-polityki-spolecznej/wysokosc-minimum-egzystencji/" TargetMode="External"/><Relationship Id="rId68" Type="http://schemas.openxmlformats.org/officeDocument/2006/relationships/hyperlink" Target="http://stat.gov.pl/metainformacje/slownik-pojec/pojecia-stosowane-w-statystyce-publicznej/3214,pojecie.html" TargetMode="External"/><Relationship Id="rId2" Type="http://schemas.openxmlformats.org/officeDocument/2006/relationships/customXml" Target="../customXml/item2.xml"/><Relationship Id="rId16" Type="http://schemas.openxmlformats.org/officeDocument/2006/relationships/chart" Target="charts/chart6.xml"/><Relationship Id="rId29" Type="http://schemas.openxmlformats.org/officeDocument/2006/relationships/image" Target="media/image3.png"/><Relationship Id="rId11" Type="http://schemas.openxmlformats.org/officeDocument/2006/relationships/chart" Target="charts/chart1.xml"/><Relationship Id="rId24" Type="http://schemas.openxmlformats.org/officeDocument/2006/relationships/header" Target="header2.xml"/><Relationship Id="rId32" Type="http://schemas.openxmlformats.org/officeDocument/2006/relationships/image" Target="media/image4.png"/><Relationship Id="rId37" Type="http://schemas.openxmlformats.org/officeDocument/2006/relationships/hyperlink" Target="https://www.linkedin.com/company/glownyurzadstatystyczny/" TargetMode="External"/><Relationship Id="rId40" Type="http://schemas.openxmlformats.org/officeDocument/2006/relationships/hyperlink" Target="https://stat.gov.pl/obszary-tematyczne/warunki-zycia/ubostwo-pomoc-spoleczna/zasieg-zagrozenia-ubostwem-ekonomicznym-w-polsce-w-2024-r-,14,12.html" TargetMode="External"/><Relationship Id="rId45" Type="http://schemas.openxmlformats.org/officeDocument/2006/relationships/hyperlink" Target="https://stat.gov.pl/obszary-tematyczne/warunki-zycia/dochody-wydatki-i-warunki-zycia-ludnosci/dochody-i-warunki-zycia-ludnosci-polski-raport-z-badania-eu-silc-2024,6,18.html" TargetMode="External"/><Relationship Id="rId53" Type="http://schemas.openxmlformats.org/officeDocument/2006/relationships/hyperlink" Target="http://stat.gov.pl/metainformacje/slownik-pojec/pojecia-stosowane-w-statystyce-publicznej/3215,pojecie.html" TargetMode="External"/><Relationship Id="rId58" Type="http://schemas.openxmlformats.org/officeDocument/2006/relationships/hyperlink" Target="https://stat.gov.pl/obszary-tematyczne/warunki-zycia/dochody-wydatki-i-warunki-zycia-ludnosci/sytuacja-gospodarstw-domowych-w-2023-r-w-swietle-badania-budzetow-gospodarstw-domowych,3,23.html" TargetMode="External"/><Relationship Id="rId66" Type="http://schemas.openxmlformats.org/officeDocument/2006/relationships/hyperlink" Target="http://swaid.stat.gov.pl/WarunkiZyciaLudnosci_dashboards/Raporty_predefiniowane/RAP_DBD_WZL_10.aspx" TargetMode="External"/><Relationship Id="rId74"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stat.gov.pl/obszary-tematyczne/warunki-zycia/dochody-wydatki-i-warunki-zycia-ludnosci/dochody-i-warunki-zycia-ludnosci-polski-raport-z-badania-eu-silc-2024,6,18.html" TargetMode="External"/><Relationship Id="rId19" Type="http://schemas.openxmlformats.org/officeDocument/2006/relationships/chart" Target="charts/chart9.xml"/><Relationship Id="rId14" Type="http://schemas.openxmlformats.org/officeDocument/2006/relationships/chart" Target="charts/chart4.xml"/><Relationship Id="rId22" Type="http://schemas.openxmlformats.org/officeDocument/2006/relationships/header" Target="header1.xml"/><Relationship Id="rId27" Type="http://schemas.openxmlformats.org/officeDocument/2006/relationships/image" Target="media/image2.png"/><Relationship Id="rId30" Type="http://schemas.openxmlformats.org/officeDocument/2006/relationships/hyperlink" Target="https://x.com/GUS_STAT" TargetMode="External"/><Relationship Id="rId35" Type="http://schemas.openxmlformats.org/officeDocument/2006/relationships/image" Target="media/image6.png"/><Relationship Id="rId43" Type="http://schemas.openxmlformats.org/officeDocument/2006/relationships/hyperlink" Target="https://stat.gov.pl/obszary-tematyczne/warunki-zycia/dochody-wydatki-i-warunki-zycia-ludnosci/sytuacja-gospodarstw-domowych-w-2024-r-w-swietle-badania-budzetow-gospodarstw-domowych,3,24.html" TargetMode="External"/><Relationship Id="rId48" Type="http://schemas.openxmlformats.org/officeDocument/2006/relationships/hyperlink" Target="https://www.ipiss.com.pl/pion-badawczy-polityki-spolecznej/wysokosc-minimum-socjalnego/" TargetMode="External"/><Relationship Id="rId56" Type="http://schemas.openxmlformats.org/officeDocument/2006/relationships/hyperlink" Target="https://stat.gov.pl/obszary-tematyczne/warunki-zycia/ubostwo-pomoc-spoleczna/zasieg-zagrozenia-ubostwem-ekonomicznym-w-polsce-w-2024-r-,14,12.html" TargetMode="External"/><Relationship Id="rId64" Type="http://schemas.openxmlformats.org/officeDocument/2006/relationships/hyperlink" Target="https://www.ipiss.com.pl/pion-badawczy-polityki-spolecznej/wysokosc-minimum-socjalnego/" TargetMode="External"/><Relationship Id="rId69" Type="http://schemas.openxmlformats.org/officeDocument/2006/relationships/hyperlink" Target="http://stat.gov.pl/metainformacje/slownik-pojec/pojecia-stosowane-w-statystyce-publicznej/3215,pojecie.html" TargetMode="External"/><Relationship Id="rId8" Type="http://schemas.openxmlformats.org/officeDocument/2006/relationships/webSettings" Target="webSettings.xml"/><Relationship Id="rId51" Type="http://schemas.openxmlformats.org/officeDocument/2006/relationships/hyperlink" Target="http://swaid.stat.gov.pl/WarunkiZyciaLudnosci_dashboards/Raporty_predefiniowane/RAP_DBD_WZL_11.aspx" TargetMode="External"/><Relationship Id="rId72"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footer" Target="footer2.xml"/><Relationship Id="rId33" Type="http://schemas.openxmlformats.org/officeDocument/2006/relationships/image" Target="media/image5.png"/><Relationship Id="rId38" Type="http://schemas.openxmlformats.org/officeDocument/2006/relationships/image" Target="media/image7.png"/><Relationship Id="rId46" Type="http://schemas.openxmlformats.org/officeDocument/2006/relationships/hyperlink" Target="https://www.ipiss.com.pl/pion-badawczy-polityki-spolecznej/o-minimum-socjalnym-i-minimum-egzystencji/" TargetMode="External"/><Relationship Id="rId59" Type="http://schemas.openxmlformats.org/officeDocument/2006/relationships/hyperlink" Target="https://stat.gov.pl/obszary-tematyczne/warunki-zycia/dochody-wydatki-i-warunki-zycia-ludnosci/sytuacja-gospodarstw-domowych-w-2024-r-w-swietle-badania-budzetow-gospodarstw-domowych,3,24.html" TargetMode="External"/><Relationship Id="rId67" Type="http://schemas.openxmlformats.org/officeDocument/2006/relationships/hyperlink" Target="http://swaid.stat.gov.pl/WarunkiZyciaLudnosci_dashboards/Raporty_predefiniowane/RAP_DBD_WZL_11.aspx" TargetMode="External"/><Relationship Id="rId20" Type="http://schemas.openxmlformats.org/officeDocument/2006/relationships/chart" Target="charts/chart10.xml"/><Relationship Id="rId41" Type="http://schemas.openxmlformats.org/officeDocument/2006/relationships/hyperlink" Target="https://stat.gov.pl/obszary-tematyczne/warunki-zycia/ubostwo-pomoc-spoleczna/postrzeganie-ubostwa-i-nierownosci-dochodowych-w-polsce-wyniki-badania-spojnosci-spolecznej-2018,22,1.html" TargetMode="External"/><Relationship Id="rId54" Type="http://schemas.openxmlformats.org/officeDocument/2006/relationships/hyperlink" Target="http://stat.gov.pl/metainformacje/slownik-pojec/pojecia-stosowane-w-statystyce-publicznej/3217,pojecie.html" TargetMode="External"/><Relationship Id="rId62" Type="http://schemas.openxmlformats.org/officeDocument/2006/relationships/hyperlink" Target="https://www.ipiss.com.pl/pion-badawczy-polityki-spolecznej/o-minimum-socjalnym-i-minimum-egzystencji/" TargetMode="External"/><Relationship Id="rId70" Type="http://schemas.openxmlformats.org/officeDocument/2006/relationships/hyperlink" Target="http://stat.gov.pl/metainformacje/slownik-pojec/pojecia-stosowane-w-statystyce-publicznej/3217,pojecie.html"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5.xml"/><Relationship Id="rId23" Type="http://schemas.openxmlformats.org/officeDocument/2006/relationships/footer" Target="footer1.xml"/><Relationship Id="rId28" Type="http://schemas.openxmlformats.org/officeDocument/2006/relationships/hyperlink" Target="https://new.stat.gov.pl/" TargetMode="External"/><Relationship Id="rId36" Type="http://schemas.openxmlformats.org/officeDocument/2006/relationships/hyperlink" Target="https://youtube.com/@glownyurzadstatystycznygus?si=IgHa1awoYniiJyQI" TargetMode="External"/><Relationship Id="rId49" Type="http://schemas.openxmlformats.org/officeDocument/2006/relationships/hyperlink" Target="https://bdl.stat.gov.pl/BDL/metadane/cechy/2713?back=True" TargetMode="External"/><Relationship Id="rId57" Type="http://schemas.openxmlformats.org/officeDocument/2006/relationships/hyperlink" Target="https://stat.gov.pl/obszary-tematyczne/warunki-zycia/ubostwo-pomoc-spoleczna/postrzeganie-ubostwa-i-nierownosci-dochodowych-w-polsce-wyniki-badania-spojnosci-spolecznej-2018,22,1.html" TargetMode="External"/><Relationship Id="rId10" Type="http://schemas.openxmlformats.org/officeDocument/2006/relationships/endnotes" Target="endnotes.xml"/><Relationship Id="rId31" Type="http://schemas.openxmlformats.org/officeDocument/2006/relationships/hyperlink" Target="https://www.facebook.com/GlownyUrzadStatystyczny" TargetMode="External"/><Relationship Id="rId44" Type="http://schemas.openxmlformats.org/officeDocument/2006/relationships/hyperlink" Target="https://stat.gov.pl/obszary-tematyczne/warunki-zycia/dochody-wydatki-i-warunki-zycia-ludnosci/dochody-i-warunki-zycia-ludnosci-polski-raport-z-badania-eu-silc-2022,6,16.html" TargetMode="External"/><Relationship Id="rId52" Type="http://schemas.openxmlformats.org/officeDocument/2006/relationships/hyperlink" Target="http://stat.gov.pl/metainformacje/slownik-pojec/pojecia-stosowane-w-statystyce-publicznej/3214,pojecie.html" TargetMode="External"/><Relationship Id="rId60" Type="http://schemas.openxmlformats.org/officeDocument/2006/relationships/hyperlink" Target="https://stat.gov.pl/obszary-tematyczne/warunki-zycia/dochody-wydatki-i-warunki-zycia-ludnosci/dochody-i-warunki-zycia-ludnosci-polski-raport-z-badania-eu-silc-2022,6,16.html" TargetMode="External"/><Relationship Id="rId65" Type="http://schemas.openxmlformats.org/officeDocument/2006/relationships/hyperlink" Target="https://bdl.stat.gov.pl/BDL/metadane/cechy/2713?back=True"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chart" Target="charts/chart3.xml"/><Relationship Id="rId18" Type="http://schemas.openxmlformats.org/officeDocument/2006/relationships/chart" Target="charts/chart8.xml"/><Relationship Id="rId39" Type="http://schemas.openxmlformats.org/officeDocument/2006/relationships/hyperlink" Target="https://stat.gov.pl/obszary-tematyczne/warunki-zycia/ubostwo-pomoc-spoleczna/zasieg-ubostwa-ekonomicznego-w-polsce-w-2023-roku,14,11.html" TargetMode="External"/><Relationship Id="rId34" Type="http://schemas.openxmlformats.org/officeDocument/2006/relationships/hyperlink" Target="https://www.instagram.com/gus_stat/?next" TargetMode="External"/><Relationship Id="rId50" Type="http://schemas.openxmlformats.org/officeDocument/2006/relationships/hyperlink" Target="http://swaid.stat.gov.pl/WarunkiZyciaLudnosci_dashboards/Raporty_predefiniowane/RAP_DBD_WZL_10.aspx" TargetMode="External"/><Relationship Id="rId55" Type="http://schemas.openxmlformats.org/officeDocument/2006/relationships/hyperlink" Target="https://stat.gov.pl/obszary-tematyczne/warunki-zycia/ubostwo-pomoc-spoleczna/zasieg-ubostwa-ekonomicznego-w-polsce-w-2023-roku,14,11.html" TargetMode="External"/><Relationship Id="rId7" Type="http://schemas.openxmlformats.org/officeDocument/2006/relationships/settings" Target="settings.xml"/><Relationship Id="rId71"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www.ipiss.com.pl/pion-badawczy-polityki-spolecznej/o-minimum-socjalnym-i-minimum-egzystencji/" TargetMode="External"/><Relationship Id="rId2" Type="http://schemas.openxmlformats.org/officeDocument/2006/relationships/hyperlink" Target="https://www.ipiss.com.pl/pion-badawczy-polityki-spolecznej/wysokosc-minimum-egzystencji/" TargetMode="External"/><Relationship Id="rId1" Type="http://schemas.openxmlformats.org/officeDocument/2006/relationships/hyperlink" Target="https://www.ipiss.com.pl/pion-badawczy-polityki-spolecznej/o-minimum-socjalnym-i-minimum-egzystencji/" TargetMode="External"/><Relationship Id="rId4" Type="http://schemas.openxmlformats.org/officeDocument/2006/relationships/hyperlink" Target="https://www.ipiss.com.pl/pion-badawczy-polityki-spolecznej/wysokosc-minimum-socjalneg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zwierzchowskij\Desktop\notka%20ub&#243;stwo\zasieg_zagrozenia_ubostwem_ekonomicznym_w_polsce_w_2025_r._wykresy.xlsx" TargetMode="External"/></Relationships>
</file>

<file path=word/charts/_rels/chart10.xml.rels><?xml version="1.0" encoding="UTF-8" standalone="yes"?>
<Relationships xmlns="http://schemas.openxmlformats.org/package/2006/relationships"><Relationship Id="rId2" Type="http://schemas.openxmlformats.org/officeDocument/2006/relationships/oleObject" Target="file:///C:\Users\zwierzchowskij\AppData\Local\Microsoft\Windows\INetCache\Content.Outlook\FQVTRTQN\13.05_zasieg_zagrozenia_ubostwem_ekonomicznym_w_polsce_w_2025_r._wykresy.xlsx" TargetMode="External"/><Relationship Id="rId1" Type="http://schemas.openxmlformats.org/officeDocument/2006/relationships/themeOverride" Target="../theme/themeOverride4.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zwierzchowskij\Desktop\notka%20ub&#243;stwo\zasieg_zagrozenia_ubostwem_ekonomicznym_w_polsce_w_2025_r._wykresy.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C:\Users\zwierzchowskij\Desktop\notka%20ub&#243;stwo\zasieg_zagrozenia_ubostwem_ekonomicznym_w_polsce_w_2025_r._wykresy.xlsx"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file:///C:\Users\zwierzchowskij\Desktop\notka%20ub&#243;stwo\zasieg_zagrozenia_ubostwem_ekonomicznym_w_polsce_w_2025_r._wykresy.xlsx"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Users\zwierzchowskij\Desktop\notka%20ub&#243;stwo\zasieg_zagrozenia_ubostwem_ekonomicznym_w_polsce_w_2025_r._wykresy.xlsx" TargetMode="Externa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oleObject" Target="file:///C:\Users\zwierzchowskij\Desktop\notka%20ub&#243;stwo\zasieg_zagrozenia_ubostwem_ekonomicznym_w_polsce_w_2025_r._wykresy.xlsx" TargetMode="External"/><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C:\Users\zwierzchowskij\Desktop\notka%20ub&#243;stwo\zasieg_zagrozenia_ubostwem_ekonomicznym_w_polsce_w_2025_r._wykresy.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zwierzchowskij\Desktop\notka%20ub&#243;stwo\Notka%202025\zasieg_zagrozenia_ubostwem_ekonomicznym_w_polsce_w_2025_r._wykresy.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zwierzchowskij\Desktop\notka%20ub&#243;stwo\zasieg_zagrozenia_ubostwem_ekonomicznym_w_polsce_w_2025_r._wykresy.xlsx"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C:\Users\zwierzchowskij\Desktop\notka%20ub&#243;stwo\zasieg_zagrozenia_ubostwem_ekonomicznym_w_polsce_w_2025_r._wykres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9487645631049662E-2"/>
          <c:y val="5.639450606835452E-2"/>
          <c:w val="0.88576051469176109"/>
          <c:h val="0.73719846110977882"/>
        </c:manualLayout>
      </c:layout>
      <c:lineChart>
        <c:grouping val="standard"/>
        <c:varyColors val="0"/>
        <c:ser>
          <c:idx val="0"/>
          <c:order val="0"/>
          <c:tx>
            <c:strRef>
              <c:f>'wykr 1'!$A$3</c:f>
              <c:strCache>
                <c:ptCount val="1"/>
                <c:pt idx="0">
                  <c:v>ubóstwo skrajne (minimum egzystencji)</c:v>
                </c:pt>
              </c:strCache>
            </c:strRef>
          </c:tx>
          <c:spPr>
            <a:ln w="25400">
              <a:solidFill>
                <a:srgbClr val="001D77"/>
              </a:solidFill>
            </a:ln>
          </c:spPr>
          <c:marker>
            <c:symbol val="diamond"/>
            <c:size val="5"/>
          </c:marker>
          <c:dLbls>
            <c:dLbl>
              <c:idx val="1"/>
              <c:layout>
                <c:manualLayout>
                  <c:x val="-3.172797896358158E-2"/>
                  <c:y val="-5.86538461538462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912-47B6-B93A-9ECC2722A37A}"/>
                </c:ext>
              </c:extLst>
            </c:dLbl>
            <c:dLbl>
              <c:idx val="13"/>
              <c:layout>
                <c:manualLayout>
                  <c:x val="-3.7262923019710022E-2"/>
                  <c:y val="-5.76923076923076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B3E-4A63-B220-A103824C9FC2}"/>
                </c:ext>
              </c:extLst>
            </c:dLbl>
            <c:dLbl>
              <c:idx val="14"/>
              <c:layout>
                <c:manualLayout>
                  <c:x val="-3.3915953886203047E-2"/>
                  <c:y val="-5.2884615384615384E-2"/>
                </c:manualLayout>
              </c:layout>
              <c:spPr>
                <a:noFill/>
                <a:ln>
                  <a:noFill/>
                </a:ln>
                <a:effectLst/>
              </c:spPr>
              <c:txPr>
                <a:bodyPr wrap="square" lIns="38100" tIns="19050" rIns="38100" bIns="19050" anchor="ctr">
                  <a:noAutofit/>
                </a:bodyPr>
                <a:lstStyle/>
                <a:p>
                  <a:pPr>
                    <a:defRPr sz="800"/>
                  </a:pPr>
                  <a:endParaRPr lang="pl-PL"/>
                </a:p>
              </c:txPr>
              <c:dLblPos val="r"/>
              <c:showLegendKey val="0"/>
              <c:showVal val="1"/>
              <c:showCatName val="0"/>
              <c:showSerName val="0"/>
              <c:showPercent val="0"/>
              <c:showBubbleSize val="0"/>
              <c:extLst>
                <c:ext xmlns:c15="http://schemas.microsoft.com/office/drawing/2012/chart" uri="{CE6537A1-D6FC-4f65-9D91-7224C49458BB}">
                  <c15:layout>
                    <c:manualLayout>
                      <c:w val="4.5518780215693569E-2"/>
                      <c:h val="9.1346153846153841E-2"/>
                    </c:manualLayout>
                  </c15:layout>
                </c:ext>
                <c:ext xmlns:c16="http://schemas.microsoft.com/office/drawing/2014/chart" uri="{C3380CC4-5D6E-409C-BE32-E72D297353CC}">
                  <c16:uniqueId val="{00000001-1B3E-4A63-B220-A103824C9FC2}"/>
                </c:ext>
              </c:extLst>
            </c:dLbl>
            <c:spPr>
              <a:noFill/>
              <a:ln>
                <a:noFill/>
              </a:ln>
              <a:effectLst/>
            </c:spPr>
            <c:txPr>
              <a:bodyPr wrap="square" lIns="38100" tIns="19050" rIns="38100" bIns="19050" anchor="ctr">
                <a:spAutoFit/>
              </a:bodyPr>
              <a:lstStyle/>
              <a:p>
                <a:pPr>
                  <a:defRPr sz="800"/>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'wykr 1'!$B$2:$Q$2</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'wykr 1'!$B$3:$Q$3</c:f>
              <c:numCache>
                <c:formatCode>General</c:formatCode>
                <c:ptCount val="16"/>
                <c:pt idx="0">
                  <c:v>5.8</c:v>
                </c:pt>
                <c:pt idx="1">
                  <c:v>6.8</c:v>
                </c:pt>
                <c:pt idx="2">
                  <c:v>6.8</c:v>
                </c:pt>
                <c:pt idx="3">
                  <c:v>7.4</c:v>
                </c:pt>
                <c:pt idx="4">
                  <c:v>7.4</c:v>
                </c:pt>
                <c:pt idx="5">
                  <c:v>6.5</c:v>
                </c:pt>
                <c:pt idx="6">
                  <c:v>4.9000000000000004</c:v>
                </c:pt>
                <c:pt idx="7">
                  <c:v>4.3</c:v>
                </c:pt>
                <c:pt idx="8">
                  <c:v>5.4</c:v>
                </c:pt>
                <c:pt idx="9">
                  <c:v>4.2</c:v>
                </c:pt>
                <c:pt idx="10">
                  <c:v>5.2</c:v>
                </c:pt>
                <c:pt idx="11">
                  <c:v>4.7</c:v>
                </c:pt>
                <c:pt idx="12">
                  <c:v>4.5999999999999996</c:v>
                </c:pt>
                <c:pt idx="13">
                  <c:v>6.6</c:v>
                </c:pt>
                <c:pt idx="14">
                  <c:v>5.2</c:v>
                </c:pt>
                <c:pt idx="15">
                  <c:v>5.3</c:v>
                </c:pt>
              </c:numCache>
            </c:numRef>
          </c:val>
          <c:smooth val="0"/>
          <c:extLst>
            <c:ext xmlns:c16="http://schemas.microsoft.com/office/drawing/2014/chart" uri="{C3380CC4-5D6E-409C-BE32-E72D297353CC}">
              <c16:uniqueId val="{00000006-3D67-44D4-8737-005D8733CE6A}"/>
            </c:ext>
          </c:extLst>
        </c:ser>
        <c:ser>
          <c:idx val="1"/>
          <c:order val="1"/>
          <c:tx>
            <c:strRef>
              <c:f>'wykr 1'!$A$5</c:f>
              <c:strCache>
                <c:ptCount val="1"/>
                <c:pt idx="0">
                  <c:v>ubóstwo relatywne</c:v>
                </c:pt>
              </c:strCache>
            </c:strRef>
          </c:tx>
          <c:spPr>
            <a:ln w="25400">
              <a:solidFill>
                <a:schemeClr val="tx1">
                  <a:lumMod val="50000"/>
                  <a:lumOff val="50000"/>
                </a:schemeClr>
              </a:solidFill>
            </a:ln>
          </c:spPr>
          <c:marker>
            <c:symbol val="square"/>
            <c:size val="3"/>
          </c:marker>
          <c:dLbls>
            <c:spPr>
              <a:noFill/>
              <a:ln>
                <a:noFill/>
              </a:ln>
              <a:effectLst/>
            </c:spPr>
            <c:txPr>
              <a:bodyPr wrap="square" lIns="38100" tIns="19050" rIns="38100" bIns="19050" anchor="ctr">
                <a:spAutoFit/>
              </a:bodyPr>
              <a:lstStyle/>
              <a:p>
                <a:pPr>
                  <a:defRPr sz="800"/>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'wykr 1'!$B$2:$Q$2</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'wykr 1'!$B$5:$Q$5</c:f>
              <c:numCache>
                <c:formatCode>General</c:formatCode>
                <c:ptCount val="16"/>
                <c:pt idx="0">
                  <c:v>17.399999999999999</c:v>
                </c:pt>
                <c:pt idx="1">
                  <c:v>16.899999999999999</c:v>
                </c:pt>
                <c:pt idx="2">
                  <c:v>16.3</c:v>
                </c:pt>
                <c:pt idx="3">
                  <c:v>16.2</c:v>
                </c:pt>
                <c:pt idx="4">
                  <c:v>16.2</c:v>
                </c:pt>
                <c:pt idx="5">
                  <c:v>15.5</c:v>
                </c:pt>
                <c:pt idx="6">
                  <c:v>13.9</c:v>
                </c:pt>
                <c:pt idx="7">
                  <c:v>13.4</c:v>
                </c:pt>
                <c:pt idx="8">
                  <c:v>14.2</c:v>
                </c:pt>
                <c:pt idx="9" formatCode="0.0">
                  <c:v>13</c:v>
                </c:pt>
                <c:pt idx="10">
                  <c:v>11.8</c:v>
                </c:pt>
                <c:pt idx="11" formatCode="0.0">
                  <c:v>12.1</c:v>
                </c:pt>
                <c:pt idx="12">
                  <c:v>11.7</c:v>
                </c:pt>
                <c:pt idx="13" formatCode="0.0">
                  <c:v>12.2</c:v>
                </c:pt>
                <c:pt idx="14">
                  <c:v>13.3</c:v>
                </c:pt>
                <c:pt idx="15" formatCode="0.0">
                  <c:v>13.5</c:v>
                </c:pt>
              </c:numCache>
            </c:numRef>
          </c:val>
          <c:smooth val="0"/>
          <c:extLst>
            <c:ext xmlns:c16="http://schemas.microsoft.com/office/drawing/2014/chart" uri="{C3380CC4-5D6E-409C-BE32-E72D297353CC}">
              <c16:uniqueId val="{0000000A-3D67-44D4-8737-005D8733CE6A}"/>
            </c:ext>
          </c:extLst>
        </c:ser>
        <c:ser>
          <c:idx val="2"/>
          <c:order val="2"/>
          <c:tx>
            <c:strRef>
              <c:f>'wykr 1'!$A$6</c:f>
              <c:strCache>
                <c:ptCount val="1"/>
                <c:pt idx="0">
                  <c:v>ubóstwo ustawowe</c:v>
                </c:pt>
              </c:strCache>
            </c:strRef>
          </c:tx>
          <c:spPr>
            <a:ln w="25400">
              <a:solidFill>
                <a:srgbClr val="008542"/>
              </a:solidFill>
            </a:ln>
          </c:spPr>
          <c:marker>
            <c:symbol val="triangle"/>
            <c:size val="3"/>
          </c:marker>
          <c:dLbls>
            <c:dLbl>
              <c:idx val="1"/>
              <c:layout>
                <c:manualLayout>
                  <c:x val="-2.6589907946147861E-2"/>
                  <c:y val="5.86538461538461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912-47B6-B93A-9ECC2722A37A}"/>
                </c:ext>
              </c:extLst>
            </c:dLbl>
            <c:dLbl>
              <c:idx val="13"/>
              <c:layout>
                <c:manualLayout>
                  <c:x val="-3.0544192388744267E-2"/>
                  <c:y val="-4.2307692307692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B3E-4A63-B220-A103824C9FC2}"/>
                </c:ext>
              </c:extLst>
            </c:dLbl>
            <c:spPr>
              <a:noFill/>
              <a:ln>
                <a:noFill/>
              </a:ln>
              <a:effectLst/>
            </c:spPr>
            <c:txPr>
              <a:bodyPr wrap="square" lIns="38100" tIns="19050" rIns="38100" bIns="19050" anchor="ctr">
                <a:spAutoFit/>
              </a:bodyPr>
              <a:lstStyle/>
              <a:p>
                <a:pPr>
                  <a:defRPr sz="800"/>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'wykr 1'!$B$2:$Q$2</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'wykr 1'!$B$6:$Q$6</c:f>
              <c:numCache>
                <c:formatCode>General</c:formatCode>
                <c:ptCount val="16"/>
                <c:pt idx="0">
                  <c:v>7.4</c:v>
                </c:pt>
                <c:pt idx="1">
                  <c:v>6.6</c:v>
                </c:pt>
                <c:pt idx="2">
                  <c:v>7.2</c:v>
                </c:pt>
                <c:pt idx="3">
                  <c:v>12.8</c:v>
                </c:pt>
                <c:pt idx="4">
                  <c:v>12.2</c:v>
                </c:pt>
                <c:pt idx="5">
                  <c:v>12.2</c:v>
                </c:pt>
                <c:pt idx="6">
                  <c:v>12.7</c:v>
                </c:pt>
                <c:pt idx="7">
                  <c:v>10.7</c:v>
                </c:pt>
                <c:pt idx="8">
                  <c:v>10.9</c:v>
                </c:pt>
                <c:pt idx="9" formatCode="#\ ##0.0">
                  <c:v>9</c:v>
                </c:pt>
                <c:pt idx="10">
                  <c:v>9.1</c:v>
                </c:pt>
                <c:pt idx="11">
                  <c:v>6.7</c:v>
                </c:pt>
                <c:pt idx="12">
                  <c:v>6.2</c:v>
                </c:pt>
                <c:pt idx="13">
                  <c:v>4.0999999999999996</c:v>
                </c:pt>
                <c:pt idx="14">
                  <c:v>2.6</c:v>
                </c:pt>
                <c:pt idx="15">
                  <c:v>8.1</c:v>
                </c:pt>
              </c:numCache>
            </c:numRef>
          </c:val>
          <c:smooth val="0"/>
          <c:extLst>
            <c:ext xmlns:c16="http://schemas.microsoft.com/office/drawing/2014/chart" uri="{C3380CC4-5D6E-409C-BE32-E72D297353CC}">
              <c16:uniqueId val="{00000019-3D67-44D4-8737-005D8733CE6A}"/>
            </c:ext>
          </c:extLst>
        </c:ser>
        <c:dLbls>
          <c:showLegendKey val="0"/>
          <c:showVal val="0"/>
          <c:showCatName val="0"/>
          <c:showSerName val="0"/>
          <c:showPercent val="0"/>
          <c:showBubbleSize val="0"/>
        </c:dLbls>
        <c:marker val="1"/>
        <c:smooth val="0"/>
        <c:axId val="-900156736"/>
        <c:axId val="-900154560"/>
      </c:lineChart>
      <c:catAx>
        <c:axId val="-900156736"/>
        <c:scaling>
          <c:orientation val="minMax"/>
        </c:scaling>
        <c:delete val="0"/>
        <c:axPos val="b"/>
        <c:numFmt formatCode="General" sourceLinked="1"/>
        <c:majorTickMark val="out"/>
        <c:minorTickMark val="none"/>
        <c:tickLblPos val="nextTo"/>
        <c:txPr>
          <a:bodyPr/>
          <a:lstStyle/>
          <a:p>
            <a:pPr>
              <a:defRPr sz="800"/>
            </a:pPr>
            <a:endParaRPr lang="pl-PL"/>
          </a:p>
        </c:txPr>
        <c:crossAx val="-900154560"/>
        <c:crosses val="autoZero"/>
        <c:auto val="1"/>
        <c:lblAlgn val="ctr"/>
        <c:lblOffset val="100"/>
        <c:noMultiLvlLbl val="0"/>
      </c:catAx>
      <c:valAx>
        <c:axId val="-900154560"/>
        <c:scaling>
          <c:orientation val="minMax"/>
        </c:scaling>
        <c:delete val="0"/>
        <c:axPos val="l"/>
        <c:majorGridlines>
          <c:spPr>
            <a:ln w="3175"/>
          </c:spPr>
        </c:majorGridlines>
        <c:title>
          <c:tx>
            <c:rich>
              <a:bodyPr rot="0" vert="horz"/>
              <a:lstStyle/>
              <a:p>
                <a:pPr>
                  <a:defRPr sz="800" b="0"/>
                </a:pPr>
                <a:r>
                  <a:rPr lang="pl-PL" sz="800" b="0"/>
                  <a:t>%</a:t>
                </a:r>
              </a:p>
            </c:rich>
          </c:tx>
          <c:overlay val="0"/>
        </c:title>
        <c:numFmt formatCode="General" sourceLinked="0"/>
        <c:majorTickMark val="out"/>
        <c:minorTickMark val="none"/>
        <c:tickLblPos val="nextTo"/>
        <c:txPr>
          <a:bodyPr/>
          <a:lstStyle/>
          <a:p>
            <a:pPr>
              <a:defRPr sz="800"/>
            </a:pPr>
            <a:endParaRPr lang="pl-PL"/>
          </a:p>
        </c:txPr>
        <c:crossAx val="-900156736"/>
        <c:crosses val="autoZero"/>
        <c:crossBetween val="between"/>
        <c:majorUnit val="5"/>
      </c:valAx>
    </c:plotArea>
    <c:legend>
      <c:legendPos val="b"/>
      <c:legendEntry>
        <c:idx val="0"/>
        <c:txPr>
          <a:bodyPr/>
          <a:lstStyle/>
          <a:p>
            <a:pPr>
              <a:defRPr sz="800"/>
            </a:pPr>
            <a:endParaRPr lang="pl-PL"/>
          </a:p>
        </c:txPr>
      </c:legendEntry>
      <c:layout>
        <c:manualLayout>
          <c:xMode val="edge"/>
          <c:yMode val="edge"/>
          <c:x val="7.4025234797457547E-3"/>
          <c:y val="0.92090607831253224"/>
          <c:w val="0.98784255130759258"/>
          <c:h val="7.614857138373847E-2"/>
        </c:manualLayout>
      </c:layout>
      <c:overlay val="0"/>
      <c:txPr>
        <a:bodyPr/>
        <a:lstStyle/>
        <a:p>
          <a:pPr>
            <a:defRPr sz="800"/>
          </a:pPr>
          <a:endParaRPr lang="pl-PL"/>
        </a:p>
      </c:txPr>
    </c:legend>
    <c:plotVisOnly val="1"/>
    <c:dispBlanksAs val="gap"/>
    <c:showDLblsOverMax val="0"/>
  </c:chart>
  <c:spPr>
    <a:ln>
      <a:noFill/>
    </a:ln>
  </c:spPr>
  <c:txPr>
    <a:bodyPr/>
    <a:lstStyle/>
    <a:p>
      <a:pPr>
        <a:defRPr>
          <a:latin typeface="Fira Sans" panose="020B0503050000020004" pitchFamily="34" charset="0"/>
          <a:ea typeface="Fira Sans" panose="020B0503050000020004" pitchFamily="34" charset="0"/>
        </a:defRPr>
      </a:pPr>
      <a:endParaRPr lang="pl-PL"/>
    </a:p>
  </c:tx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4159521726450861"/>
          <c:y val="8.3793302432940558E-2"/>
          <c:w val="0.71096948818897643"/>
          <c:h val="0.65847944773485245"/>
        </c:manualLayout>
      </c:layout>
      <c:barChart>
        <c:barDir val="bar"/>
        <c:grouping val="clustered"/>
        <c:varyColors val="0"/>
        <c:ser>
          <c:idx val="1"/>
          <c:order val="1"/>
          <c:tx>
            <c:strRef>
              <c:f>'wykr 10'!$F$4</c:f>
              <c:strCache>
                <c:ptCount val="1"/>
                <c:pt idx="0">
                  <c:v>2024 r.</c:v>
                </c:pt>
              </c:strCache>
            </c:strRef>
          </c:tx>
          <c:spPr>
            <a:solidFill>
              <a:srgbClr val="008542"/>
            </a:solidFill>
          </c:spPr>
          <c:invertIfNegative val="0"/>
          <c:dLbls>
            <c:dLbl>
              <c:idx val="1"/>
              <c:layout>
                <c:manualLayout>
                  <c:x val="-5.0588036128622008E-3"/>
                  <c:y val="-9.8794234050361293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7CE-471C-A1FF-412F3896F53E}"/>
                </c:ext>
              </c:extLst>
            </c:dLbl>
            <c:dLbl>
              <c:idx val="2"/>
              <c:layout>
                <c:manualLayout>
                  <c:x val="-2.7469927064804347E-3"/>
                  <c:y val="-6.729526453096011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7CE-471C-A1FF-412F3896F53E}"/>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'wykr 10'!$D$5:$D$11</c:f>
              <c:strCache>
                <c:ptCount val="7"/>
                <c:pt idx="0">
                  <c:v>Województwo mazowieckie</c:v>
                </c:pt>
                <c:pt idx="1">
                  <c:v>Wschodni</c:v>
                </c:pt>
                <c:pt idx="2">
                  <c:v>Centralny</c:v>
                </c:pt>
                <c:pt idx="3">
                  <c:v>Północny</c:v>
                </c:pt>
                <c:pt idx="4">
                  <c:v>Południowo- zachodni</c:v>
                </c:pt>
                <c:pt idx="5">
                  <c:v>Północno-zachodni</c:v>
                </c:pt>
                <c:pt idx="6">
                  <c:v>Południowy</c:v>
                </c:pt>
              </c:strCache>
            </c:strRef>
          </c:cat>
          <c:val>
            <c:numRef>
              <c:f>'wykr 10'!$F$5:$F$11</c:f>
              <c:numCache>
                <c:formatCode>General</c:formatCode>
                <c:ptCount val="7"/>
                <c:pt idx="0">
                  <c:v>3.6</c:v>
                </c:pt>
                <c:pt idx="1">
                  <c:v>6.2</c:v>
                </c:pt>
                <c:pt idx="2">
                  <c:v>8.1</c:v>
                </c:pt>
                <c:pt idx="3">
                  <c:v>3.8</c:v>
                </c:pt>
                <c:pt idx="4">
                  <c:v>2.7</c:v>
                </c:pt>
                <c:pt idx="5">
                  <c:v>4.0999999999999996</c:v>
                </c:pt>
                <c:pt idx="6">
                  <c:v>7.1</c:v>
                </c:pt>
              </c:numCache>
            </c:numRef>
          </c:val>
          <c:extLst>
            <c:ext xmlns:c16="http://schemas.microsoft.com/office/drawing/2014/chart" uri="{C3380CC4-5D6E-409C-BE32-E72D297353CC}">
              <c16:uniqueId val="{00000002-C7CE-471C-A1FF-412F3896F53E}"/>
            </c:ext>
          </c:extLst>
        </c:ser>
        <c:ser>
          <c:idx val="2"/>
          <c:order val="2"/>
          <c:tx>
            <c:strRef>
              <c:f>'wykr 10'!$G$4</c:f>
              <c:strCache>
                <c:ptCount val="1"/>
                <c:pt idx="0">
                  <c:v>2025 r.</c:v>
                </c:pt>
              </c:strCache>
            </c:strRef>
          </c:tx>
          <c:spPr>
            <a:solidFill>
              <a:srgbClr val="001D77"/>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'wykr 10'!$D$5:$D$11</c:f>
              <c:strCache>
                <c:ptCount val="7"/>
                <c:pt idx="0">
                  <c:v>Województwo mazowieckie</c:v>
                </c:pt>
                <c:pt idx="1">
                  <c:v>Wschodni</c:v>
                </c:pt>
                <c:pt idx="2">
                  <c:v>Centralny</c:v>
                </c:pt>
                <c:pt idx="3">
                  <c:v>Północny</c:v>
                </c:pt>
                <c:pt idx="4">
                  <c:v>Południowo- zachodni</c:v>
                </c:pt>
                <c:pt idx="5">
                  <c:v>Północno-zachodni</c:v>
                </c:pt>
                <c:pt idx="6">
                  <c:v>Południowy</c:v>
                </c:pt>
              </c:strCache>
            </c:strRef>
          </c:cat>
          <c:val>
            <c:numRef>
              <c:f>'wykr 10'!$G$5:$G$11</c:f>
              <c:numCache>
                <c:formatCode>General</c:formatCode>
                <c:ptCount val="7"/>
                <c:pt idx="0" formatCode="0.0">
                  <c:v>4</c:v>
                </c:pt>
                <c:pt idx="1">
                  <c:v>5.6</c:v>
                </c:pt>
                <c:pt idx="2">
                  <c:v>9.1</c:v>
                </c:pt>
                <c:pt idx="3">
                  <c:v>7.2</c:v>
                </c:pt>
                <c:pt idx="4">
                  <c:v>3.8</c:v>
                </c:pt>
                <c:pt idx="5">
                  <c:v>4.5</c:v>
                </c:pt>
                <c:pt idx="6">
                  <c:v>4.7</c:v>
                </c:pt>
              </c:numCache>
            </c:numRef>
          </c:val>
          <c:extLst>
            <c:ext xmlns:c16="http://schemas.microsoft.com/office/drawing/2014/chart" uri="{C3380CC4-5D6E-409C-BE32-E72D297353CC}">
              <c16:uniqueId val="{00000003-C7CE-471C-A1FF-412F3896F53E}"/>
            </c:ext>
          </c:extLst>
        </c:ser>
        <c:dLbls>
          <c:showLegendKey val="0"/>
          <c:showVal val="0"/>
          <c:showCatName val="0"/>
          <c:showSerName val="0"/>
          <c:showPercent val="0"/>
          <c:showBubbleSize val="0"/>
        </c:dLbls>
        <c:gapWidth val="60"/>
        <c:axId val="-900178496"/>
        <c:axId val="-900163808"/>
        <c:extLst>
          <c:ext xmlns:c15="http://schemas.microsoft.com/office/drawing/2012/chart" uri="{02D57815-91ED-43cb-92C2-25804820EDAC}">
            <c15:filteredBarSeries>
              <c15:ser>
                <c:idx val="0"/>
                <c:order val="0"/>
                <c:tx>
                  <c:strRef>
                    <c:extLst>
                      <c:ext uri="{02D57815-91ED-43cb-92C2-25804820EDAC}">
                        <c15:formulaRef>
                          <c15:sqref>'wykr 10'!$E$4</c15:sqref>
                        </c15:formulaRef>
                      </c:ext>
                    </c:extLst>
                    <c:strCache>
                      <c:ptCount val="1"/>
                      <c:pt idx="0">
                        <c:v>2023 r.</c:v>
                      </c:pt>
                    </c:strCache>
                  </c:strRef>
                </c:tx>
                <c:spPr>
                  <a:solidFill>
                    <a:srgbClr val="D9E2FF"/>
                  </a:solidFill>
                  <a:effectLst/>
                </c:spPr>
                <c:invertIfNegative val="0"/>
                <c:dPt>
                  <c:idx val="6"/>
                  <c:invertIfNegative val="0"/>
                  <c:bubble3D val="0"/>
                  <c:extLst>
                    <c:ext xmlns:c16="http://schemas.microsoft.com/office/drawing/2014/chart" uri="{C3380CC4-5D6E-409C-BE32-E72D297353CC}">
                      <c16:uniqueId val="{00000004-C7CE-471C-A1FF-412F3896F53E}"/>
                    </c:ext>
                  </c:extLst>
                </c:dPt>
                <c:dLbls>
                  <c:dLbl>
                    <c:idx val="2"/>
                    <c:layout>
                      <c:manualLayout>
                        <c:x val="-1.6952728910273009E-16"/>
                        <c:y val="6.7300563787950672E-3"/>
                      </c:manualLayout>
                    </c:layout>
                    <c:showLegendKey val="0"/>
                    <c:showVal val="1"/>
                    <c:showCatName val="0"/>
                    <c:showSerName val="0"/>
                    <c:showPercent val="0"/>
                    <c:showBubbleSize val="0"/>
                    <c:extLst>
                      <c:ext uri="{CE6537A1-D6FC-4f65-9D91-7224C49458BB}"/>
                      <c:ext xmlns:c16="http://schemas.microsoft.com/office/drawing/2014/chart" uri="{C3380CC4-5D6E-409C-BE32-E72D297353CC}">
                        <c16:uniqueId val="{00000005-C7CE-471C-A1FF-412F3896F53E}"/>
                      </c:ext>
                    </c:extLst>
                  </c:dLbl>
                  <c:spPr>
                    <a:noFill/>
                    <a:ln>
                      <a:noFill/>
                    </a:ln>
                    <a:effectLst/>
                  </c:spPr>
                  <c:showLegendKey val="0"/>
                  <c:showVal val="1"/>
                  <c:showCatName val="0"/>
                  <c:showSerName val="0"/>
                  <c:showPercent val="0"/>
                  <c:showBubbleSize val="0"/>
                  <c:showLeaderLines val="0"/>
                  <c:extLst>
                    <c:ext uri="{CE6537A1-D6FC-4f65-9D91-7224C49458BB}">
                      <c15:showLeaderLines val="0"/>
                    </c:ext>
                  </c:extLst>
                </c:dLbls>
                <c:cat>
                  <c:strRef>
                    <c:extLst>
                      <c:ext uri="{02D57815-91ED-43cb-92C2-25804820EDAC}">
                        <c15:formulaRef>
                          <c15:sqref>'wykr 10'!$D$5:$D$11</c15:sqref>
                        </c15:formulaRef>
                      </c:ext>
                    </c:extLst>
                    <c:strCache>
                      <c:ptCount val="7"/>
                      <c:pt idx="0">
                        <c:v>Województwo mazowieckie</c:v>
                      </c:pt>
                      <c:pt idx="1">
                        <c:v>Wschodni</c:v>
                      </c:pt>
                      <c:pt idx="2">
                        <c:v>Centralny</c:v>
                      </c:pt>
                      <c:pt idx="3">
                        <c:v>Północny</c:v>
                      </c:pt>
                      <c:pt idx="4">
                        <c:v>Południowo- zachodni</c:v>
                      </c:pt>
                      <c:pt idx="5">
                        <c:v>Północno-zachodni</c:v>
                      </c:pt>
                      <c:pt idx="6">
                        <c:v>Południowy</c:v>
                      </c:pt>
                    </c:strCache>
                  </c:strRef>
                </c:cat>
                <c:val>
                  <c:numRef>
                    <c:extLst>
                      <c:ext uri="{02D57815-91ED-43cb-92C2-25804820EDAC}">
                        <c15:formulaRef>
                          <c15:sqref>'wykr 10'!$E$5:$E$11</c15:sqref>
                        </c15:formulaRef>
                      </c:ext>
                    </c:extLst>
                    <c:numCache>
                      <c:formatCode>General</c:formatCode>
                      <c:ptCount val="7"/>
                      <c:pt idx="0">
                        <c:v>4.3</c:v>
                      </c:pt>
                      <c:pt idx="1">
                        <c:v>9.1999999999999993</c:v>
                      </c:pt>
                      <c:pt idx="2">
                        <c:v>7.9</c:v>
                      </c:pt>
                      <c:pt idx="3">
                        <c:v>5.9</c:v>
                      </c:pt>
                      <c:pt idx="4">
                        <c:v>3.9</c:v>
                      </c:pt>
                      <c:pt idx="5">
                        <c:v>5.0999999999999996</c:v>
                      </c:pt>
                      <c:pt idx="6">
                        <c:v>8.6</c:v>
                      </c:pt>
                    </c:numCache>
                  </c:numRef>
                </c:val>
                <c:extLst>
                  <c:ext xmlns:c16="http://schemas.microsoft.com/office/drawing/2014/chart" uri="{C3380CC4-5D6E-409C-BE32-E72D297353CC}">
                    <c16:uniqueId val="{00000006-C7CE-471C-A1FF-412F3896F53E}"/>
                  </c:ext>
                </c:extLst>
              </c15:ser>
            </c15:filteredBarSeries>
          </c:ext>
        </c:extLst>
      </c:barChart>
      <c:catAx>
        <c:axId val="-900178496"/>
        <c:scaling>
          <c:orientation val="minMax"/>
        </c:scaling>
        <c:delete val="0"/>
        <c:axPos val="l"/>
        <c:numFmt formatCode="General" sourceLinked="0"/>
        <c:majorTickMark val="out"/>
        <c:minorTickMark val="none"/>
        <c:tickLblPos val="nextTo"/>
        <c:crossAx val="-900163808"/>
        <c:crosses val="autoZero"/>
        <c:auto val="0"/>
        <c:lblAlgn val="ctr"/>
        <c:lblOffset val="100"/>
        <c:noMultiLvlLbl val="0"/>
      </c:catAx>
      <c:valAx>
        <c:axId val="-900163808"/>
        <c:scaling>
          <c:orientation val="minMax"/>
        </c:scaling>
        <c:delete val="0"/>
        <c:axPos val="b"/>
        <c:majorGridlines/>
        <c:title>
          <c:tx>
            <c:rich>
              <a:bodyPr/>
              <a:lstStyle/>
              <a:p>
                <a:pPr>
                  <a:defRPr b="0"/>
                </a:pPr>
                <a:r>
                  <a:rPr lang="pl-PL" sz="800" b="0" i="0" baseline="0">
                    <a:effectLst/>
                  </a:rPr>
                  <a:t>% osób w gospodarstwach domowych</a:t>
                </a:r>
                <a:endParaRPr lang="pl-PL" sz="800">
                  <a:effectLst/>
                </a:endParaRPr>
              </a:p>
            </c:rich>
          </c:tx>
          <c:layout>
            <c:manualLayout>
              <c:xMode val="edge"/>
              <c:yMode val="edge"/>
              <c:x val="0.40780092592592593"/>
              <c:y val="0.82172730130017735"/>
            </c:manualLayout>
          </c:layout>
          <c:overlay val="0"/>
        </c:title>
        <c:numFmt formatCode="General" sourceLinked="0"/>
        <c:majorTickMark val="out"/>
        <c:minorTickMark val="none"/>
        <c:tickLblPos val="nextTo"/>
        <c:crossAx val="-900178496"/>
        <c:crosses val="autoZero"/>
        <c:crossBetween val="between"/>
      </c:valAx>
    </c:plotArea>
    <c:legend>
      <c:legendPos val="b"/>
      <c:layout>
        <c:manualLayout>
          <c:xMode val="edge"/>
          <c:yMode val="edge"/>
          <c:x val="0.46575993433146323"/>
          <c:y val="0.8927093687757115"/>
          <c:w val="0.20225335757367149"/>
          <c:h val="7.0441222942144208E-2"/>
        </c:manualLayout>
      </c:layout>
      <c:overlay val="0"/>
      <c:txPr>
        <a:bodyPr/>
        <a:lstStyle/>
        <a:p>
          <a:pPr>
            <a:defRPr sz="900"/>
          </a:pPr>
          <a:endParaRPr lang="pl-PL"/>
        </a:p>
      </c:tx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85272062304325"/>
          <c:y val="5.9139784946236562E-2"/>
          <c:w val="0.79465300661349714"/>
          <c:h val="0.5451587926509186"/>
        </c:manualLayout>
      </c:layout>
      <c:barChart>
        <c:barDir val="col"/>
        <c:grouping val="clustered"/>
        <c:varyColors val="0"/>
        <c:ser>
          <c:idx val="2"/>
          <c:order val="2"/>
          <c:tx>
            <c:strRef>
              <c:f>'wykr 11'!$D$7</c:f>
              <c:strCache>
                <c:ptCount val="1"/>
                <c:pt idx="0">
                  <c:v> Granica zagrożenia ubóstwem skrajnym* dla 1-osobowego gospodarstwa pracowniczego (w zł)</c:v>
                </c:pt>
              </c:strCache>
            </c:strRef>
          </c:tx>
          <c:spPr>
            <a:solidFill>
              <a:srgbClr val="66B58D"/>
            </a:solidFill>
            <a:ln>
              <a:noFill/>
            </a:ln>
            <a:effectLst/>
          </c:spPr>
          <c:invertIfNegative val="0"/>
          <c:cat>
            <c:numRef>
              <c:f>'wykr 11'!$E$4:$T$4</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'wykr 11'!$E$7:$T$7</c:f>
              <c:numCache>
                <c:formatCode>General</c:formatCode>
                <c:ptCount val="16"/>
                <c:pt idx="0">
                  <c:v>466</c:v>
                </c:pt>
                <c:pt idx="1">
                  <c:v>495</c:v>
                </c:pt>
                <c:pt idx="2">
                  <c:v>519</c:v>
                </c:pt>
                <c:pt idx="3">
                  <c:v>551</c:v>
                </c:pt>
                <c:pt idx="4">
                  <c:v>540</c:v>
                </c:pt>
                <c:pt idx="5">
                  <c:v>545</c:v>
                </c:pt>
                <c:pt idx="6">
                  <c:v>550</c:v>
                </c:pt>
                <c:pt idx="7">
                  <c:v>582</c:v>
                </c:pt>
                <c:pt idx="8">
                  <c:v>595</c:v>
                </c:pt>
                <c:pt idx="9">
                  <c:v>614</c:v>
                </c:pt>
                <c:pt idx="10">
                  <c:v>640</c:v>
                </c:pt>
                <c:pt idx="11">
                  <c:v>692</c:v>
                </c:pt>
                <c:pt idx="12">
                  <c:v>835</c:v>
                </c:pt>
                <c:pt idx="13">
                  <c:v>913</c:v>
                </c:pt>
                <c:pt idx="14">
                  <c:v>972</c:v>
                </c:pt>
                <c:pt idx="15">
                  <c:v>1037</c:v>
                </c:pt>
              </c:numCache>
            </c:numRef>
          </c:val>
          <c:extLst>
            <c:ext xmlns:c16="http://schemas.microsoft.com/office/drawing/2014/chart" uri="{C3380CC4-5D6E-409C-BE32-E72D297353CC}">
              <c16:uniqueId val="{00000000-B63F-4CE3-A93D-090E42CD3482}"/>
            </c:ext>
          </c:extLst>
        </c:ser>
        <c:ser>
          <c:idx val="3"/>
          <c:order val="3"/>
          <c:tx>
            <c:strRef>
              <c:f>'wykr 11'!$D$8</c:f>
              <c:strCache>
                <c:ptCount val="1"/>
                <c:pt idx="0">
                  <c:v> Granica zagrożenia niedostatkiem* dla 1-osobowego gospodarstwa pracowniczego (w zł) </c:v>
                </c:pt>
              </c:strCache>
            </c:strRef>
          </c:tx>
          <c:spPr>
            <a:solidFill>
              <a:srgbClr val="008542"/>
            </a:solidFill>
            <a:ln>
              <a:noFill/>
            </a:ln>
            <a:effectLst/>
          </c:spPr>
          <c:invertIfNegative val="0"/>
          <c:cat>
            <c:numRef>
              <c:f>'wykr 11'!$E$4:$T$4</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'wykr 11'!$E$8:$T$8</c:f>
              <c:numCache>
                <c:formatCode>General</c:formatCode>
                <c:ptCount val="16"/>
                <c:pt idx="0">
                  <c:v>938</c:v>
                </c:pt>
                <c:pt idx="1">
                  <c:v>983</c:v>
                </c:pt>
                <c:pt idx="2">
                  <c:v>1027</c:v>
                </c:pt>
                <c:pt idx="3">
                  <c:v>1063</c:v>
                </c:pt>
                <c:pt idx="4">
                  <c:v>1062</c:v>
                </c:pt>
                <c:pt idx="5">
                  <c:v>1079</c:v>
                </c:pt>
                <c:pt idx="6">
                  <c:v>1094</c:v>
                </c:pt>
                <c:pt idx="7">
                  <c:v>1144</c:v>
                </c:pt>
                <c:pt idx="8">
                  <c:v>1171</c:v>
                </c:pt>
                <c:pt idx="9">
                  <c:v>1218</c:v>
                </c:pt>
                <c:pt idx="10">
                  <c:v>1215</c:v>
                </c:pt>
                <c:pt idx="11">
                  <c:v>1334</c:v>
                </c:pt>
                <c:pt idx="12">
                  <c:v>1581</c:v>
                </c:pt>
                <c:pt idx="13">
                  <c:v>1745</c:v>
                </c:pt>
                <c:pt idx="14">
                  <c:v>1863</c:v>
                </c:pt>
                <c:pt idx="15">
                  <c:v>1966</c:v>
                </c:pt>
              </c:numCache>
            </c:numRef>
          </c:val>
          <c:extLst>
            <c:ext xmlns:c16="http://schemas.microsoft.com/office/drawing/2014/chart" uri="{C3380CC4-5D6E-409C-BE32-E72D297353CC}">
              <c16:uniqueId val="{00000001-B63F-4CE3-A93D-090E42CD3482}"/>
            </c:ext>
          </c:extLst>
        </c:ser>
        <c:dLbls>
          <c:showLegendKey val="0"/>
          <c:showVal val="0"/>
          <c:showCatName val="0"/>
          <c:showSerName val="0"/>
          <c:showPercent val="0"/>
          <c:showBubbleSize val="0"/>
        </c:dLbls>
        <c:gapWidth val="169"/>
        <c:axId val="-900166528"/>
        <c:axId val="-900161088"/>
      </c:barChart>
      <c:lineChart>
        <c:grouping val="standard"/>
        <c:varyColors val="0"/>
        <c:ser>
          <c:idx val="0"/>
          <c:order val="0"/>
          <c:tx>
            <c:strRef>
              <c:f>'wykr 11'!$D$5</c:f>
              <c:strCache>
                <c:ptCount val="1"/>
                <c:pt idx="0">
                  <c:v> Wskaźnik zasięgu zagrożenia ubóstwem (stopa ubóstwa) skrajnym</c:v>
                </c:pt>
              </c:strCache>
            </c:strRef>
          </c:tx>
          <c:spPr>
            <a:ln w="28575" cap="rnd">
              <a:solidFill>
                <a:srgbClr val="001D77"/>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 11'!$E$4:$T$4</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'wykr 11'!$E$5:$T$5</c:f>
              <c:numCache>
                <c:formatCode>General</c:formatCode>
                <c:ptCount val="16"/>
                <c:pt idx="0">
                  <c:v>5.8</c:v>
                </c:pt>
                <c:pt idx="1">
                  <c:v>6.8</c:v>
                </c:pt>
                <c:pt idx="2">
                  <c:v>6.8</c:v>
                </c:pt>
                <c:pt idx="3">
                  <c:v>7.4</c:v>
                </c:pt>
                <c:pt idx="4">
                  <c:v>7.4</c:v>
                </c:pt>
                <c:pt idx="5">
                  <c:v>6.5</c:v>
                </c:pt>
                <c:pt idx="6">
                  <c:v>4.9000000000000004</c:v>
                </c:pt>
                <c:pt idx="7">
                  <c:v>4.3</c:v>
                </c:pt>
                <c:pt idx="8">
                  <c:v>5.4</c:v>
                </c:pt>
                <c:pt idx="9">
                  <c:v>4.2</c:v>
                </c:pt>
                <c:pt idx="10">
                  <c:v>5.2</c:v>
                </c:pt>
                <c:pt idx="11">
                  <c:v>4.7</c:v>
                </c:pt>
                <c:pt idx="12">
                  <c:v>4.5999999999999996</c:v>
                </c:pt>
                <c:pt idx="13">
                  <c:v>6.6</c:v>
                </c:pt>
                <c:pt idx="14">
                  <c:v>5.2</c:v>
                </c:pt>
                <c:pt idx="15">
                  <c:v>5.3</c:v>
                </c:pt>
              </c:numCache>
            </c:numRef>
          </c:val>
          <c:smooth val="0"/>
          <c:extLst>
            <c:ext xmlns:c16="http://schemas.microsoft.com/office/drawing/2014/chart" uri="{C3380CC4-5D6E-409C-BE32-E72D297353CC}">
              <c16:uniqueId val="{00000012-B63F-4CE3-A93D-090E42CD3482}"/>
            </c:ext>
          </c:extLst>
        </c:ser>
        <c:ser>
          <c:idx val="1"/>
          <c:order val="1"/>
          <c:tx>
            <c:strRef>
              <c:f>'wykr 11'!$D$6</c:f>
              <c:strCache>
                <c:ptCount val="1"/>
                <c:pt idx="0">
                  <c:v> Wskaźnik zasięgu zagrożenia niedostatkiem </c:v>
                </c:pt>
              </c:strCache>
            </c:strRef>
          </c:tx>
          <c:spPr>
            <a:ln w="28575" cap="rnd">
              <a:solidFill>
                <a:schemeClr val="bg1">
                  <a:lumMod val="50000"/>
                </a:schemeClr>
              </a:solidFill>
              <a:round/>
            </a:ln>
            <a:effectLst/>
          </c:spPr>
          <c:marker>
            <c:symbol val="none"/>
          </c:marker>
          <c:dLbls>
            <c:dLbl>
              <c:idx val="14"/>
              <c:layout>
                <c:manualLayout>
                  <c:x val="-9.9583251018355648E-3"/>
                  <c:y val="-2.0555555555555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202-4ACB-93D0-3385A2F0F484}"/>
                </c:ext>
              </c:extLst>
            </c:dLbl>
            <c:dLbl>
              <c:idx val="15"/>
              <c:layout>
                <c:manualLayout>
                  <c:x val="-6.523297491039427E-3"/>
                  <c:y val="-3.44444444444444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202-4ACB-93D0-3385A2F0F48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 11'!$E$4:$T$4</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'wykr 11'!$E$6:$T$6</c:f>
              <c:numCache>
                <c:formatCode>General</c:formatCode>
                <c:ptCount val="16"/>
                <c:pt idx="0">
                  <c:v>41.2</c:v>
                </c:pt>
                <c:pt idx="1">
                  <c:v>42.5</c:v>
                </c:pt>
                <c:pt idx="2">
                  <c:v>43.4</c:v>
                </c:pt>
                <c:pt idx="3">
                  <c:v>44.7</c:v>
                </c:pt>
                <c:pt idx="4">
                  <c:v>43.4</c:v>
                </c:pt>
                <c:pt idx="5">
                  <c:v>42.7</c:v>
                </c:pt>
                <c:pt idx="6">
                  <c:v>39.9</c:v>
                </c:pt>
                <c:pt idx="7">
                  <c:v>38.700000000000003</c:v>
                </c:pt>
                <c:pt idx="8">
                  <c:v>41.2</c:v>
                </c:pt>
                <c:pt idx="9">
                  <c:v>39.4</c:v>
                </c:pt>
                <c:pt idx="10">
                  <c:v>41.4</c:v>
                </c:pt>
                <c:pt idx="11">
                  <c:v>42.8</c:v>
                </c:pt>
                <c:pt idx="12">
                  <c:v>41.1</c:v>
                </c:pt>
                <c:pt idx="13" formatCode="0.0">
                  <c:v>46</c:v>
                </c:pt>
                <c:pt idx="14">
                  <c:v>41.3</c:v>
                </c:pt>
                <c:pt idx="15">
                  <c:v>40.299999999999997</c:v>
                </c:pt>
              </c:numCache>
            </c:numRef>
          </c:val>
          <c:smooth val="0"/>
          <c:extLst>
            <c:ext xmlns:c16="http://schemas.microsoft.com/office/drawing/2014/chart" uri="{C3380CC4-5D6E-409C-BE32-E72D297353CC}">
              <c16:uniqueId val="{00000023-B63F-4CE3-A93D-090E42CD3482}"/>
            </c:ext>
          </c:extLst>
        </c:ser>
        <c:dLbls>
          <c:showLegendKey val="0"/>
          <c:showVal val="0"/>
          <c:showCatName val="0"/>
          <c:showSerName val="0"/>
          <c:showPercent val="0"/>
          <c:showBubbleSize val="0"/>
        </c:dLbls>
        <c:marker val="1"/>
        <c:smooth val="0"/>
        <c:axId val="-900170880"/>
        <c:axId val="-900175776"/>
      </c:lineChart>
      <c:catAx>
        <c:axId val="-900170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900175776"/>
        <c:crosses val="autoZero"/>
        <c:auto val="1"/>
        <c:lblAlgn val="ctr"/>
        <c:lblOffset val="100"/>
        <c:noMultiLvlLbl val="0"/>
      </c:catAx>
      <c:valAx>
        <c:axId val="-900175776"/>
        <c:scaling>
          <c:orientation val="minMax"/>
        </c:scaling>
        <c:delete val="0"/>
        <c:axPos val="l"/>
        <c:majorGridlines>
          <c:spPr>
            <a:ln w="9525" cap="flat" cmpd="sng" algn="ctr">
              <a:solidFill>
                <a:srgbClr val="868686"/>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pl-PL" sz="900"/>
                  <a:t>% osób w gospodarstwach domowych</a:t>
                </a:r>
              </a:p>
            </c:rich>
          </c:tx>
          <c:layout>
            <c:manualLayout>
              <c:xMode val="edge"/>
              <c:yMode val="edge"/>
              <c:x val="1.2560515792760574E-2"/>
              <c:y val="0.1158834600503212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900170880"/>
        <c:crosses val="autoZero"/>
        <c:crossBetween val="between"/>
      </c:valAx>
      <c:valAx>
        <c:axId val="-900161088"/>
        <c:scaling>
          <c:orientation val="minMax"/>
          <c:max val="2000"/>
        </c:scaling>
        <c:delete val="0"/>
        <c:axPos val="r"/>
        <c:title>
          <c:tx>
            <c:rich>
              <a:bodyPr rot="-5400000" spcFirstLastPara="1" vertOverflow="ellipsis" vert="horz" wrap="square" anchor="ctr" anchorCtr="1"/>
              <a:lstStyle/>
              <a:p>
                <a:pPr>
                  <a:defRPr sz="10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pl-PL" sz="900"/>
                  <a:t>Zł</a:t>
                </a:r>
                <a:endParaRPr lang="en-US" sz="900"/>
              </a:p>
            </c:rich>
          </c:tx>
          <c:layout>
            <c:manualLayout>
              <c:xMode val="edge"/>
              <c:yMode val="edge"/>
              <c:x val="0.96706763203584112"/>
              <c:y val="0.3504856344482922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900166528"/>
        <c:crosses val="max"/>
        <c:crossBetween val="between"/>
      </c:valAx>
      <c:catAx>
        <c:axId val="-900166528"/>
        <c:scaling>
          <c:orientation val="minMax"/>
        </c:scaling>
        <c:delete val="1"/>
        <c:axPos val="b"/>
        <c:numFmt formatCode="General" sourceLinked="1"/>
        <c:majorTickMark val="out"/>
        <c:minorTickMark val="none"/>
        <c:tickLblPos val="nextTo"/>
        <c:crossAx val="-900161088"/>
        <c:crosses val="autoZero"/>
        <c:auto val="1"/>
        <c:lblAlgn val="ctr"/>
        <c:lblOffset val="100"/>
        <c:noMultiLvlLbl val="0"/>
      </c:catAx>
      <c:spPr>
        <a:noFill/>
        <a:ln>
          <a:noFill/>
        </a:ln>
        <a:effectLst/>
      </c:spPr>
    </c:plotArea>
    <c:legend>
      <c:legendPos val="b"/>
      <c:layout>
        <c:manualLayout>
          <c:xMode val="edge"/>
          <c:yMode val="edge"/>
          <c:x val="6.4859315835343129E-2"/>
          <c:y val="0.67407611548556434"/>
          <c:w val="0.87250188799114037"/>
          <c:h val="0.31222112860892387"/>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b="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64216436135667"/>
          <c:y val="6.6666588882367969E-2"/>
          <c:w val="0.86122066030089794"/>
          <c:h val="0.72532256249648375"/>
        </c:manualLayout>
      </c:layout>
      <c:lineChart>
        <c:grouping val="standard"/>
        <c:varyColors val="0"/>
        <c:ser>
          <c:idx val="0"/>
          <c:order val="0"/>
          <c:tx>
            <c:strRef>
              <c:f>'wykr 2 3'!$B$3</c:f>
              <c:strCache>
                <c:ptCount val="1"/>
                <c:pt idx="0">
                  <c:v>ubóstwa skrajnego</c:v>
                </c:pt>
              </c:strCache>
            </c:strRef>
          </c:tx>
          <c:spPr>
            <a:ln w="25400">
              <a:solidFill>
                <a:srgbClr val="001D77"/>
              </a:solidFill>
            </a:ln>
          </c:spPr>
          <c:marker>
            <c:symbol val="diamond"/>
            <c:size val="3"/>
          </c:marker>
          <c:dLbls>
            <c:dLbl>
              <c:idx val="0"/>
              <c:layout>
                <c:manualLayout>
                  <c:x val="-3.196360402885675E-2"/>
                  <c:y val="3.16622691292876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02C1-4538-918A-6D2D5B66C843}"/>
                </c:ext>
              </c:extLst>
            </c:dLbl>
            <c:dLbl>
              <c:idx val="2"/>
              <c:layout>
                <c:manualLayout>
                  <c:x val="-3.3066766616984329E-2"/>
                  <c:y val="3.60598065083553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2C1-4538-918A-6D2D5B66C843}"/>
                </c:ext>
              </c:extLst>
            </c:dLbl>
            <c:dLbl>
              <c:idx val="5"/>
              <c:layout>
                <c:manualLayout>
                  <c:x val="-3.381053753554146E-2"/>
                  <c:y val="4.04573438874230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2C1-4538-918A-6D2D5B66C843}"/>
                </c:ext>
              </c:extLst>
            </c:dLbl>
            <c:dLbl>
              <c:idx val="6"/>
              <c:layout>
                <c:manualLayout>
                  <c:x val="-2.6633245779197644E-2"/>
                  <c:y val="3.16622691292875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2C1-4538-918A-6D2D5B66C843}"/>
                </c:ext>
              </c:extLst>
            </c:dLbl>
            <c:dLbl>
              <c:idx val="7"/>
              <c:layout>
                <c:manualLayout>
                  <c:x val="-2.8982273459774388E-2"/>
                  <c:y val="7.12401055408971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2C1-4538-918A-6D2D5B66C843}"/>
                </c:ext>
              </c:extLst>
            </c:dLbl>
            <c:dLbl>
              <c:idx val="8"/>
              <c:layout>
                <c:manualLayout>
                  <c:x val="-3.6221643733730012E-2"/>
                  <c:y val="3.60598065083553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2C1-4538-918A-6D2D5B66C843}"/>
                </c:ext>
              </c:extLst>
            </c:dLbl>
            <c:dLbl>
              <c:idx val="9"/>
              <c:layout>
                <c:manualLayout>
                  <c:x val="-3.0971909470780729E-2"/>
                  <c:y val="8.00351802990324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2C1-4538-918A-6D2D5B66C843}"/>
                </c:ext>
              </c:extLst>
            </c:dLbl>
            <c:dLbl>
              <c:idx val="10"/>
              <c:layout>
                <c:manualLayout>
                  <c:x val="-3.717000045875643E-2"/>
                  <c:y val="8.88302550571679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2C1-4538-918A-6D2D5B66C843}"/>
                </c:ext>
              </c:extLst>
            </c:dLbl>
            <c:dLbl>
              <c:idx val="11"/>
              <c:layout>
                <c:manualLayout>
                  <c:x val="-3.1517341477722498E-2"/>
                  <c:y val="5.80474934036938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D32-433D-ABAE-2F9D6188E82C}"/>
                </c:ext>
              </c:extLst>
            </c:dLbl>
            <c:spPr>
              <a:noFill/>
              <a:ln>
                <a:noFill/>
              </a:ln>
              <a:effectLst/>
            </c:spPr>
            <c:txPr>
              <a:bodyPr wrap="square" lIns="38100" tIns="19050" rIns="38100" bIns="19050" anchor="ctr">
                <a:spAutoFit/>
              </a:bodyPr>
              <a:lstStyle/>
              <a:p>
                <a:pPr>
                  <a:defRPr sz="800"/>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'wykr 2 3'!$A$4:$A$19</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'wykr 2 3'!$B$4:$B$19</c:f>
              <c:numCache>
                <c:formatCode>General</c:formatCode>
                <c:ptCount val="16"/>
                <c:pt idx="0">
                  <c:v>466</c:v>
                </c:pt>
                <c:pt idx="1">
                  <c:v>495</c:v>
                </c:pt>
                <c:pt idx="2">
                  <c:v>519</c:v>
                </c:pt>
                <c:pt idx="3">
                  <c:v>551</c:v>
                </c:pt>
                <c:pt idx="4">
                  <c:v>540</c:v>
                </c:pt>
                <c:pt idx="5">
                  <c:v>545</c:v>
                </c:pt>
                <c:pt idx="6">
                  <c:v>550</c:v>
                </c:pt>
                <c:pt idx="7">
                  <c:v>582</c:v>
                </c:pt>
                <c:pt idx="8">
                  <c:v>595</c:v>
                </c:pt>
                <c:pt idx="9">
                  <c:v>614</c:v>
                </c:pt>
                <c:pt idx="10">
                  <c:v>640</c:v>
                </c:pt>
                <c:pt idx="11">
                  <c:v>692</c:v>
                </c:pt>
                <c:pt idx="12">
                  <c:v>835</c:v>
                </c:pt>
                <c:pt idx="13">
                  <c:v>913</c:v>
                </c:pt>
                <c:pt idx="14">
                  <c:v>972</c:v>
                </c:pt>
                <c:pt idx="15">
                  <c:v>1037</c:v>
                </c:pt>
              </c:numCache>
            </c:numRef>
          </c:val>
          <c:smooth val="0"/>
          <c:extLst>
            <c:ext xmlns:c16="http://schemas.microsoft.com/office/drawing/2014/chart" uri="{C3380CC4-5D6E-409C-BE32-E72D297353CC}">
              <c16:uniqueId val="{00000008-5389-4BE9-9853-2A0DB4E0FBFB}"/>
            </c:ext>
          </c:extLst>
        </c:ser>
        <c:ser>
          <c:idx val="1"/>
          <c:order val="1"/>
          <c:tx>
            <c:strRef>
              <c:f>'wykr 2 3'!$C$3</c:f>
              <c:strCache>
                <c:ptCount val="1"/>
                <c:pt idx="0">
                  <c:v>ubóstwa realatywnego</c:v>
                </c:pt>
              </c:strCache>
            </c:strRef>
          </c:tx>
          <c:spPr>
            <a:ln w="25400">
              <a:solidFill>
                <a:sysClr val="windowText" lastClr="000000">
                  <a:lumMod val="50000"/>
                  <a:lumOff val="50000"/>
                </a:sysClr>
              </a:solidFill>
            </a:ln>
          </c:spPr>
          <c:marker>
            <c:symbol val="square"/>
            <c:size val="3"/>
          </c:marker>
          <c:dLbls>
            <c:spPr>
              <a:noFill/>
              <a:ln>
                <a:noFill/>
              </a:ln>
              <a:effectLst/>
            </c:spPr>
            <c:txPr>
              <a:bodyPr wrap="square" lIns="38100" tIns="19050" rIns="38100" bIns="19050" anchor="ctr">
                <a:spAutoFit/>
              </a:bodyPr>
              <a:lstStyle/>
              <a:p>
                <a:pPr>
                  <a:defRPr sz="800"/>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'wykr 2 3'!$A$4:$A$19</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'wykr 2 3'!$C$4:$C$19</c:f>
              <c:numCache>
                <c:formatCode>General</c:formatCode>
                <c:ptCount val="16"/>
                <c:pt idx="0">
                  <c:v>668</c:v>
                </c:pt>
                <c:pt idx="1">
                  <c:v>692</c:v>
                </c:pt>
                <c:pt idx="2">
                  <c:v>693</c:v>
                </c:pt>
                <c:pt idx="3">
                  <c:v>706</c:v>
                </c:pt>
                <c:pt idx="4">
                  <c:v>713</c:v>
                </c:pt>
                <c:pt idx="5">
                  <c:v>734</c:v>
                </c:pt>
                <c:pt idx="6">
                  <c:v>770</c:v>
                </c:pt>
                <c:pt idx="7">
                  <c:v>799</c:v>
                </c:pt>
                <c:pt idx="8">
                  <c:v>810</c:v>
                </c:pt>
                <c:pt idx="9">
                  <c:v>858</c:v>
                </c:pt>
                <c:pt idx="10">
                  <c:v>799</c:v>
                </c:pt>
                <c:pt idx="11">
                  <c:v>882</c:v>
                </c:pt>
                <c:pt idx="12">
                  <c:v>1008</c:v>
                </c:pt>
                <c:pt idx="13">
                  <c:v>1092</c:v>
                </c:pt>
                <c:pt idx="14">
                  <c:v>1266</c:v>
                </c:pt>
                <c:pt idx="15">
                  <c:v>1332</c:v>
                </c:pt>
              </c:numCache>
            </c:numRef>
          </c:val>
          <c:smooth val="0"/>
          <c:extLst>
            <c:ext xmlns:c16="http://schemas.microsoft.com/office/drawing/2014/chart" uri="{C3380CC4-5D6E-409C-BE32-E72D297353CC}">
              <c16:uniqueId val="{0000000B-5389-4BE9-9853-2A0DB4E0FBFB}"/>
            </c:ext>
          </c:extLst>
        </c:ser>
        <c:ser>
          <c:idx val="2"/>
          <c:order val="2"/>
          <c:tx>
            <c:strRef>
              <c:f>'wykr 2 3'!$D$3</c:f>
              <c:strCache>
                <c:ptCount val="1"/>
                <c:pt idx="0">
                  <c:v>ubóstwa ustawowego</c:v>
                </c:pt>
              </c:strCache>
            </c:strRef>
          </c:tx>
          <c:spPr>
            <a:ln w="25400">
              <a:solidFill>
                <a:srgbClr val="008542"/>
              </a:solidFill>
            </a:ln>
          </c:spPr>
          <c:marker>
            <c:symbol val="triangle"/>
            <c:size val="3"/>
            <c:spPr>
              <a:ln>
                <a:solidFill>
                  <a:srgbClr val="FFC000"/>
                </a:solidFill>
              </a:ln>
            </c:spPr>
          </c:marker>
          <c:dLbls>
            <c:dLbl>
              <c:idx val="0"/>
              <c:layout>
                <c:manualLayout>
                  <c:x val="-3.2670088793753889E-2"/>
                  <c:y val="-3.60598065083553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02C1-4538-918A-6D2D5B66C843}"/>
                </c:ext>
              </c:extLst>
            </c:dLbl>
            <c:dLbl>
              <c:idx val="1"/>
              <c:layout>
                <c:manualLayout>
                  <c:x val="-3.5149325188944168E-2"/>
                  <c:y val="2.55057167985927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2C1-4538-918A-6D2D5B66C843}"/>
                </c:ext>
              </c:extLst>
            </c:dLbl>
            <c:dLbl>
              <c:idx val="2"/>
              <c:layout>
                <c:manualLayout>
                  <c:x val="-3.8707127023774317E-2"/>
                  <c:y val="-6.68425681618294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2C1-4538-918A-6D2D5B66C843}"/>
                </c:ext>
              </c:extLst>
            </c:dLbl>
            <c:dLbl>
              <c:idx val="5"/>
              <c:layout>
                <c:manualLayout>
                  <c:x val="-3.6581230618764699E-2"/>
                  <c:y val="-3.60598065083553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2C1-4538-918A-6D2D5B66C843}"/>
                </c:ext>
              </c:extLst>
            </c:dLbl>
            <c:dLbl>
              <c:idx val="6"/>
              <c:layout>
                <c:manualLayout>
                  <c:x val="-3.9060467013954978E-2"/>
                  <c:y val="-4.04573438874231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2C1-4538-918A-6D2D5B66C843}"/>
                </c:ext>
              </c:extLst>
            </c:dLbl>
            <c:dLbl>
              <c:idx val="7"/>
              <c:layout>
                <c:manualLayout>
                  <c:x val="-4.1539703409145347E-2"/>
                  <c:y val="-5.36499560246262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2C1-4538-918A-6D2D5B66C843}"/>
                </c:ext>
              </c:extLst>
            </c:dLbl>
            <c:dLbl>
              <c:idx val="8"/>
              <c:layout>
                <c:manualLayout>
                  <c:x val="-3.5304326267509609E-2"/>
                  <c:y val="-3.16622691292876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2C1-4538-918A-6D2D5B66C843}"/>
                </c:ext>
              </c:extLst>
            </c:dLbl>
            <c:dLbl>
              <c:idx val="9"/>
              <c:layout>
                <c:manualLayout>
                  <c:x val="-3.0345853477129134E-2"/>
                  <c:y val="-3.16622691292876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2C1-4538-918A-6D2D5B66C843}"/>
                </c:ext>
              </c:extLst>
            </c:dLbl>
            <c:dLbl>
              <c:idx val="10"/>
              <c:layout>
                <c:manualLayout>
                  <c:x val="-3.5304326267509609E-2"/>
                  <c:y val="-5.36499560246262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2C1-4538-918A-6D2D5B66C843}"/>
                </c:ext>
              </c:extLst>
            </c:dLbl>
            <c:dLbl>
              <c:idx val="11"/>
              <c:layout>
                <c:manualLayout>
                  <c:x val="-4.0262799057890167E-2"/>
                  <c:y val="-5.36499560246262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D32-433D-ABAE-2F9D6188E82C}"/>
                </c:ext>
              </c:extLst>
            </c:dLbl>
            <c:dLbl>
              <c:idx val="15"/>
              <c:layout>
                <c:manualLayout>
                  <c:x val="-1.9681232668526887E-2"/>
                  <c:y val="6.24450307827616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D32-433D-ABAE-2F9D6188E82C}"/>
                </c:ext>
              </c:extLst>
            </c:dLbl>
            <c:spPr>
              <a:noFill/>
              <a:ln>
                <a:noFill/>
              </a:ln>
              <a:effectLst/>
            </c:spPr>
            <c:txPr>
              <a:bodyPr wrap="square" lIns="38100" tIns="19050" rIns="38100" bIns="19050" anchor="ctr">
                <a:spAutoFit/>
              </a:bodyPr>
              <a:lstStyle/>
              <a:p>
                <a:pPr>
                  <a:defRPr sz="700"/>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'wykr 2 3'!$A$4:$A$19</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'wykr 2 3'!$D$4:$D$19</c:f>
              <c:numCache>
                <c:formatCode>General</c:formatCode>
                <c:ptCount val="16"/>
                <c:pt idx="0">
                  <c:v>477</c:v>
                </c:pt>
                <c:pt idx="1">
                  <c:v>477</c:v>
                </c:pt>
                <c:pt idx="2">
                  <c:v>542</c:v>
                </c:pt>
                <c:pt idx="3">
                  <c:v>542</c:v>
                </c:pt>
                <c:pt idx="4">
                  <c:v>542</c:v>
                </c:pt>
                <c:pt idx="5">
                  <c:v>634</c:v>
                </c:pt>
                <c:pt idx="6">
                  <c:v>634</c:v>
                </c:pt>
                <c:pt idx="7">
                  <c:v>634</c:v>
                </c:pt>
                <c:pt idx="8">
                  <c:v>701</c:v>
                </c:pt>
                <c:pt idx="9">
                  <c:v>701</c:v>
                </c:pt>
                <c:pt idx="10">
                  <c:v>701</c:v>
                </c:pt>
                <c:pt idx="11">
                  <c:v>701</c:v>
                </c:pt>
                <c:pt idx="12">
                  <c:v>776</c:v>
                </c:pt>
                <c:pt idx="13">
                  <c:v>776</c:v>
                </c:pt>
                <c:pt idx="14">
                  <c:v>776</c:v>
                </c:pt>
                <c:pt idx="15">
                  <c:v>1010</c:v>
                </c:pt>
              </c:numCache>
            </c:numRef>
          </c:val>
          <c:smooth val="0"/>
          <c:extLst>
            <c:ext xmlns:c16="http://schemas.microsoft.com/office/drawing/2014/chart" uri="{C3380CC4-5D6E-409C-BE32-E72D297353CC}">
              <c16:uniqueId val="{0000001C-5389-4BE9-9853-2A0DB4E0FBFB}"/>
            </c:ext>
          </c:extLst>
        </c:ser>
        <c:dLbls>
          <c:showLegendKey val="0"/>
          <c:showVal val="0"/>
          <c:showCatName val="0"/>
          <c:showSerName val="0"/>
          <c:showPercent val="0"/>
          <c:showBubbleSize val="0"/>
        </c:dLbls>
        <c:marker val="1"/>
        <c:smooth val="0"/>
        <c:axId val="-900148576"/>
        <c:axId val="-900149664"/>
      </c:lineChart>
      <c:catAx>
        <c:axId val="-900148576"/>
        <c:scaling>
          <c:orientation val="minMax"/>
        </c:scaling>
        <c:delete val="0"/>
        <c:axPos val="b"/>
        <c:numFmt formatCode="General" sourceLinked="1"/>
        <c:majorTickMark val="out"/>
        <c:minorTickMark val="none"/>
        <c:tickLblPos val="nextTo"/>
        <c:txPr>
          <a:bodyPr/>
          <a:lstStyle/>
          <a:p>
            <a:pPr>
              <a:defRPr sz="800"/>
            </a:pPr>
            <a:endParaRPr lang="pl-PL"/>
          </a:p>
        </c:txPr>
        <c:crossAx val="-900149664"/>
        <c:crossesAt val="400"/>
        <c:auto val="1"/>
        <c:lblAlgn val="ctr"/>
        <c:lblOffset val="100"/>
        <c:noMultiLvlLbl val="0"/>
      </c:catAx>
      <c:valAx>
        <c:axId val="-900149664"/>
        <c:scaling>
          <c:orientation val="minMax"/>
          <c:min val="400"/>
        </c:scaling>
        <c:delete val="0"/>
        <c:axPos val="l"/>
        <c:majorGridlines>
          <c:spPr>
            <a:ln w="3175"/>
          </c:spPr>
        </c:majorGridlines>
        <c:title>
          <c:tx>
            <c:rich>
              <a:bodyPr rot="0" vert="horz"/>
              <a:lstStyle/>
              <a:p>
                <a:pPr>
                  <a:defRPr sz="800" b="0"/>
                </a:pPr>
                <a:r>
                  <a:rPr lang="pl-PL"/>
                  <a:t>Zł</a:t>
                </a:r>
              </a:p>
            </c:rich>
          </c:tx>
          <c:layout>
            <c:manualLayout>
              <c:xMode val="edge"/>
              <c:yMode val="edge"/>
              <c:x val="9.0911335469569376E-3"/>
              <c:y val="0.40253334797902807"/>
            </c:manualLayout>
          </c:layout>
          <c:overlay val="0"/>
        </c:title>
        <c:numFmt formatCode="#,##0" sourceLinked="0"/>
        <c:majorTickMark val="out"/>
        <c:minorTickMark val="none"/>
        <c:tickLblPos val="nextTo"/>
        <c:txPr>
          <a:bodyPr/>
          <a:lstStyle/>
          <a:p>
            <a:pPr>
              <a:defRPr sz="800"/>
            </a:pPr>
            <a:endParaRPr lang="pl-PL"/>
          </a:p>
        </c:txPr>
        <c:crossAx val="-900148576"/>
        <c:crosses val="autoZero"/>
        <c:crossBetween val="between"/>
        <c:majorUnit val="200"/>
      </c:valAx>
    </c:plotArea>
    <c:legend>
      <c:legendPos val="b"/>
      <c:legendEntry>
        <c:idx val="0"/>
        <c:txPr>
          <a:bodyPr/>
          <a:lstStyle/>
          <a:p>
            <a:pPr>
              <a:defRPr sz="800"/>
            </a:pPr>
            <a:endParaRPr lang="pl-PL"/>
          </a:p>
        </c:txPr>
      </c:legendEntry>
      <c:layout>
        <c:manualLayout>
          <c:xMode val="edge"/>
          <c:yMode val="edge"/>
          <c:x val="7.4025234797457547E-3"/>
          <c:y val="0.92090607831253224"/>
          <c:w val="0.98784255130759258"/>
          <c:h val="7.614857138373847E-2"/>
        </c:manualLayout>
      </c:layout>
      <c:overlay val="0"/>
      <c:txPr>
        <a:bodyPr/>
        <a:lstStyle/>
        <a:p>
          <a:pPr>
            <a:defRPr sz="800"/>
          </a:pPr>
          <a:endParaRPr lang="pl-PL"/>
        </a:p>
      </c:txPr>
    </c:legend>
    <c:plotVisOnly val="1"/>
    <c:dispBlanksAs val="gap"/>
    <c:showDLblsOverMax val="0"/>
  </c:chart>
  <c:spPr>
    <a:ln>
      <a:noFill/>
    </a:ln>
  </c:spPr>
  <c:txPr>
    <a:bodyPr/>
    <a:lstStyle/>
    <a:p>
      <a:pPr>
        <a:defRPr>
          <a:latin typeface="Fira Sans" panose="020B0503050000020004" pitchFamily="34" charset="0"/>
          <a:ea typeface="Fira Sans" panose="020B0503050000020004" pitchFamily="34" charset="0"/>
        </a:defRPr>
      </a:pPr>
      <a:endParaRPr lang="pl-PL"/>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04631060840258"/>
          <c:y val="5.3846153846153849E-2"/>
          <c:w val="0.84733180227471572"/>
          <c:h val="0.72532256249648375"/>
        </c:manualLayout>
      </c:layout>
      <c:lineChart>
        <c:grouping val="standard"/>
        <c:varyColors val="0"/>
        <c:ser>
          <c:idx val="0"/>
          <c:order val="0"/>
          <c:tx>
            <c:strRef>
              <c:f>'wykr 2 3'!$F$3</c:f>
              <c:strCache>
                <c:ptCount val="1"/>
                <c:pt idx="0">
                  <c:v>ubóstwa skrajnego</c:v>
                </c:pt>
              </c:strCache>
            </c:strRef>
          </c:tx>
          <c:spPr>
            <a:ln w="25400">
              <a:solidFill>
                <a:srgbClr val="001D77"/>
              </a:solidFill>
            </a:ln>
          </c:spPr>
          <c:marker>
            <c:symbol val="diamond"/>
            <c:size val="3"/>
            <c:spPr>
              <a:ln>
                <a:solidFill>
                  <a:srgbClr val="70AD47">
                    <a:lumMod val="75000"/>
                  </a:srgbClr>
                </a:solidFill>
              </a:ln>
            </c:spPr>
          </c:marker>
          <c:dLbls>
            <c:dLbl>
              <c:idx val="13"/>
              <c:layout>
                <c:manualLayout>
                  <c:x val="-5.3743625311084911E-2"/>
                  <c:y val="-4.35897435897435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18F-4FF8-A00A-97C3BA2656B6}"/>
                </c:ext>
              </c:extLst>
            </c:dLbl>
            <c:dLbl>
              <c:idx val="14"/>
              <c:layout>
                <c:manualLayout>
                  <c:x val="-4.3316062176165994E-2"/>
                  <c:y val="-3.50427350427350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3B59-4110-9ACB-D6CDFB4E3F26}"/>
                </c:ext>
              </c:extLst>
            </c:dLbl>
            <c:dLbl>
              <c:idx val="15"/>
              <c:layout>
                <c:manualLayout>
                  <c:x val="-1.5966300844518787E-2"/>
                  <c:y val="-2.64957264957264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3B59-4110-9ACB-D6CDFB4E3F26}"/>
                </c:ext>
              </c:extLst>
            </c:dLbl>
            <c:spPr>
              <a:noFill/>
              <a:ln>
                <a:noFill/>
              </a:ln>
              <a:effectLst/>
            </c:spPr>
            <c:txPr>
              <a:bodyPr wrap="square" lIns="38100" tIns="19050" rIns="38100" bIns="19050" anchor="ctr">
                <a:spAutoFit/>
              </a:bodyPr>
              <a:lstStyle/>
              <a:p>
                <a:pPr>
                  <a:defRPr sz="800"/>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'wykr 2 3'!$E$4:$E$19</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'wykr 2 3'!$F$4:$F$19</c:f>
              <c:numCache>
                <c:formatCode>General</c:formatCode>
                <c:ptCount val="16"/>
                <c:pt idx="0">
                  <c:v>1257</c:v>
                </c:pt>
                <c:pt idx="1">
                  <c:v>1336</c:v>
                </c:pt>
                <c:pt idx="2">
                  <c:v>1401</c:v>
                </c:pt>
                <c:pt idx="3">
                  <c:v>1486</c:v>
                </c:pt>
                <c:pt idx="4">
                  <c:v>1458</c:v>
                </c:pt>
                <c:pt idx="5">
                  <c:v>1472</c:v>
                </c:pt>
                <c:pt idx="6">
                  <c:v>1486</c:v>
                </c:pt>
                <c:pt idx="7">
                  <c:v>1572</c:v>
                </c:pt>
                <c:pt idx="8">
                  <c:v>1606</c:v>
                </c:pt>
                <c:pt idx="9">
                  <c:v>1658</c:v>
                </c:pt>
                <c:pt idx="10">
                  <c:v>1727</c:v>
                </c:pt>
                <c:pt idx="11">
                  <c:v>1868</c:v>
                </c:pt>
                <c:pt idx="12">
                  <c:v>2254</c:v>
                </c:pt>
                <c:pt idx="13">
                  <c:v>2465</c:v>
                </c:pt>
                <c:pt idx="14">
                  <c:v>2624</c:v>
                </c:pt>
                <c:pt idx="15">
                  <c:v>2800</c:v>
                </c:pt>
              </c:numCache>
            </c:numRef>
          </c:val>
          <c:smooth val="0"/>
          <c:extLst>
            <c:ext xmlns:c16="http://schemas.microsoft.com/office/drawing/2014/chart" uri="{C3380CC4-5D6E-409C-BE32-E72D297353CC}">
              <c16:uniqueId val="{00000008-8C70-434B-AC10-6054E12B2FE4}"/>
            </c:ext>
          </c:extLst>
        </c:ser>
        <c:ser>
          <c:idx val="1"/>
          <c:order val="1"/>
          <c:tx>
            <c:strRef>
              <c:f>'wykr 2 3'!$G$3</c:f>
              <c:strCache>
                <c:ptCount val="1"/>
                <c:pt idx="0">
                  <c:v>ubóstwa realatywnego</c:v>
                </c:pt>
              </c:strCache>
            </c:strRef>
          </c:tx>
          <c:spPr>
            <a:ln w="25400">
              <a:solidFill>
                <a:sysClr val="windowText" lastClr="000000">
                  <a:lumMod val="50000"/>
                  <a:lumOff val="50000"/>
                </a:sysClr>
              </a:solidFill>
            </a:ln>
          </c:spPr>
          <c:marker>
            <c:symbol val="square"/>
            <c:size val="3"/>
          </c:marker>
          <c:dLbls>
            <c:spPr>
              <a:noFill/>
              <a:ln>
                <a:noFill/>
              </a:ln>
              <a:effectLst/>
            </c:spPr>
            <c:txPr>
              <a:bodyPr wrap="square" lIns="38100" tIns="19050" rIns="38100" bIns="19050" anchor="ctr">
                <a:spAutoFit/>
              </a:bodyPr>
              <a:lstStyle/>
              <a:p>
                <a:pPr>
                  <a:defRPr sz="800"/>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'wykr 2 3'!$E$4:$E$19</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'wykr 2 3'!$G$4:$G$19</c:f>
              <c:numCache>
                <c:formatCode>General</c:formatCode>
                <c:ptCount val="16"/>
                <c:pt idx="0">
                  <c:v>1802</c:v>
                </c:pt>
                <c:pt idx="1">
                  <c:v>1868</c:v>
                </c:pt>
                <c:pt idx="2">
                  <c:v>1871</c:v>
                </c:pt>
                <c:pt idx="3">
                  <c:v>1906</c:v>
                </c:pt>
                <c:pt idx="4">
                  <c:v>1926</c:v>
                </c:pt>
                <c:pt idx="5">
                  <c:v>1982</c:v>
                </c:pt>
                <c:pt idx="6">
                  <c:v>2080</c:v>
                </c:pt>
                <c:pt idx="7">
                  <c:v>2157</c:v>
                </c:pt>
                <c:pt idx="8">
                  <c:v>2187</c:v>
                </c:pt>
                <c:pt idx="9">
                  <c:v>2317</c:v>
                </c:pt>
                <c:pt idx="10">
                  <c:v>2157</c:v>
                </c:pt>
                <c:pt idx="11">
                  <c:v>2383</c:v>
                </c:pt>
                <c:pt idx="12">
                  <c:v>2720</c:v>
                </c:pt>
                <c:pt idx="13">
                  <c:v>2949</c:v>
                </c:pt>
                <c:pt idx="14">
                  <c:v>3417</c:v>
                </c:pt>
                <c:pt idx="15">
                  <c:v>3597</c:v>
                </c:pt>
              </c:numCache>
            </c:numRef>
          </c:val>
          <c:smooth val="0"/>
          <c:extLst>
            <c:ext xmlns:c16="http://schemas.microsoft.com/office/drawing/2014/chart" uri="{C3380CC4-5D6E-409C-BE32-E72D297353CC}">
              <c16:uniqueId val="{0000000C-8C70-434B-AC10-6054E12B2FE4}"/>
            </c:ext>
          </c:extLst>
        </c:ser>
        <c:ser>
          <c:idx val="2"/>
          <c:order val="2"/>
          <c:tx>
            <c:strRef>
              <c:f>'wykr 2 3'!$H$3</c:f>
              <c:strCache>
                <c:ptCount val="1"/>
                <c:pt idx="0">
                  <c:v>ubóstwa ustawowego</c:v>
                </c:pt>
              </c:strCache>
            </c:strRef>
          </c:tx>
          <c:spPr>
            <a:ln w="25400">
              <a:solidFill>
                <a:srgbClr val="008542"/>
              </a:solidFill>
            </a:ln>
          </c:spPr>
          <c:marker>
            <c:symbol val="triangle"/>
            <c:size val="3"/>
            <c:spPr>
              <a:ln>
                <a:solidFill>
                  <a:srgbClr val="FFC000"/>
                </a:solidFill>
              </a:ln>
            </c:spPr>
          </c:marker>
          <c:dLbls>
            <c:dLbl>
              <c:idx val="0"/>
              <c:layout>
                <c:manualLayout>
                  <c:x val="-3.3531271673942313E-2"/>
                  <c:y val="-3.84615384615384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B59-4110-9ACB-D6CDFB4E3F26}"/>
                </c:ext>
              </c:extLst>
            </c:dLbl>
            <c:dLbl>
              <c:idx val="1"/>
              <c:layout>
                <c:manualLayout>
                  <c:x val="-4.4041450777202069E-2"/>
                  <c:y val="-3.84615384615384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B59-4110-9ACB-D6CDFB4E3F26}"/>
                </c:ext>
              </c:extLst>
            </c:dLbl>
            <c:dLbl>
              <c:idx val="2"/>
              <c:layout>
                <c:manualLayout>
                  <c:x val="-4.4041450777202069E-2"/>
                  <c:y val="4.27350427350427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B59-4110-9ACB-D6CDFB4E3F26}"/>
                </c:ext>
              </c:extLst>
            </c:dLbl>
            <c:dLbl>
              <c:idx val="3"/>
              <c:layout>
                <c:manualLayout>
                  <c:x val="-4.6779609155073232E-2"/>
                  <c:y val="3.41880341880341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B59-4110-9ACB-D6CDFB4E3F26}"/>
                </c:ext>
              </c:extLst>
            </c:dLbl>
            <c:dLbl>
              <c:idx val="4"/>
              <c:layout>
                <c:manualLayout>
                  <c:x val="-4.157378319937987E-2"/>
                  <c:y val="3.41880341880341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B59-4110-9ACB-D6CDFB4E3F26}"/>
                </c:ext>
              </c:extLst>
            </c:dLbl>
            <c:dLbl>
              <c:idx val="5"/>
              <c:layout>
                <c:manualLayout>
                  <c:x val="-4.4188935579943696E-2"/>
                  <c:y val="5.55555555555554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B59-4110-9ACB-D6CDFB4E3F26}"/>
                </c:ext>
              </c:extLst>
            </c:dLbl>
            <c:dLbl>
              <c:idx val="6"/>
              <c:layout>
                <c:manualLayout>
                  <c:x val="-4.6730447554159449E-2"/>
                  <c:y val="4.70085470085470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B59-4110-9ACB-D6CDFB4E3F26}"/>
                </c:ext>
              </c:extLst>
            </c:dLbl>
            <c:dLbl>
              <c:idx val="7"/>
              <c:layout>
                <c:manualLayout>
                  <c:x val="-4.6755130349638935E-2"/>
                  <c:y val="4.70085470085470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B59-4110-9ACB-D6CDFB4E3F26}"/>
                </c:ext>
              </c:extLst>
            </c:dLbl>
            <c:dLbl>
              <c:idx val="8"/>
              <c:layout>
                <c:manualLayout>
                  <c:x val="-4.1721268002121593E-2"/>
                  <c:y val="4.27350427350427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B59-4110-9ACB-D6CDFB4E3F26}"/>
                </c:ext>
              </c:extLst>
            </c:dLbl>
            <c:dLbl>
              <c:idx val="9"/>
              <c:layout>
                <c:manualLayout>
                  <c:x val="-3.9032271225164214E-2"/>
                  <c:y val="3.41880341880341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3B59-4110-9ACB-D6CDFB4E3F26}"/>
                </c:ext>
              </c:extLst>
            </c:dLbl>
            <c:dLbl>
              <c:idx val="10"/>
              <c:layout>
                <c:manualLayout>
                  <c:x val="-3.8909265227856878E-2"/>
                  <c:y val="2.99145299145299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B59-4110-9ACB-D6CDFB4E3F26}"/>
                </c:ext>
              </c:extLst>
            </c:dLbl>
            <c:dLbl>
              <c:idx val="11"/>
              <c:layout>
                <c:manualLayout>
                  <c:x val="-5.1838154298070351E-2"/>
                  <c:y val="2.5641025641025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B59-4110-9ACB-D6CDFB4E3F26}"/>
                </c:ext>
              </c:extLst>
            </c:dLbl>
            <c:dLbl>
              <c:idx val="12"/>
              <c:layout>
                <c:manualLayout>
                  <c:x val="-4.4115295173595526E-2"/>
                  <c:y val="-1.70940170940171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B59-4110-9ACB-D6CDFB4E3F26}"/>
                </c:ext>
              </c:extLst>
            </c:dLbl>
            <c:dLbl>
              <c:idx val="13"/>
              <c:layout>
                <c:manualLayout>
                  <c:x val="-4.1524621598465997E-2"/>
                  <c:y val="3.41880341880341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B59-4110-9ACB-D6CDFB4E3F26}"/>
                </c:ext>
              </c:extLst>
            </c:dLbl>
            <c:dLbl>
              <c:idx val="14"/>
              <c:layout>
                <c:manualLayout>
                  <c:x val="-3.7279996736159275E-2"/>
                  <c:y val="3.41880341880341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B59-4110-9ACB-D6CDFB4E3F26}"/>
                </c:ext>
              </c:extLst>
            </c:dLbl>
            <c:spPr>
              <a:noFill/>
              <a:ln>
                <a:noFill/>
              </a:ln>
              <a:effectLst/>
            </c:spPr>
            <c:txPr>
              <a:bodyPr wrap="square" lIns="38100" tIns="19050" rIns="38100" bIns="19050" anchor="ctr">
                <a:spAutoFit/>
              </a:bodyPr>
              <a:lstStyle/>
              <a:p>
                <a:pPr>
                  <a:defRPr sz="700"/>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'wykr 2 3'!$E$4:$E$19</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'wykr 2 3'!$H$4:$H$19</c:f>
              <c:numCache>
                <c:formatCode>General</c:formatCode>
                <c:ptCount val="16"/>
                <c:pt idx="0">
                  <c:v>1404</c:v>
                </c:pt>
                <c:pt idx="1">
                  <c:v>1404</c:v>
                </c:pt>
                <c:pt idx="2">
                  <c:v>1824</c:v>
                </c:pt>
                <c:pt idx="3">
                  <c:v>1824</c:v>
                </c:pt>
                <c:pt idx="4">
                  <c:v>1824</c:v>
                </c:pt>
                <c:pt idx="5">
                  <c:v>2056</c:v>
                </c:pt>
                <c:pt idx="6">
                  <c:v>2056</c:v>
                </c:pt>
                <c:pt idx="7">
                  <c:v>2056</c:v>
                </c:pt>
                <c:pt idx="8">
                  <c:v>2112</c:v>
                </c:pt>
                <c:pt idx="9">
                  <c:v>2112</c:v>
                </c:pt>
                <c:pt idx="10">
                  <c:v>2112</c:v>
                </c:pt>
                <c:pt idx="11">
                  <c:v>2112</c:v>
                </c:pt>
                <c:pt idx="12">
                  <c:v>2400</c:v>
                </c:pt>
                <c:pt idx="13">
                  <c:v>2400</c:v>
                </c:pt>
                <c:pt idx="14">
                  <c:v>2400</c:v>
                </c:pt>
                <c:pt idx="15">
                  <c:v>3292</c:v>
                </c:pt>
              </c:numCache>
            </c:numRef>
          </c:val>
          <c:smooth val="0"/>
          <c:extLst>
            <c:ext xmlns:c16="http://schemas.microsoft.com/office/drawing/2014/chart" uri="{C3380CC4-5D6E-409C-BE32-E72D297353CC}">
              <c16:uniqueId val="{0000001B-8C70-434B-AC10-6054E12B2FE4}"/>
            </c:ext>
          </c:extLst>
        </c:ser>
        <c:dLbls>
          <c:showLegendKey val="0"/>
          <c:showVal val="0"/>
          <c:showCatName val="0"/>
          <c:showSerName val="0"/>
          <c:showPercent val="0"/>
          <c:showBubbleSize val="0"/>
        </c:dLbls>
        <c:marker val="1"/>
        <c:smooth val="0"/>
        <c:axId val="-900177408"/>
        <c:axId val="-900158912"/>
      </c:lineChart>
      <c:catAx>
        <c:axId val="-900177408"/>
        <c:scaling>
          <c:orientation val="minMax"/>
        </c:scaling>
        <c:delete val="0"/>
        <c:axPos val="b"/>
        <c:numFmt formatCode="General" sourceLinked="1"/>
        <c:majorTickMark val="out"/>
        <c:minorTickMark val="none"/>
        <c:tickLblPos val="nextTo"/>
        <c:txPr>
          <a:bodyPr/>
          <a:lstStyle/>
          <a:p>
            <a:pPr>
              <a:defRPr sz="800"/>
            </a:pPr>
            <a:endParaRPr lang="pl-PL"/>
          </a:p>
        </c:txPr>
        <c:crossAx val="-900158912"/>
        <c:crosses val="autoZero"/>
        <c:auto val="1"/>
        <c:lblAlgn val="ctr"/>
        <c:lblOffset val="100"/>
        <c:noMultiLvlLbl val="0"/>
      </c:catAx>
      <c:valAx>
        <c:axId val="-900158912"/>
        <c:scaling>
          <c:orientation val="minMax"/>
          <c:max val="4000"/>
          <c:min val="0"/>
        </c:scaling>
        <c:delete val="0"/>
        <c:axPos val="l"/>
        <c:majorGridlines>
          <c:spPr>
            <a:ln w="3175">
              <a:solidFill>
                <a:sysClr val="window" lastClr="FFFFFF">
                  <a:lumMod val="65000"/>
                </a:sysClr>
              </a:solidFill>
            </a:ln>
          </c:spPr>
        </c:majorGridlines>
        <c:title>
          <c:tx>
            <c:rich>
              <a:bodyPr rot="0" vert="horz"/>
              <a:lstStyle/>
              <a:p>
                <a:pPr>
                  <a:defRPr sz="800" b="0"/>
                </a:pPr>
                <a:r>
                  <a:rPr lang="pl-PL"/>
                  <a:t>Zł</a:t>
                </a:r>
              </a:p>
            </c:rich>
          </c:tx>
          <c:layout>
            <c:manualLayout>
              <c:xMode val="edge"/>
              <c:yMode val="edge"/>
              <c:x val="9.0911335469569376E-3"/>
              <c:y val="0.40253334797902807"/>
            </c:manualLayout>
          </c:layout>
          <c:overlay val="0"/>
        </c:title>
        <c:numFmt formatCode="#,##0" sourceLinked="0"/>
        <c:majorTickMark val="out"/>
        <c:minorTickMark val="none"/>
        <c:tickLblPos val="nextTo"/>
        <c:txPr>
          <a:bodyPr/>
          <a:lstStyle/>
          <a:p>
            <a:pPr>
              <a:defRPr sz="800"/>
            </a:pPr>
            <a:endParaRPr lang="pl-PL"/>
          </a:p>
        </c:txPr>
        <c:crossAx val="-900177408"/>
        <c:crosses val="autoZero"/>
        <c:crossBetween val="between"/>
        <c:majorUnit val="500"/>
      </c:valAx>
    </c:plotArea>
    <c:legend>
      <c:legendPos val="b"/>
      <c:legendEntry>
        <c:idx val="0"/>
        <c:txPr>
          <a:bodyPr/>
          <a:lstStyle/>
          <a:p>
            <a:pPr>
              <a:defRPr sz="800"/>
            </a:pPr>
            <a:endParaRPr lang="pl-PL"/>
          </a:p>
        </c:txPr>
      </c:legendEntry>
      <c:layout>
        <c:manualLayout>
          <c:xMode val="edge"/>
          <c:yMode val="edge"/>
          <c:x val="7.4025234797457547E-3"/>
          <c:y val="0.92090607831253224"/>
          <c:w val="0.98784255130759258"/>
          <c:h val="7.614857138373847E-2"/>
        </c:manualLayout>
      </c:layout>
      <c:overlay val="0"/>
      <c:txPr>
        <a:bodyPr/>
        <a:lstStyle/>
        <a:p>
          <a:pPr>
            <a:defRPr sz="800"/>
          </a:pPr>
          <a:endParaRPr lang="pl-PL"/>
        </a:p>
      </c:txPr>
    </c:legend>
    <c:plotVisOnly val="1"/>
    <c:dispBlanksAs val="gap"/>
    <c:showDLblsOverMax val="0"/>
  </c:chart>
  <c:spPr>
    <a:ln>
      <a:noFill/>
    </a:ln>
  </c:spPr>
  <c:txPr>
    <a:bodyPr/>
    <a:lstStyle/>
    <a:p>
      <a:pPr>
        <a:defRPr>
          <a:latin typeface="Fira Sans" panose="020B0503050000020004" pitchFamily="34" charset="0"/>
          <a:ea typeface="Fira Sans" panose="020B0503050000020004" pitchFamily="34" charset="0"/>
        </a:defRPr>
      </a:pPr>
      <a:endParaRPr lang="pl-PL"/>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33843455617015961"/>
          <c:y val="4.7976419383560349E-2"/>
          <c:w val="0.59801299434784683"/>
          <c:h val="0.71669405310274847"/>
        </c:manualLayout>
      </c:layout>
      <c:barChart>
        <c:barDir val="bar"/>
        <c:grouping val="clustered"/>
        <c:varyColors val="0"/>
        <c:ser>
          <c:idx val="1"/>
          <c:order val="1"/>
          <c:tx>
            <c:strRef>
              <c:f>'wykr 4'!$C$2</c:f>
              <c:strCache>
                <c:ptCount val="1"/>
                <c:pt idx="0">
                  <c:v>2024 r.</c:v>
                </c:pt>
              </c:strCache>
            </c:strRef>
          </c:tx>
          <c:spPr>
            <a:solidFill>
              <a:srgbClr val="008542"/>
            </a:solidFill>
            <a:effectLst/>
          </c:spPr>
          <c:invertIfNegative val="0"/>
          <c:dLbls>
            <c:dLbl>
              <c:idx val="0"/>
              <c:layout>
                <c:manualLayout>
                  <c:x val="-6.5704665289915368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BA1-46A0-9F1B-602FE2BC1371}"/>
                </c:ext>
              </c:extLst>
            </c:dLbl>
            <c:dLbl>
              <c:idx val="4"/>
              <c:layout>
                <c:manualLayout>
                  <c:x val="-5.0396825396826321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BA1-46A0-9F1B-602FE2BC1371}"/>
                </c:ext>
              </c:extLst>
            </c:dLbl>
            <c:spPr>
              <a:noFill/>
              <a:ln>
                <a:noFill/>
              </a:ln>
              <a:effectLst/>
            </c:spPr>
            <c:txPr>
              <a:bodyPr wrap="square" lIns="38100" tIns="19050" rIns="38100" bIns="19050" anchor="ctr">
                <a:spAutoFit/>
              </a:bodyPr>
              <a:lstStyle/>
              <a:p>
                <a:pPr>
                  <a:defRPr sz="800"/>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'wykr 4'!$A$3:$A$8</c:f>
              <c:strCache>
                <c:ptCount val="6"/>
                <c:pt idx="0">
                  <c:v>utrzymujących się z innych 
niezarobkowych źródeł</c:v>
                </c:pt>
                <c:pt idx="1">
                  <c:v>rolników</c:v>
                </c:pt>
                <c:pt idx="2">
                  <c:v>rencistów</c:v>
                </c:pt>
                <c:pt idx="3">
                  <c:v>pracowników </c:v>
                </c:pt>
                <c:pt idx="4">
                  <c:v>emerytów</c:v>
                </c:pt>
                <c:pt idx="5">
                  <c:v>pracujących na
własny rachunek</c:v>
                </c:pt>
              </c:strCache>
            </c:strRef>
          </c:cat>
          <c:val>
            <c:numRef>
              <c:f>'wykr 4'!$C$3:$C$8</c:f>
              <c:numCache>
                <c:formatCode>0.0</c:formatCode>
                <c:ptCount val="6"/>
                <c:pt idx="0">
                  <c:v>10.8</c:v>
                </c:pt>
                <c:pt idx="1">
                  <c:v>11.4</c:v>
                </c:pt>
                <c:pt idx="2">
                  <c:v>6</c:v>
                </c:pt>
                <c:pt idx="3">
                  <c:v>4.7</c:v>
                </c:pt>
                <c:pt idx="4">
                  <c:v>4.9000000000000004</c:v>
                </c:pt>
                <c:pt idx="5" formatCode="General">
                  <c:v>4.5</c:v>
                </c:pt>
              </c:numCache>
            </c:numRef>
          </c:val>
          <c:extLst>
            <c:ext xmlns:c16="http://schemas.microsoft.com/office/drawing/2014/chart" uri="{C3380CC4-5D6E-409C-BE32-E72D297353CC}">
              <c16:uniqueId val="{00000002-CBA1-46A0-9F1B-602FE2BC1371}"/>
            </c:ext>
          </c:extLst>
        </c:ser>
        <c:ser>
          <c:idx val="2"/>
          <c:order val="2"/>
          <c:tx>
            <c:strRef>
              <c:f>'wykr 4'!$D$2</c:f>
              <c:strCache>
                <c:ptCount val="1"/>
                <c:pt idx="0">
                  <c:v>2025 r.</c:v>
                </c:pt>
              </c:strCache>
            </c:strRef>
          </c:tx>
          <c:spPr>
            <a:solidFill>
              <a:srgbClr val="001D77"/>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'wykr 4'!$A$3:$A$8</c:f>
              <c:strCache>
                <c:ptCount val="6"/>
                <c:pt idx="0">
                  <c:v>utrzymujących się z innych 
niezarobkowych źródeł</c:v>
                </c:pt>
                <c:pt idx="1">
                  <c:v>rolników</c:v>
                </c:pt>
                <c:pt idx="2">
                  <c:v>rencistów</c:v>
                </c:pt>
                <c:pt idx="3">
                  <c:v>pracowników </c:v>
                </c:pt>
                <c:pt idx="4">
                  <c:v>emerytów</c:v>
                </c:pt>
                <c:pt idx="5">
                  <c:v>pracujących na
własny rachunek</c:v>
                </c:pt>
              </c:strCache>
            </c:strRef>
          </c:cat>
          <c:val>
            <c:numRef>
              <c:f>'wykr 4'!$D$3:$D$8</c:f>
              <c:numCache>
                <c:formatCode>General</c:formatCode>
                <c:ptCount val="6"/>
                <c:pt idx="0">
                  <c:v>12.1</c:v>
                </c:pt>
                <c:pt idx="1">
                  <c:v>17.5</c:v>
                </c:pt>
                <c:pt idx="2">
                  <c:v>12.1</c:v>
                </c:pt>
                <c:pt idx="3">
                  <c:v>4.4000000000000004</c:v>
                </c:pt>
                <c:pt idx="4">
                  <c:v>4.3</c:v>
                </c:pt>
                <c:pt idx="5">
                  <c:v>4.2</c:v>
                </c:pt>
              </c:numCache>
            </c:numRef>
          </c:val>
          <c:extLst>
            <c:ext xmlns:c16="http://schemas.microsoft.com/office/drawing/2014/chart" uri="{C3380CC4-5D6E-409C-BE32-E72D297353CC}">
              <c16:uniqueId val="{00000003-CBA1-46A0-9F1B-602FE2BC1371}"/>
            </c:ext>
          </c:extLst>
        </c:ser>
        <c:dLbls>
          <c:showLegendKey val="0"/>
          <c:showVal val="0"/>
          <c:showCatName val="0"/>
          <c:showSerName val="0"/>
          <c:showPercent val="0"/>
          <c:showBubbleSize val="0"/>
        </c:dLbls>
        <c:gapWidth val="60"/>
        <c:axId val="-900169792"/>
        <c:axId val="-900173600"/>
        <c:extLst>
          <c:ext xmlns:c15="http://schemas.microsoft.com/office/drawing/2012/chart" uri="{02D57815-91ED-43cb-92C2-25804820EDAC}">
            <c15:filteredBarSeries>
              <c15:ser>
                <c:idx val="0"/>
                <c:order val="0"/>
                <c:tx>
                  <c:strRef>
                    <c:extLst>
                      <c:ext uri="{02D57815-91ED-43cb-92C2-25804820EDAC}">
                        <c15:formulaRef>
                          <c15:sqref>'wykr 4'!$B$2</c15:sqref>
                        </c15:formulaRef>
                      </c:ext>
                    </c:extLst>
                    <c:strCache>
                      <c:ptCount val="1"/>
                      <c:pt idx="0">
                        <c:v>2023 r.</c:v>
                      </c:pt>
                    </c:strCache>
                  </c:strRef>
                </c:tx>
                <c:spPr>
                  <a:solidFill>
                    <a:srgbClr val="D9E2FF"/>
                  </a:solidFill>
                  <a:ln>
                    <a:noFill/>
                  </a:ln>
                  <a:effectLst/>
                </c:spPr>
                <c:invertIfNegative val="0"/>
                <c:dPt>
                  <c:idx val="6"/>
                  <c:invertIfNegative val="0"/>
                  <c:bubble3D val="0"/>
                  <c:extLst>
                    <c:ext xmlns:c16="http://schemas.microsoft.com/office/drawing/2014/chart" uri="{C3380CC4-5D6E-409C-BE32-E72D297353CC}">
                      <c16:uniqueId val="{00000004-CBA1-46A0-9F1B-602FE2BC1371}"/>
                    </c:ext>
                  </c:extLst>
                </c:dPt>
                <c:dLbls>
                  <c:dLbl>
                    <c:idx val="0"/>
                    <c:layout>
                      <c:manualLayout>
                        <c:x val="-4.3371043374118507E-3"/>
                        <c:y val="0"/>
                      </c:manualLayout>
                    </c:layout>
                    <c:showLegendKey val="0"/>
                    <c:showVal val="1"/>
                    <c:showCatName val="0"/>
                    <c:showSerName val="0"/>
                    <c:showPercent val="0"/>
                    <c:showBubbleSize val="0"/>
                    <c:extLst>
                      <c:ext uri="{CE6537A1-D6FC-4f65-9D91-7224C49458BB}"/>
                      <c:ext xmlns:c16="http://schemas.microsoft.com/office/drawing/2014/chart" uri="{C3380CC4-5D6E-409C-BE32-E72D297353CC}">
                        <c16:uniqueId val="{00000005-CBA1-46A0-9F1B-602FE2BC1371}"/>
                      </c:ext>
                    </c:extLst>
                  </c:dLbl>
                  <c:spPr>
                    <a:noFill/>
                    <a:ln>
                      <a:noFill/>
                    </a:ln>
                    <a:effectLst/>
                  </c:spPr>
                  <c:showLegendKey val="0"/>
                  <c:showVal val="1"/>
                  <c:showCatName val="0"/>
                  <c:showSerName val="0"/>
                  <c:showPercent val="0"/>
                  <c:showBubbleSize val="0"/>
                  <c:showLeaderLines val="0"/>
                  <c:extLst>
                    <c:ext uri="{CE6537A1-D6FC-4f65-9D91-7224C49458BB}">
                      <c15:showLeaderLines val="0"/>
                    </c:ext>
                  </c:extLst>
                </c:dLbls>
                <c:cat>
                  <c:strRef>
                    <c:extLst>
                      <c:ext uri="{02D57815-91ED-43cb-92C2-25804820EDAC}">
                        <c15:formulaRef>
                          <c15:sqref>'wykr 4'!$A$3:$A$8</c15:sqref>
                        </c15:formulaRef>
                      </c:ext>
                    </c:extLst>
                    <c:strCache>
                      <c:ptCount val="6"/>
                      <c:pt idx="0">
                        <c:v>utrzymujących się z innych 
niezarobkowych źródeł</c:v>
                      </c:pt>
                      <c:pt idx="1">
                        <c:v>rolników</c:v>
                      </c:pt>
                      <c:pt idx="2">
                        <c:v>rencistów</c:v>
                      </c:pt>
                      <c:pt idx="3">
                        <c:v>pracowników </c:v>
                      </c:pt>
                      <c:pt idx="4">
                        <c:v>emerytów</c:v>
                      </c:pt>
                      <c:pt idx="5">
                        <c:v>pracujących na
własny rachunek</c:v>
                      </c:pt>
                    </c:strCache>
                  </c:strRef>
                </c:cat>
                <c:val>
                  <c:numRef>
                    <c:extLst>
                      <c:ext uri="{02D57815-91ED-43cb-92C2-25804820EDAC}">
                        <c15:formulaRef>
                          <c15:sqref>'wykr 4'!$B$3:$B$8</c15:sqref>
                        </c15:formulaRef>
                      </c:ext>
                    </c:extLst>
                    <c:numCache>
                      <c:formatCode>0.0</c:formatCode>
                      <c:ptCount val="6"/>
                      <c:pt idx="0">
                        <c:v>17.899999999999999</c:v>
                      </c:pt>
                      <c:pt idx="1">
                        <c:v>14.1</c:v>
                      </c:pt>
                      <c:pt idx="2">
                        <c:v>8.4</c:v>
                      </c:pt>
                      <c:pt idx="3">
                        <c:v>6.4</c:v>
                      </c:pt>
                      <c:pt idx="4">
                        <c:v>5.9</c:v>
                      </c:pt>
                      <c:pt idx="5" formatCode="General">
                        <c:v>3.8</c:v>
                      </c:pt>
                    </c:numCache>
                  </c:numRef>
                </c:val>
                <c:extLst>
                  <c:ext xmlns:c16="http://schemas.microsoft.com/office/drawing/2014/chart" uri="{C3380CC4-5D6E-409C-BE32-E72D297353CC}">
                    <c16:uniqueId val="{00000006-CBA1-46A0-9F1B-602FE2BC1371}"/>
                  </c:ext>
                </c:extLst>
              </c15:ser>
            </c15:filteredBarSeries>
          </c:ext>
        </c:extLst>
      </c:barChart>
      <c:catAx>
        <c:axId val="-900169792"/>
        <c:scaling>
          <c:orientation val="minMax"/>
        </c:scaling>
        <c:delete val="0"/>
        <c:axPos val="l"/>
        <c:numFmt formatCode="General" sourceLinked="0"/>
        <c:majorTickMark val="out"/>
        <c:minorTickMark val="none"/>
        <c:tickLblPos val="nextTo"/>
        <c:crossAx val="-900173600"/>
        <c:crosses val="autoZero"/>
        <c:auto val="0"/>
        <c:lblAlgn val="ctr"/>
        <c:lblOffset val="100"/>
        <c:noMultiLvlLbl val="0"/>
      </c:catAx>
      <c:valAx>
        <c:axId val="-900173600"/>
        <c:scaling>
          <c:orientation val="minMax"/>
          <c:max val="18"/>
          <c:min val="0"/>
        </c:scaling>
        <c:delete val="0"/>
        <c:axPos val="b"/>
        <c:majorGridlines>
          <c:spPr>
            <a:ln w="3175"/>
          </c:spPr>
        </c:majorGridlines>
        <c:title>
          <c:tx>
            <c:rich>
              <a:bodyPr/>
              <a:lstStyle/>
              <a:p>
                <a:pPr>
                  <a:defRPr b="0"/>
                </a:pPr>
                <a:r>
                  <a:rPr lang="pl-PL" b="0"/>
                  <a:t>% osób w gospodarstwach domowych</a:t>
                </a:r>
              </a:p>
            </c:rich>
          </c:tx>
          <c:layout>
            <c:manualLayout>
              <c:xMode val="edge"/>
              <c:yMode val="edge"/>
              <c:x val="0.46615158730158729"/>
              <c:y val="0.82845246951057361"/>
            </c:manualLayout>
          </c:layout>
          <c:overlay val="0"/>
        </c:title>
        <c:numFmt formatCode="General" sourceLinked="0"/>
        <c:majorTickMark val="out"/>
        <c:minorTickMark val="none"/>
        <c:tickLblPos val="nextTo"/>
        <c:crossAx val="-900169792"/>
        <c:crosses val="autoZero"/>
        <c:crossBetween val="between"/>
        <c:majorUnit val="2"/>
        <c:minorUnit val="1"/>
      </c:valAx>
    </c:plotArea>
    <c:legend>
      <c:legendPos val="b"/>
      <c:overlay val="0"/>
      <c:txPr>
        <a:bodyPr/>
        <a:lstStyle/>
        <a:p>
          <a:pPr>
            <a:defRPr sz="900"/>
          </a:pPr>
          <a:endParaRPr lang="pl-PL"/>
        </a:p>
      </c:tx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0342506457566326"/>
          <c:y val="8.3793208300984912E-2"/>
          <c:w val="0.64785434961438315"/>
          <c:h val="0.64554967996424539"/>
        </c:manualLayout>
      </c:layout>
      <c:barChart>
        <c:barDir val="bar"/>
        <c:grouping val="clustered"/>
        <c:varyColors val="0"/>
        <c:ser>
          <c:idx val="1"/>
          <c:order val="1"/>
          <c:tx>
            <c:strRef>
              <c:f>'wykr 5'!$D$4</c:f>
              <c:strCache>
                <c:ptCount val="1"/>
                <c:pt idx="0">
                  <c:v>2024 r.</c:v>
                </c:pt>
              </c:strCache>
            </c:strRef>
          </c:tx>
          <c:spPr>
            <a:solidFill>
              <a:srgbClr val="008542"/>
            </a:solidFill>
          </c:spPr>
          <c:invertIfNegative val="0"/>
          <c:dLbls>
            <c:dLbl>
              <c:idx val="1"/>
              <c:layout>
                <c:manualLayout>
                  <c:x val="-5.0588036128622008E-3"/>
                  <c:y val="-9.8794234050361293E-17"/>
                </c:manualLayout>
              </c:layout>
              <c:dLblPos val="outEnd"/>
              <c:showLegendKey val="0"/>
              <c:showVal val="1"/>
              <c:showCatName val="0"/>
              <c:showSerName val="0"/>
              <c:showPercent val="0"/>
              <c:showBubbleSize val="0"/>
              <c:extLst xmlns:c15="http://schemas.microsoft.com/office/drawing/2012/chart" xmlns:c16="http://schemas.microsoft.com/office/drawing/2014/chart">
                <c:ext xmlns:c15="http://schemas.microsoft.com/office/drawing/2012/chart" uri="{CE6537A1-D6FC-4f65-9D91-7224C49458BB}"/>
                <c:ext xmlns:c16="http://schemas.microsoft.com/office/drawing/2014/chart" uri="{C3380CC4-5D6E-409C-BE32-E72D297353CC}">
                  <c16:uniqueId val="{00000000-209A-43AB-90C1-A5725345A369}"/>
                </c:ext>
              </c:extLst>
            </c:dLbl>
            <c:dLbl>
              <c:idx val="2"/>
              <c:layout>
                <c:manualLayout>
                  <c:x val="-5.0588036128622008E-3"/>
                  <c:y val="4.6046896928000396E-7"/>
                </c:manualLayout>
              </c:layout>
              <c:dLblPos val="outEnd"/>
              <c:showLegendKey val="0"/>
              <c:showVal val="1"/>
              <c:showCatName val="0"/>
              <c:showSerName val="0"/>
              <c:showPercent val="0"/>
              <c:showBubbleSize val="0"/>
              <c:extLst xmlns:c15="http://schemas.microsoft.com/office/drawing/2012/chart" xmlns:c16="http://schemas.microsoft.com/office/drawing/2014/chart">
                <c:ext xmlns:c15="http://schemas.microsoft.com/office/drawing/2012/chart" uri="{CE6537A1-D6FC-4f65-9D91-7224C49458BB}"/>
                <c:ext xmlns:c16="http://schemas.microsoft.com/office/drawing/2014/chart" uri="{C3380CC4-5D6E-409C-BE32-E72D297353CC}">
                  <c16:uniqueId val="{00000001-209A-43AB-90C1-A5725345A369}"/>
                </c:ext>
              </c:extLst>
            </c:dLbl>
            <c:dLbl>
              <c:idx val="6"/>
              <c:layout>
                <c:manualLayout>
                  <c:x val="-4.3765508540563307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09A-43AB-90C1-A5725345A369}"/>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'wykr 5'!$B$5:$B$12</c:f>
              <c:strCache>
                <c:ptCount val="8"/>
                <c:pt idx="0">
                  <c:v>Inne gospodarstwa domowe*</c:v>
                </c:pt>
                <c:pt idx="1">
                  <c:v>Matka lub ojciec z dziećmi 
na utrzymaniu</c:v>
                </c:pt>
                <c:pt idx="2">
                  <c:v>Małżeństwa</c:v>
                </c:pt>
                <c:pt idx="3">
                  <c:v>z co najmniej 3 dzieci 
na utrzymaniu</c:v>
                </c:pt>
                <c:pt idx="4">
                  <c:v>z 2 dzieci na utrzymaniu</c:v>
                </c:pt>
                <c:pt idx="5">
                  <c:v>z 1 dzieckiem 
na utrzymaniu</c:v>
                </c:pt>
                <c:pt idx="6">
                  <c:v>bez dzieci na utrzymaniu</c:v>
                </c:pt>
                <c:pt idx="7">
                  <c:v>Gospodarstwa 1-osobowe</c:v>
                </c:pt>
              </c:strCache>
            </c:strRef>
          </c:cat>
          <c:val>
            <c:numRef>
              <c:f>'wykr 5'!$D$5:$D$12</c:f>
              <c:numCache>
                <c:formatCode>0.0</c:formatCode>
                <c:ptCount val="8"/>
                <c:pt idx="0" formatCode="General">
                  <c:v>7.3</c:v>
                </c:pt>
                <c:pt idx="1">
                  <c:v>2.5</c:v>
                </c:pt>
                <c:pt idx="3">
                  <c:v>3.6</c:v>
                </c:pt>
                <c:pt idx="4">
                  <c:v>2.5</c:v>
                </c:pt>
                <c:pt idx="5">
                  <c:v>1.6</c:v>
                </c:pt>
                <c:pt idx="6">
                  <c:v>1.2</c:v>
                </c:pt>
                <c:pt idx="7">
                  <c:v>1.2</c:v>
                </c:pt>
              </c:numCache>
            </c:numRef>
          </c:val>
          <c:extLst>
            <c:ext xmlns:c16="http://schemas.microsoft.com/office/drawing/2014/chart" uri="{C3380CC4-5D6E-409C-BE32-E72D297353CC}">
              <c16:uniqueId val="{00000003-209A-43AB-90C1-A5725345A369}"/>
            </c:ext>
          </c:extLst>
        </c:ser>
        <c:ser>
          <c:idx val="2"/>
          <c:order val="2"/>
          <c:tx>
            <c:strRef>
              <c:f>'wykr 5'!$E$4</c:f>
              <c:strCache>
                <c:ptCount val="1"/>
                <c:pt idx="0">
                  <c:v>2025 r.</c:v>
                </c:pt>
              </c:strCache>
            </c:strRef>
          </c:tx>
          <c:spPr>
            <a:solidFill>
              <a:srgbClr val="001D77"/>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'wykr 5'!$B$5:$B$12</c:f>
              <c:strCache>
                <c:ptCount val="8"/>
                <c:pt idx="0">
                  <c:v>Inne gospodarstwa domowe*</c:v>
                </c:pt>
                <c:pt idx="1">
                  <c:v>Matka lub ojciec z dziećmi 
na utrzymaniu</c:v>
                </c:pt>
                <c:pt idx="2">
                  <c:v>Małżeństwa</c:v>
                </c:pt>
                <c:pt idx="3">
                  <c:v>z co najmniej 3 dzieci 
na utrzymaniu</c:v>
                </c:pt>
                <c:pt idx="4">
                  <c:v>z 2 dzieci na utrzymaniu</c:v>
                </c:pt>
                <c:pt idx="5">
                  <c:v>z 1 dzieckiem 
na utrzymaniu</c:v>
                </c:pt>
                <c:pt idx="6">
                  <c:v>bez dzieci na utrzymaniu</c:v>
                </c:pt>
                <c:pt idx="7">
                  <c:v>Gospodarstwa 1-osobowe</c:v>
                </c:pt>
              </c:strCache>
            </c:strRef>
          </c:cat>
          <c:val>
            <c:numRef>
              <c:f>'wykr 5'!$E$5:$E$12</c:f>
              <c:numCache>
                <c:formatCode>General</c:formatCode>
                <c:ptCount val="8"/>
                <c:pt idx="0">
                  <c:v>7.1</c:v>
                </c:pt>
                <c:pt idx="1">
                  <c:v>1.4</c:v>
                </c:pt>
                <c:pt idx="3">
                  <c:v>6</c:v>
                </c:pt>
                <c:pt idx="4">
                  <c:v>3.1</c:v>
                </c:pt>
                <c:pt idx="5">
                  <c:v>1.4</c:v>
                </c:pt>
                <c:pt idx="6">
                  <c:v>0.9</c:v>
                </c:pt>
                <c:pt idx="7">
                  <c:v>1.4</c:v>
                </c:pt>
              </c:numCache>
            </c:numRef>
          </c:val>
          <c:extLst>
            <c:ext xmlns:c16="http://schemas.microsoft.com/office/drawing/2014/chart" uri="{C3380CC4-5D6E-409C-BE32-E72D297353CC}">
              <c16:uniqueId val="{00000004-209A-43AB-90C1-A5725345A369}"/>
            </c:ext>
          </c:extLst>
        </c:ser>
        <c:dLbls>
          <c:showLegendKey val="0"/>
          <c:showVal val="0"/>
          <c:showCatName val="0"/>
          <c:showSerName val="0"/>
          <c:showPercent val="0"/>
          <c:showBubbleSize val="0"/>
        </c:dLbls>
        <c:gapWidth val="60"/>
        <c:axId val="-900174688"/>
        <c:axId val="-900176320"/>
        <c:extLst>
          <c:ext xmlns:c15="http://schemas.microsoft.com/office/drawing/2012/chart" uri="{02D57815-91ED-43cb-92C2-25804820EDAC}">
            <c15:filteredBarSeries>
              <c15:ser>
                <c:idx val="0"/>
                <c:order val="0"/>
                <c:tx>
                  <c:strRef>
                    <c:extLst>
                      <c:ext uri="{02D57815-91ED-43cb-92C2-25804820EDAC}">
                        <c15:formulaRef>
                          <c15:sqref>'wykr 5'!$C$4</c15:sqref>
                        </c15:formulaRef>
                      </c:ext>
                    </c:extLst>
                    <c:strCache>
                      <c:ptCount val="1"/>
                      <c:pt idx="0">
                        <c:v>2023 r.</c:v>
                      </c:pt>
                    </c:strCache>
                  </c:strRef>
                </c:tx>
                <c:spPr>
                  <a:solidFill>
                    <a:srgbClr val="D9E2FF"/>
                  </a:solidFill>
                  <a:effectLst/>
                </c:spPr>
                <c:invertIfNegative val="0"/>
                <c:dPt>
                  <c:idx val="6"/>
                  <c:invertIfNegative val="0"/>
                  <c:bubble3D val="0"/>
                  <c:extLst>
                    <c:ext xmlns:c16="http://schemas.microsoft.com/office/drawing/2014/chart" uri="{C3380CC4-5D6E-409C-BE32-E72D297353CC}">
                      <c16:uniqueId val="{00000005-209A-43AB-90C1-A5725345A369}"/>
                    </c:ext>
                  </c:extLst>
                </c:dPt>
                <c:dLbls>
                  <c:spPr>
                    <a:noFill/>
                    <a:ln>
                      <a:noFill/>
                    </a:ln>
                    <a:effectLst/>
                  </c:spPr>
                  <c:showLegendKey val="0"/>
                  <c:showVal val="1"/>
                  <c:showCatName val="0"/>
                  <c:showSerName val="0"/>
                  <c:showPercent val="0"/>
                  <c:showBubbleSize val="0"/>
                  <c:showLeaderLines val="0"/>
                  <c:extLst>
                    <c:ext uri="{CE6537A1-D6FC-4f65-9D91-7224C49458BB}">
                      <c15:showLeaderLines val="0"/>
                    </c:ext>
                  </c:extLst>
                </c:dLbls>
                <c:cat>
                  <c:strRef>
                    <c:extLst>
                      <c:ext uri="{02D57815-91ED-43cb-92C2-25804820EDAC}">
                        <c15:formulaRef>
                          <c15:sqref>'wykr 5'!$B$5:$B$12</c15:sqref>
                        </c15:formulaRef>
                      </c:ext>
                    </c:extLst>
                    <c:strCache>
                      <c:ptCount val="8"/>
                      <c:pt idx="0">
                        <c:v>Inne gospodarstwa domowe*</c:v>
                      </c:pt>
                      <c:pt idx="1">
                        <c:v>Matka lub ojciec z dziećmi 
na utrzymaniu</c:v>
                      </c:pt>
                      <c:pt idx="2">
                        <c:v>Małżeństwa</c:v>
                      </c:pt>
                      <c:pt idx="3">
                        <c:v>z co najmniej 3 dzieci 
na utrzymaniu</c:v>
                      </c:pt>
                      <c:pt idx="4">
                        <c:v>z 2 dzieci na utrzymaniu</c:v>
                      </c:pt>
                      <c:pt idx="5">
                        <c:v>z 1 dzieckiem 
na utrzymaniu</c:v>
                      </c:pt>
                      <c:pt idx="6">
                        <c:v>bez dzieci na utrzymaniu</c:v>
                      </c:pt>
                      <c:pt idx="7">
                        <c:v>Gospodarstwa 1-osobowe</c:v>
                      </c:pt>
                    </c:strCache>
                  </c:strRef>
                </c:cat>
                <c:val>
                  <c:numRef>
                    <c:extLst>
                      <c:ext uri="{02D57815-91ED-43cb-92C2-25804820EDAC}">
                        <c15:formulaRef>
                          <c15:sqref>'wykr 5'!$C$5:$C$12</c15:sqref>
                        </c15:formulaRef>
                      </c:ext>
                    </c:extLst>
                    <c:numCache>
                      <c:formatCode>0.0</c:formatCode>
                      <c:ptCount val="8"/>
                      <c:pt idx="0" formatCode="General">
                        <c:v>8.9</c:v>
                      </c:pt>
                      <c:pt idx="1">
                        <c:v>2.5</c:v>
                      </c:pt>
                      <c:pt idx="3">
                        <c:v>6.9</c:v>
                      </c:pt>
                      <c:pt idx="4">
                        <c:v>3.4</c:v>
                      </c:pt>
                      <c:pt idx="5">
                        <c:v>2.1</c:v>
                      </c:pt>
                      <c:pt idx="6">
                        <c:v>1.7</c:v>
                      </c:pt>
                      <c:pt idx="7">
                        <c:v>1.6</c:v>
                      </c:pt>
                    </c:numCache>
                  </c:numRef>
                </c:val>
                <c:extLst>
                  <c:ext xmlns:c16="http://schemas.microsoft.com/office/drawing/2014/chart" uri="{C3380CC4-5D6E-409C-BE32-E72D297353CC}">
                    <c16:uniqueId val="{00000006-209A-43AB-90C1-A5725345A369}"/>
                  </c:ext>
                </c:extLst>
              </c15:ser>
            </c15:filteredBarSeries>
          </c:ext>
        </c:extLst>
      </c:barChart>
      <c:catAx>
        <c:axId val="-900174688"/>
        <c:scaling>
          <c:orientation val="minMax"/>
        </c:scaling>
        <c:delete val="0"/>
        <c:axPos val="l"/>
        <c:numFmt formatCode="General" sourceLinked="0"/>
        <c:majorTickMark val="out"/>
        <c:minorTickMark val="none"/>
        <c:tickLblPos val="nextTo"/>
        <c:crossAx val="-900176320"/>
        <c:crosses val="autoZero"/>
        <c:auto val="0"/>
        <c:lblAlgn val="ctr"/>
        <c:lblOffset val="100"/>
        <c:noMultiLvlLbl val="0"/>
      </c:catAx>
      <c:valAx>
        <c:axId val="-900176320"/>
        <c:scaling>
          <c:orientation val="minMax"/>
        </c:scaling>
        <c:delete val="0"/>
        <c:axPos val="b"/>
        <c:majorGridlines>
          <c:spPr>
            <a:ln w="3175"/>
          </c:spPr>
        </c:majorGridlines>
        <c:title>
          <c:tx>
            <c:rich>
              <a:bodyPr/>
              <a:lstStyle/>
              <a:p>
                <a:pPr>
                  <a:defRPr b="0"/>
                </a:pPr>
                <a:r>
                  <a:rPr lang="pl-PL" sz="800" b="0" i="0" baseline="0">
                    <a:effectLst/>
                  </a:rPr>
                  <a:t>% osób w gospodarstwach domowych</a:t>
                </a:r>
                <a:endParaRPr lang="pl-PL" sz="800">
                  <a:effectLst/>
                </a:endParaRPr>
              </a:p>
            </c:rich>
          </c:tx>
          <c:layout>
            <c:manualLayout>
              <c:xMode val="edge"/>
              <c:yMode val="edge"/>
              <c:x val="0.41950903674214096"/>
              <c:y val="0.79496015718836976"/>
            </c:manualLayout>
          </c:layout>
          <c:overlay val="0"/>
        </c:title>
        <c:numFmt formatCode="General" sourceLinked="0"/>
        <c:majorTickMark val="out"/>
        <c:minorTickMark val="none"/>
        <c:tickLblPos val="nextTo"/>
        <c:crossAx val="-900174688"/>
        <c:crosses val="autoZero"/>
        <c:crossBetween val="between"/>
      </c:valAx>
    </c:plotArea>
    <c:legend>
      <c:legendPos val="b"/>
      <c:layout>
        <c:manualLayout>
          <c:xMode val="edge"/>
          <c:yMode val="edge"/>
          <c:x val="0.46575993433146323"/>
          <c:y val="0.8927093687757115"/>
          <c:w val="0.19015615802241637"/>
          <c:h val="5.7012213406642996E-2"/>
        </c:manualLayout>
      </c:layout>
      <c:overlay val="0"/>
      <c:txPr>
        <a:bodyPr/>
        <a:lstStyle/>
        <a:p>
          <a:pPr>
            <a:defRPr sz="900"/>
          </a:pPr>
          <a:endParaRPr lang="pl-PL"/>
        </a:p>
      </c:tx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2">
    <c:autoUpdate val="0"/>
  </c:externalData>
  <c:userShapes r:id="rId3"/>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32496428571428571"/>
          <c:y val="5.5141505285561006E-2"/>
          <c:w val="0.64486210317460313"/>
          <c:h val="0.72075281867271723"/>
        </c:manualLayout>
      </c:layout>
      <c:barChart>
        <c:barDir val="bar"/>
        <c:grouping val="clustered"/>
        <c:varyColors val="0"/>
        <c:ser>
          <c:idx val="1"/>
          <c:order val="1"/>
          <c:tx>
            <c:strRef>
              <c:f>'wykr 6'!$C$7</c:f>
              <c:strCache>
                <c:ptCount val="1"/>
                <c:pt idx="0">
                  <c:v>2024 r.</c:v>
                </c:pt>
              </c:strCache>
            </c:strRef>
          </c:tx>
          <c:spPr>
            <a:solidFill>
              <a:srgbClr val="008542"/>
            </a:solidFill>
            <a:effectLst/>
          </c:spPr>
          <c:invertIfNegative val="0"/>
          <c:dLbls>
            <c:dLbl>
              <c:idx val="2"/>
              <c:layout>
                <c:manualLayout>
                  <c:x val="-5.0432288100998E-3"/>
                  <c:y val="-4.2216373164993459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416-42AA-A8C7-4B88E6FB49C2}"/>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'wykr 6'!$A$8:$A$12</c:f>
              <c:strCache>
                <c:ptCount val="5"/>
                <c:pt idx="0">
                  <c:v>bez osób w wieku 0-17 lat</c:v>
                </c:pt>
                <c:pt idx="1">
                  <c:v>z co najmniej 1 osobą 
w wieku 0-17 lat</c:v>
                </c:pt>
                <c:pt idx="2">
                  <c:v>z 1 osobą
 w wieku 0-17 lat</c:v>
                </c:pt>
                <c:pt idx="3">
                  <c:v>z 2 osobami 
w wieku 0-17 lat</c:v>
                </c:pt>
                <c:pt idx="4">
                  <c:v>z co najmniej 3 osobami
w wieku 0-17 lat</c:v>
                </c:pt>
              </c:strCache>
            </c:strRef>
          </c:cat>
          <c:val>
            <c:numRef>
              <c:f>'wykr 6'!$C$8:$C$12</c:f>
              <c:numCache>
                <c:formatCode>General</c:formatCode>
                <c:ptCount val="5"/>
                <c:pt idx="0" formatCode="0.0">
                  <c:v>4.2</c:v>
                </c:pt>
                <c:pt idx="1">
                  <c:v>6.3</c:v>
                </c:pt>
                <c:pt idx="2" formatCode="0.0">
                  <c:v>6.1</c:v>
                </c:pt>
                <c:pt idx="3">
                  <c:v>6.7</c:v>
                </c:pt>
                <c:pt idx="4">
                  <c:v>5.9</c:v>
                </c:pt>
              </c:numCache>
            </c:numRef>
          </c:val>
          <c:extLst>
            <c:ext xmlns:c16="http://schemas.microsoft.com/office/drawing/2014/chart" uri="{C3380CC4-5D6E-409C-BE32-E72D297353CC}">
              <c16:uniqueId val="{00000001-7416-42AA-A8C7-4B88E6FB49C2}"/>
            </c:ext>
          </c:extLst>
        </c:ser>
        <c:ser>
          <c:idx val="2"/>
          <c:order val="2"/>
          <c:tx>
            <c:strRef>
              <c:f>'wykr 6'!$D$7</c:f>
              <c:strCache>
                <c:ptCount val="1"/>
                <c:pt idx="0">
                  <c:v>2025 r.</c:v>
                </c:pt>
              </c:strCache>
            </c:strRef>
          </c:tx>
          <c:spPr>
            <a:solidFill>
              <a:srgbClr val="001D77"/>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'wykr 6'!$A$8:$A$12</c:f>
              <c:strCache>
                <c:ptCount val="5"/>
                <c:pt idx="0">
                  <c:v>bez osób w wieku 0-17 lat</c:v>
                </c:pt>
                <c:pt idx="1">
                  <c:v>z co najmniej 1 osobą 
w wieku 0-17 lat</c:v>
                </c:pt>
                <c:pt idx="2">
                  <c:v>z 1 osobą
 w wieku 0-17 lat</c:v>
                </c:pt>
                <c:pt idx="3">
                  <c:v>z 2 osobami 
w wieku 0-17 lat</c:v>
                </c:pt>
                <c:pt idx="4">
                  <c:v>z co najmniej 3 osobami
w wieku 0-17 lat</c:v>
                </c:pt>
              </c:strCache>
            </c:strRef>
          </c:cat>
          <c:val>
            <c:numRef>
              <c:f>'wykr 6'!$D$8:$D$12</c:f>
              <c:numCache>
                <c:formatCode>General</c:formatCode>
                <c:ptCount val="5"/>
                <c:pt idx="0">
                  <c:v>3.8</c:v>
                </c:pt>
                <c:pt idx="1">
                  <c:v>7.1</c:v>
                </c:pt>
                <c:pt idx="2">
                  <c:v>5.9</c:v>
                </c:pt>
                <c:pt idx="3">
                  <c:v>7.2</c:v>
                </c:pt>
                <c:pt idx="4">
                  <c:v>8.9</c:v>
                </c:pt>
              </c:numCache>
            </c:numRef>
          </c:val>
          <c:extLst>
            <c:ext xmlns:c16="http://schemas.microsoft.com/office/drawing/2014/chart" uri="{C3380CC4-5D6E-409C-BE32-E72D297353CC}">
              <c16:uniqueId val="{00000002-7416-42AA-A8C7-4B88E6FB49C2}"/>
            </c:ext>
          </c:extLst>
        </c:ser>
        <c:dLbls>
          <c:showLegendKey val="0"/>
          <c:showVal val="0"/>
          <c:showCatName val="0"/>
          <c:showSerName val="0"/>
          <c:showPercent val="0"/>
          <c:showBubbleSize val="0"/>
        </c:dLbls>
        <c:gapWidth val="60"/>
        <c:axId val="-900176864"/>
        <c:axId val="-900160000"/>
        <c:extLst>
          <c:ext xmlns:c15="http://schemas.microsoft.com/office/drawing/2012/chart" uri="{02D57815-91ED-43cb-92C2-25804820EDAC}">
            <c15:filteredBarSeries>
              <c15:ser>
                <c:idx val="0"/>
                <c:order val="0"/>
                <c:tx>
                  <c:strRef>
                    <c:extLst>
                      <c:ext uri="{02D57815-91ED-43cb-92C2-25804820EDAC}">
                        <c15:formulaRef>
                          <c15:sqref>'wykr 6'!$B$7</c15:sqref>
                        </c15:formulaRef>
                      </c:ext>
                    </c:extLst>
                    <c:strCache>
                      <c:ptCount val="1"/>
                      <c:pt idx="0">
                        <c:v>2023 r.</c:v>
                      </c:pt>
                    </c:strCache>
                  </c:strRef>
                </c:tx>
                <c:spPr>
                  <a:solidFill>
                    <a:srgbClr val="D9E2FF"/>
                  </a:solidFill>
                  <a:ln>
                    <a:noFill/>
                  </a:ln>
                  <a:effectLst/>
                </c:spPr>
                <c:invertIfNegative val="0"/>
                <c:dPt>
                  <c:idx val="6"/>
                  <c:invertIfNegative val="0"/>
                  <c:bubble3D val="0"/>
                  <c:extLst>
                    <c:ext xmlns:c16="http://schemas.microsoft.com/office/drawing/2014/chart" uri="{C3380CC4-5D6E-409C-BE32-E72D297353CC}">
                      <c16:uniqueId val="{00000003-7416-42AA-A8C7-4B88E6FB49C2}"/>
                    </c:ext>
                  </c:extLst>
                </c:dPt>
                <c:dLbls>
                  <c:dLbl>
                    <c:idx val="2"/>
                    <c:layout>
                      <c:manualLayout>
                        <c:x val="-7.5616663781039681E-3"/>
                        <c:y val="0"/>
                      </c:manualLayout>
                    </c:layout>
                    <c:showLegendKey val="0"/>
                    <c:showVal val="1"/>
                    <c:showCatName val="0"/>
                    <c:showSerName val="0"/>
                    <c:showPercent val="0"/>
                    <c:showBubbleSize val="0"/>
                    <c:extLst>
                      <c:ext uri="{CE6537A1-D6FC-4f65-9D91-7224C49458BB}"/>
                      <c:ext xmlns:c16="http://schemas.microsoft.com/office/drawing/2014/chart" uri="{C3380CC4-5D6E-409C-BE32-E72D297353CC}">
                        <c16:uniqueId val="{00000004-7416-42AA-A8C7-4B88E6FB49C2}"/>
                      </c:ext>
                    </c:extLst>
                  </c:dLbl>
                  <c:spPr>
                    <a:noFill/>
                    <a:ln>
                      <a:noFill/>
                    </a:ln>
                    <a:effectLst/>
                  </c:spPr>
                  <c:showLegendKey val="0"/>
                  <c:showVal val="1"/>
                  <c:showCatName val="0"/>
                  <c:showSerName val="0"/>
                  <c:showPercent val="0"/>
                  <c:showBubbleSize val="0"/>
                  <c:showLeaderLines val="0"/>
                  <c:extLst>
                    <c:ext uri="{CE6537A1-D6FC-4f65-9D91-7224C49458BB}">
                      <c15:showLeaderLines val="0"/>
                    </c:ext>
                  </c:extLst>
                </c:dLbls>
                <c:cat>
                  <c:strRef>
                    <c:extLst>
                      <c:ext uri="{02D57815-91ED-43cb-92C2-25804820EDAC}">
                        <c15:formulaRef>
                          <c15:sqref>'wykr 6'!$A$8:$A$12</c15:sqref>
                        </c15:formulaRef>
                      </c:ext>
                    </c:extLst>
                    <c:strCache>
                      <c:ptCount val="5"/>
                      <c:pt idx="0">
                        <c:v>bez osób w wieku 0-17 lat</c:v>
                      </c:pt>
                      <c:pt idx="1">
                        <c:v>z co najmniej 1 osobą 
w wieku 0-17 lat</c:v>
                      </c:pt>
                      <c:pt idx="2">
                        <c:v>z 1 osobą
 w wieku 0-17 lat</c:v>
                      </c:pt>
                      <c:pt idx="3">
                        <c:v>z 2 osobami 
w wieku 0-17 lat</c:v>
                      </c:pt>
                      <c:pt idx="4">
                        <c:v>z co najmniej 3 osobami
w wieku 0-17 lat</c:v>
                      </c:pt>
                    </c:strCache>
                  </c:strRef>
                </c:cat>
                <c:val>
                  <c:numRef>
                    <c:extLst>
                      <c:ext uri="{02D57815-91ED-43cb-92C2-25804820EDAC}">
                        <c15:formulaRef>
                          <c15:sqref>'wykr 6'!$B$8:$B$12</c15:sqref>
                        </c15:formulaRef>
                      </c:ext>
                    </c:extLst>
                    <c:numCache>
                      <c:formatCode>General</c:formatCode>
                      <c:ptCount val="5"/>
                      <c:pt idx="0" formatCode="0.0">
                        <c:v>5.2</c:v>
                      </c:pt>
                      <c:pt idx="1">
                        <c:v>8.1999999999999993</c:v>
                      </c:pt>
                      <c:pt idx="2" formatCode="0.0">
                        <c:v>7.3</c:v>
                      </c:pt>
                      <c:pt idx="3">
                        <c:v>9.4</c:v>
                      </c:pt>
                      <c:pt idx="4">
                        <c:v>8.3000000000000007</c:v>
                      </c:pt>
                    </c:numCache>
                  </c:numRef>
                </c:val>
                <c:extLst>
                  <c:ext xmlns:c16="http://schemas.microsoft.com/office/drawing/2014/chart" uri="{C3380CC4-5D6E-409C-BE32-E72D297353CC}">
                    <c16:uniqueId val="{00000005-7416-42AA-A8C7-4B88E6FB49C2}"/>
                  </c:ext>
                </c:extLst>
              </c15:ser>
            </c15:filteredBarSeries>
          </c:ext>
        </c:extLst>
      </c:barChart>
      <c:catAx>
        <c:axId val="-900176864"/>
        <c:scaling>
          <c:orientation val="minMax"/>
        </c:scaling>
        <c:delete val="0"/>
        <c:axPos val="l"/>
        <c:numFmt formatCode="General" sourceLinked="0"/>
        <c:majorTickMark val="out"/>
        <c:minorTickMark val="none"/>
        <c:tickLblPos val="nextTo"/>
        <c:crossAx val="-900160000"/>
        <c:crosses val="autoZero"/>
        <c:auto val="0"/>
        <c:lblAlgn val="ctr"/>
        <c:lblOffset val="100"/>
        <c:noMultiLvlLbl val="0"/>
      </c:catAx>
      <c:valAx>
        <c:axId val="-900160000"/>
        <c:scaling>
          <c:orientation val="minMax"/>
        </c:scaling>
        <c:delete val="0"/>
        <c:axPos val="b"/>
        <c:majorGridlines>
          <c:spPr>
            <a:ln w="3175"/>
          </c:spPr>
        </c:majorGridlines>
        <c:title>
          <c:tx>
            <c:rich>
              <a:bodyPr/>
              <a:lstStyle/>
              <a:p>
                <a:pPr>
                  <a:defRPr b="0"/>
                </a:pPr>
                <a:r>
                  <a:rPr lang="pl-PL" b="0"/>
                  <a:t>% osób w gospodarstwach domowych</a:t>
                </a:r>
              </a:p>
            </c:rich>
          </c:tx>
          <c:layout>
            <c:manualLayout>
              <c:xMode val="edge"/>
              <c:yMode val="edge"/>
              <c:x val="0.49638968253968246"/>
              <c:y val="0.8350999947232336"/>
            </c:manualLayout>
          </c:layout>
          <c:overlay val="0"/>
        </c:title>
        <c:numFmt formatCode="General" sourceLinked="0"/>
        <c:majorTickMark val="out"/>
        <c:minorTickMark val="none"/>
        <c:tickLblPos val="nextTo"/>
        <c:crossAx val="-900176864"/>
        <c:crosses val="autoZero"/>
        <c:crossBetween val="between"/>
      </c:valAx>
    </c:plotArea>
    <c:legend>
      <c:legendPos val="b"/>
      <c:layout>
        <c:manualLayout>
          <c:xMode val="edge"/>
          <c:yMode val="edge"/>
          <c:x val="0.40476468253968256"/>
          <c:y val="0.91202293634460807"/>
          <c:w val="0.21893646412937179"/>
          <c:h val="7.6343074949014711E-2"/>
        </c:manualLayout>
      </c:layout>
      <c:overlay val="0"/>
      <c:txPr>
        <a:bodyPr/>
        <a:lstStyle/>
        <a:p>
          <a:pPr>
            <a:defRPr sz="900"/>
          </a:pPr>
          <a:endParaRPr lang="pl-PL"/>
        </a:p>
      </c:tx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20821170634920635"/>
          <c:y val="6.277740169356659E-2"/>
          <c:w val="0.7137376984126983"/>
          <c:h val="0.63473786173169833"/>
        </c:manualLayout>
      </c:layout>
      <c:barChart>
        <c:barDir val="bar"/>
        <c:grouping val="clustered"/>
        <c:varyColors val="0"/>
        <c:ser>
          <c:idx val="1"/>
          <c:order val="1"/>
          <c:tx>
            <c:strRef>
              <c:f>'wykr 7'!$C$2</c:f>
              <c:strCache>
                <c:ptCount val="1"/>
                <c:pt idx="0">
                  <c:v>2024 r.</c:v>
                </c:pt>
              </c:strCache>
            </c:strRef>
          </c:tx>
          <c:spPr>
            <a:solidFill>
              <a:srgbClr val="008542"/>
            </a:solidFill>
            <a:effectLst/>
          </c:spPr>
          <c:invertIfNegative val="0"/>
          <c:dLbls>
            <c:dLbl>
              <c:idx val="1"/>
              <c:layout>
                <c:manualLayout>
                  <c:x val="-5.0362600811949152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004-4232-B867-BF2E3C910552}"/>
                </c:ext>
              </c:extLst>
            </c:dLbl>
            <c:dLbl>
              <c:idx val="2"/>
              <c:layout>
                <c:manualLayout>
                  <c:x val="-7.5595238095238094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004-4232-B867-BF2E3C910552}"/>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'wykr 7'!$A$3:$A$5</c:f>
              <c:strCache>
                <c:ptCount val="3"/>
                <c:pt idx="0">
                  <c:v>65 lub więcej lat</c:v>
                </c:pt>
                <c:pt idx="1">
                  <c:v>18-64 lat</c:v>
                </c:pt>
                <c:pt idx="2">
                  <c:v>0-17 lat</c:v>
                </c:pt>
              </c:strCache>
            </c:strRef>
          </c:cat>
          <c:val>
            <c:numRef>
              <c:f>'wykr 7'!$C$3:$C$5</c:f>
              <c:numCache>
                <c:formatCode>0.0</c:formatCode>
                <c:ptCount val="3"/>
                <c:pt idx="0">
                  <c:v>5.2</c:v>
                </c:pt>
                <c:pt idx="1">
                  <c:v>5.2</c:v>
                </c:pt>
                <c:pt idx="2">
                  <c:v>5.4</c:v>
                </c:pt>
              </c:numCache>
            </c:numRef>
          </c:val>
          <c:extLst>
            <c:ext xmlns:c16="http://schemas.microsoft.com/office/drawing/2014/chart" uri="{C3380CC4-5D6E-409C-BE32-E72D297353CC}">
              <c16:uniqueId val="{00000002-9004-4232-B867-BF2E3C910552}"/>
            </c:ext>
          </c:extLst>
        </c:ser>
        <c:ser>
          <c:idx val="2"/>
          <c:order val="2"/>
          <c:tx>
            <c:strRef>
              <c:f>'wykr 7'!$D$2</c:f>
              <c:strCache>
                <c:ptCount val="1"/>
                <c:pt idx="0">
                  <c:v>2025 r.</c:v>
                </c:pt>
              </c:strCache>
            </c:strRef>
          </c:tx>
          <c:spPr>
            <a:solidFill>
              <a:srgbClr val="001D77"/>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'wykr 7'!$A$3:$A$5</c:f>
              <c:strCache>
                <c:ptCount val="3"/>
                <c:pt idx="0">
                  <c:v>65 lub więcej lat</c:v>
                </c:pt>
                <c:pt idx="1">
                  <c:v>18-64 lat</c:v>
                </c:pt>
                <c:pt idx="2">
                  <c:v>0-17 lat</c:v>
                </c:pt>
              </c:strCache>
            </c:strRef>
          </c:cat>
          <c:val>
            <c:numRef>
              <c:f>'wykr 7'!$D$3:$D$5</c:f>
              <c:numCache>
                <c:formatCode>General</c:formatCode>
                <c:ptCount val="3"/>
                <c:pt idx="0">
                  <c:v>4.0999999999999996</c:v>
                </c:pt>
                <c:pt idx="1">
                  <c:v>5.4</c:v>
                </c:pt>
                <c:pt idx="2">
                  <c:v>6.6</c:v>
                </c:pt>
              </c:numCache>
            </c:numRef>
          </c:val>
          <c:extLst>
            <c:ext xmlns:c16="http://schemas.microsoft.com/office/drawing/2014/chart" uri="{C3380CC4-5D6E-409C-BE32-E72D297353CC}">
              <c16:uniqueId val="{00000003-9004-4232-B867-BF2E3C910552}"/>
            </c:ext>
          </c:extLst>
        </c:ser>
        <c:dLbls>
          <c:showLegendKey val="0"/>
          <c:showVal val="0"/>
          <c:showCatName val="0"/>
          <c:showSerName val="0"/>
          <c:showPercent val="0"/>
          <c:showBubbleSize val="0"/>
        </c:dLbls>
        <c:gapWidth val="60"/>
        <c:axId val="1804776240"/>
        <c:axId val="1804778960"/>
        <c:extLst>
          <c:ext xmlns:c15="http://schemas.microsoft.com/office/drawing/2012/chart" uri="{02D57815-91ED-43cb-92C2-25804820EDAC}">
            <c15:filteredBarSeries>
              <c15:ser>
                <c:idx val="0"/>
                <c:order val="0"/>
                <c:tx>
                  <c:strRef>
                    <c:extLst>
                      <c:ext uri="{02D57815-91ED-43cb-92C2-25804820EDAC}">
                        <c15:formulaRef>
                          <c15:sqref>'wykr 7'!$B$2</c15:sqref>
                        </c15:formulaRef>
                      </c:ext>
                    </c:extLst>
                    <c:strCache>
                      <c:ptCount val="1"/>
                      <c:pt idx="0">
                        <c:v>2023 r.</c:v>
                      </c:pt>
                    </c:strCache>
                  </c:strRef>
                </c:tx>
                <c:spPr>
                  <a:solidFill>
                    <a:srgbClr val="D9E2FF"/>
                  </a:solidFill>
                  <a:effectLst/>
                </c:spPr>
                <c:invertIfNegative val="0"/>
                <c:dPt>
                  <c:idx val="6"/>
                  <c:invertIfNegative val="0"/>
                  <c:bubble3D val="0"/>
                  <c:extLst>
                    <c:ext xmlns:c16="http://schemas.microsoft.com/office/drawing/2014/chart" uri="{C3380CC4-5D6E-409C-BE32-E72D297353CC}">
                      <c16:uniqueId val="{00000004-9004-4232-B867-BF2E3C910552}"/>
                    </c:ext>
                  </c:extLst>
                </c:dPt>
                <c:dLbls>
                  <c:dLbl>
                    <c:idx val="0"/>
                    <c:layout>
                      <c:manualLayout>
                        <c:x val="-5.0293203527365764E-3"/>
                        <c:y val="-1.0938359727604431E-16"/>
                      </c:manualLayout>
                    </c:layout>
                    <c:showLegendKey val="0"/>
                    <c:showVal val="1"/>
                    <c:showCatName val="0"/>
                    <c:showSerName val="0"/>
                    <c:showPercent val="0"/>
                    <c:showBubbleSize val="0"/>
                    <c:extLst>
                      <c:ext uri="{CE6537A1-D6FC-4f65-9D91-7224C49458BB}"/>
                      <c:ext xmlns:c16="http://schemas.microsoft.com/office/drawing/2014/chart" uri="{C3380CC4-5D6E-409C-BE32-E72D297353CC}">
                        <c16:uniqueId val="{00000005-9004-4232-B867-BF2E3C910552}"/>
                      </c:ext>
                    </c:extLst>
                  </c:dLbl>
                  <c:dLbl>
                    <c:idx val="1"/>
                    <c:layout>
                      <c:manualLayout>
                        <c:x val="-1.0072520162389647E-2"/>
                        <c:y val="-5.4691798638022154E-17"/>
                      </c:manualLayout>
                    </c:layout>
                    <c:showLegendKey val="0"/>
                    <c:showVal val="1"/>
                    <c:showCatName val="0"/>
                    <c:showSerName val="0"/>
                    <c:showPercent val="0"/>
                    <c:showBubbleSize val="0"/>
                    <c:extLst>
                      <c:ext uri="{CE6537A1-D6FC-4f65-9D91-7224C49458BB}"/>
                      <c:ext xmlns:c16="http://schemas.microsoft.com/office/drawing/2014/chart" uri="{C3380CC4-5D6E-409C-BE32-E72D297353CC}">
                        <c16:uniqueId val="{00000006-9004-4232-B867-BF2E3C910552}"/>
                      </c:ext>
                    </c:extLst>
                  </c:dLbl>
                  <c:dLbl>
                    <c:idx val="2"/>
                    <c:layout>
                      <c:manualLayout>
                        <c:x val="-7.5543901217924193E-3"/>
                        <c:y val="0"/>
                      </c:manualLayout>
                    </c:layout>
                    <c:showLegendKey val="0"/>
                    <c:showVal val="1"/>
                    <c:showCatName val="0"/>
                    <c:showSerName val="0"/>
                    <c:showPercent val="0"/>
                    <c:showBubbleSize val="0"/>
                    <c:extLst>
                      <c:ext uri="{CE6537A1-D6FC-4f65-9D91-7224C49458BB}"/>
                      <c:ext xmlns:c16="http://schemas.microsoft.com/office/drawing/2014/chart" uri="{C3380CC4-5D6E-409C-BE32-E72D297353CC}">
                        <c16:uniqueId val="{00000007-9004-4232-B867-BF2E3C910552}"/>
                      </c:ext>
                    </c:extLst>
                  </c:dLbl>
                  <c:spPr>
                    <a:noFill/>
                    <a:ln>
                      <a:noFill/>
                    </a:ln>
                    <a:effectLst/>
                  </c:spPr>
                  <c:showLegendKey val="0"/>
                  <c:showVal val="1"/>
                  <c:showCatName val="0"/>
                  <c:showSerName val="0"/>
                  <c:showPercent val="0"/>
                  <c:showBubbleSize val="0"/>
                  <c:showLeaderLines val="0"/>
                  <c:extLst>
                    <c:ext uri="{CE6537A1-D6FC-4f65-9D91-7224C49458BB}">
                      <c15:showLeaderLines val="0"/>
                    </c:ext>
                  </c:extLst>
                </c:dLbls>
                <c:cat>
                  <c:strRef>
                    <c:extLst>
                      <c:ext uri="{02D57815-91ED-43cb-92C2-25804820EDAC}">
                        <c15:formulaRef>
                          <c15:sqref>'wykr 7'!$A$3:$A$5</c15:sqref>
                        </c15:formulaRef>
                      </c:ext>
                    </c:extLst>
                    <c:strCache>
                      <c:ptCount val="3"/>
                      <c:pt idx="0">
                        <c:v>65 lub więcej lat</c:v>
                      </c:pt>
                      <c:pt idx="1">
                        <c:v>18-64 lat</c:v>
                      </c:pt>
                      <c:pt idx="2">
                        <c:v>0-17 lat</c:v>
                      </c:pt>
                    </c:strCache>
                  </c:strRef>
                </c:cat>
                <c:val>
                  <c:numRef>
                    <c:extLst>
                      <c:ext uri="{02D57815-91ED-43cb-92C2-25804820EDAC}">
                        <c15:formulaRef>
                          <c15:sqref>'wykr 7'!$B$3:$B$5</c15:sqref>
                        </c15:formulaRef>
                      </c:ext>
                    </c:extLst>
                    <c:numCache>
                      <c:formatCode>0.0</c:formatCode>
                      <c:ptCount val="3"/>
                      <c:pt idx="0">
                        <c:v>5.7</c:v>
                      </c:pt>
                      <c:pt idx="1">
                        <c:v>6.6</c:v>
                      </c:pt>
                      <c:pt idx="2">
                        <c:v>7.6</c:v>
                      </c:pt>
                    </c:numCache>
                  </c:numRef>
                </c:val>
                <c:extLst>
                  <c:ext xmlns:c16="http://schemas.microsoft.com/office/drawing/2014/chart" uri="{C3380CC4-5D6E-409C-BE32-E72D297353CC}">
                    <c16:uniqueId val="{00000008-9004-4232-B867-BF2E3C910552}"/>
                  </c:ext>
                </c:extLst>
              </c15:ser>
            </c15:filteredBarSeries>
          </c:ext>
        </c:extLst>
      </c:barChart>
      <c:catAx>
        <c:axId val="1804776240"/>
        <c:scaling>
          <c:orientation val="minMax"/>
        </c:scaling>
        <c:delete val="0"/>
        <c:axPos val="l"/>
        <c:numFmt formatCode="General" sourceLinked="0"/>
        <c:majorTickMark val="out"/>
        <c:minorTickMark val="none"/>
        <c:tickLblPos val="nextTo"/>
        <c:crossAx val="1804778960"/>
        <c:crosses val="autoZero"/>
        <c:auto val="0"/>
        <c:lblAlgn val="ctr"/>
        <c:lblOffset val="100"/>
        <c:noMultiLvlLbl val="0"/>
      </c:catAx>
      <c:valAx>
        <c:axId val="1804778960"/>
        <c:scaling>
          <c:orientation val="minMax"/>
        </c:scaling>
        <c:delete val="0"/>
        <c:axPos val="b"/>
        <c:majorGridlines/>
        <c:title>
          <c:tx>
            <c:rich>
              <a:bodyPr/>
              <a:lstStyle/>
              <a:p>
                <a:pPr>
                  <a:defRPr b="0"/>
                </a:pPr>
                <a:r>
                  <a:rPr lang="pl-PL" b="0"/>
                  <a:t>% osób w gospodarstwach domowych</a:t>
                </a:r>
              </a:p>
            </c:rich>
          </c:tx>
          <c:layout>
            <c:manualLayout>
              <c:xMode val="edge"/>
              <c:yMode val="edge"/>
              <c:x val="0.37763214285714286"/>
              <c:y val="0.77743494732841656"/>
            </c:manualLayout>
          </c:layout>
          <c:overlay val="0"/>
        </c:title>
        <c:numFmt formatCode="General" sourceLinked="0"/>
        <c:majorTickMark val="out"/>
        <c:minorTickMark val="none"/>
        <c:tickLblPos val="nextTo"/>
        <c:crossAx val="1804776240"/>
        <c:crosses val="autoZero"/>
        <c:crossBetween val="between"/>
      </c:valAx>
    </c:plotArea>
    <c:legend>
      <c:legendPos val="b"/>
      <c:layout>
        <c:manualLayout>
          <c:xMode val="edge"/>
          <c:yMode val="edge"/>
          <c:x val="0.41689027777777787"/>
          <c:y val="0.88722794266101357"/>
          <c:w val="0.22028954245621771"/>
          <c:h val="9.9922414337604154E-2"/>
        </c:manualLayout>
      </c:layout>
      <c:overlay val="0"/>
      <c:txPr>
        <a:bodyPr/>
        <a:lstStyle/>
        <a:p>
          <a:pPr>
            <a:defRPr sz="900"/>
          </a:pPr>
          <a:endParaRPr lang="pl-PL"/>
        </a:p>
      </c:tx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243910119047619"/>
          <c:y val="8.3793302432940558E-2"/>
          <c:w val="0.70865476190476184"/>
          <c:h val="0.58821596366854645"/>
        </c:manualLayout>
      </c:layout>
      <c:barChart>
        <c:barDir val="bar"/>
        <c:grouping val="clustered"/>
        <c:varyColors val="0"/>
        <c:ser>
          <c:idx val="1"/>
          <c:order val="1"/>
          <c:tx>
            <c:strRef>
              <c:f>'wykr 8'!$C$2</c:f>
              <c:strCache>
                <c:ptCount val="1"/>
                <c:pt idx="0">
                  <c:v>2024 r.</c:v>
                </c:pt>
              </c:strCache>
            </c:strRef>
          </c:tx>
          <c:spPr>
            <a:solidFill>
              <a:srgbClr val="008542"/>
            </a:solidFill>
          </c:spPr>
          <c:invertIfNegative val="0"/>
          <c:dLbls>
            <c:dLbl>
              <c:idx val="1"/>
              <c:layout>
                <c:manualLayout>
                  <c:x val="-5.0588036128622008E-3"/>
                  <c:y val="-9.8794234050361293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437-4BDA-BE9E-794DDAF54C93}"/>
                </c:ext>
              </c:extLst>
            </c:dLbl>
            <c:dLbl>
              <c:idx val="2"/>
              <c:layout>
                <c:manualLayout>
                  <c:x val="-5.0588036128622008E-3"/>
                  <c:y val="4.6046896928000396E-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437-4BDA-BE9E-794DDAF54C93}"/>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'wykr 8'!$A$3:$A$6</c:f>
              <c:strCache>
                <c:ptCount val="4"/>
                <c:pt idx="0">
                  <c:v>Wyższe </c:v>
                </c:pt>
                <c:pt idx="1">
                  <c:v>Średnie</c:v>
                </c:pt>
                <c:pt idx="2">
                  <c:v>Zasadnicze zawodowe
/branżowe</c:v>
                </c:pt>
                <c:pt idx="3">
                  <c:v>Co najwyżej gimnazjalne </c:v>
                </c:pt>
              </c:strCache>
            </c:strRef>
          </c:cat>
          <c:val>
            <c:numRef>
              <c:f>'wykr 8'!$C$3:$C$6</c:f>
              <c:numCache>
                <c:formatCode>0.0</c:formatCode>
                <c:ptCount val="4"/>
                <c:pt idx="0">
                  <c:v>2.2000000000000002</c:v>
                </c:pt>
                <c:pt idx="1">
                  <c:v>4.5</c:v>
                </c:pt>
                <c:pt idx="2">
                  <c:v>8.3000000000000007</c:v>
                </c:pt>
                <c:pt idx="3">
                  <c:v>10.8</c:v>
                </c:pt>
              </c:numCache>
            </c:numRef>
          </c:val>
          <c:extLst>
            <c:ext xmlns:c16="http://schemas.microsoft.com/office/drawing/2014/chart" uri="{C3380CC4-5D6E-409C-BE32-E72D297353CC}">
              <c16:uniqueId val="{00000002-3437-4BDA-BE9E-794DDAF54C93}"/>
            </c:ext>
          </c:extLst>
        </c:ser>
        <c:ser>
          <c:idx val="2"/>
          <c:order val="2"/>
          <c:tx>
            <c:strRef>
              <c:f>'wykr 8'!$D$2</c:f>
              <c:strCache>
                <c:ptCount val="1"/>
                <c:pt idx="0">
                  <c:v>2025 r.</c:v>
                </c:pt>
              </c:strCache>
            </c:strRef>
          </c:tx>
          <c:spPr>
            <a:solidFill>
              <a:srgbClr val="001D77"/>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'wykr 8'!$A$3:$A$6</c:f>
              <c:strCache>
                <c:ptCount val="4"/>
                <c:pt idx="0">
                  <c:v>Wyższe </c:v>
                </c:pt>
                <c:pt idx="1">
                  <c:v>Średnie</c:v>
                </c:pt>
                <c:pt idx="2">
                  <c:v>Zasadnicze zawodowe
/branżowe</c:v>
                </c:pt>
                <c:pt idx="3">
                  <c:v>Co najwyżej gimnazjalne </c:v>
                </c:pt>
              </c:strCache>
            </c:strRef>
          </c:cat>
          <c:val>
            <c:numRef>
              <c:f>'wykr 8'!$D$3:$D$6</c:f>
              <c:numCache>
                <c:formatCode>General</c:formatCode>
                <c:ptCount val="4"/>
                <c:pt idx="0">
                  <c:v>1.7</c:v>
                </c:pt>
                <c:pt idx="1">
                  <c:v>4.4000000000000004</c:v>
                </c:pt>
                <c:pt idx="2">
                  <c:v>8.9</c:v>
                </c:pt>
                <c:pt idx="3">
                  <c:v>14.3</c:v>
                </c:pt>
              </c:numCache>
            </c:numRef>
          </c:val>
          <c:extLst>
            <c:ext xmlns:c16="http://schemas.microsoft.com/office/drawing/2014/chart" uri="{C3380CC4-5D6E-409C-BE32-E72D297353CC}">
              <c16:uniqueId val="{00000003-3437-4BDA-BE9E-794DDAF54C93}"/>
            </c:ext>
          </c:extLst>
        </c:ser>
        <c:dLbls>
          <c:showLegendKey val="0"/>
          <c:showVal val="0"/>
          <c:showCatName val="0"/>
          <c:showSerName val="0"/>
          <c:showPercent val="0"/>
          <c:showBubbleSize val="0"/>
        </c:dLbls>
        <c:gapWidth val="60"/>
        <c:axId val="-900150752"/>
        <c:axId val="-900148032"/>
        <c:extLst>
          <c:ext xmlns:c15="http://schemas.microsoft.com/office/drawing/2012/chart" uri="{02D57815-91ED-43cb-92C2-25804820EDAC}">
            <c15:filteredBarSeries>
              <c15:ser>
                <c:idx val="0"/>
                <c:order val="0"/>
                <c:tx>
                  <c:strRef>
                    <c:extLst>
                      <c:ext uri="{02D57815-91ED-43cb-92C2-25804820EDAC}">
                        <c15:formulaRef>
                          <c15:sqref>'wykr 8'!$B$2</c15:sqref>
                        </c15:formulaRef>
                      </c:ext>
                    </c:extLst>
                    <c:strCache>
                      <c:ptCount val="1"/>
                      <c:pt idx="0">
                        <c:v>2023 r.</c:v>
                      </c:pt>
                    </c:strCache>
                  </c:strRef>
                </c:tx>
                <c:spPr>
                  <a:solidFill>
                    <a:srgbClr val="D9E2FF"/>
                  </a:solidFill>
                  <a:effectLst/>
                </c:spPr>
                <c:invertIfNegative val="0"/>
                <c:dPt>
                  <c:idx val="6"/>
                  <c:invertIfNegative val="0"/>
                  <c:bubble3D val="0"/>
                  <c:extLst>
                    <c:ext xmlns:c16="http://schemas.microsoft.com/office/drawing/2014/chart" uri="{C3380CC4-5D6E-409C-BE32-E72D297353CC}">
                      <c16:uniqueId val="{00000004-3437-4BDA-BE9E-794DDAF54C93}"/>
                    </c:ext>
                  </c:extLst>
                </c:dPt>
                <c:dLbls>
                  <c:spPr>
                    <a:noFill/>
                    <a:ln>
                      <a:noFill/>
                    </a:ln>
                    <a:effectLst/>
                  </c:spPr>
                  <c:showLegendKey val="0"/>
                  <c:showVal val="1"/>
                  <c:showCatName val="0"/>
                  <c:showSerName val="0"/>
                  <c:showPercent val="0"/>
                  <c:showBubbleSize val="0"/>
                  <c:showLeaderLines val="0"/>
                  <c:extLst>
                    <c:ext uri="{CE6537A1-D6FC-4f65-9D91-7224C49458BB}">
                      <c15:showLeaderLines val="0"/>
                    </c:ext>
                  </c:extLst>
                </c:dLbls>
                <c:cat>
                  <c:strRef>
                    <c:extLst>
                      <c:ext uri="{02D57815-91ED-43cb-92C2-25804820EDAC}">
                        <c15:formulaRef>
                          <c15:sqref>'wykr 8'!$A$3:$A$6</c15:sqref>
                        </c15:formulaRef>
                      </c:ext>
                    </c:extLst>
                    <c:strCache>
                      <c:ptCount val="4"/>
                      <c:pt idx="0">
                        <c:v>Wyższe </c:v>
                      </c:pt>
                      <c:pt idx="1">
                        <c:v>Średnie</c:v>
                      </c:pt>
                      <c:pt idx="2">
                        <c:v>Zasadnicze zawodowe
/branżowe</c:v>
                      </c:pt>
                      <c:pt idx="3">
                        <c:v>Co najwyżej gimnazjalne </c:v>
                      </c:pt>
                    </c:strCache>
                  </c:strRef>
                </c:cat>
                <c:val>
                  <c:numRef>
                    <c:extLst>
                      <c:ext uri="{02D57815-91ED-43cb-92C2-25804820EDAC}">
                        <c15:formulaRef>
                          <c15:sqref>'wykr 8'!$B$3:$B$6</c15:sqref>
                        </c15:formulaRef>
                      </c:ext>
                    </c:extLst>
                    <c:numCache>
                      <c:formatCode>0.0</c:formatCode>
                      <c:ptCount val="4"/>
                      <c:pt idx="0">
                        <c:v>3.5</c:v>
                      </c:pt>
                      <c:pt idx="1">
                        <c:v>6</c:v>
                      </c:pt>
                      <c:pt idx="2">
                        <c:v>9.5</c:v>
                      </c:pt>
                      <c:pt idx="3">
                        <c:v>12.8</c:v>
                      </c:pt>
                    </c:numCache>
                  </c:numRef>
                </c:val>
                <c:extLst>
                  <c:ext xmlns:c16="http://schemas.microsoft.com/office/drawing/2014/chart" uri="{C3380CC4-5D6E-409C-BE32-E72D297353CC}">
                    <c16:uniqueId val="{00000005-3437-4BDA-BE9E-794DDAF54C93}"/>
                  </c:ext>
                </c:extLst>
              </c15:ser>
            </c15:filteredBarSeries>
          </c:ext>
        </c:extLst>
      </c:barChart>
      <c:catAx>
        <c:axId val="-900150752"/>
        <c:scaling>
          <c:orientation val="minMax"/>
        </c:scaling>
        <c:delete val="0"/>
        <c:axPos val="l"/>
        <c:numFmt formatCode="General" sourceLinked="0"/>
        <c:majorTickMark val="out"/>
        <c:minorTickMark val="none"/>
        <c:tickLblPos val="nextTo"/>
        <c:crossAx val="-900148032"/>
        <c:crosses val="autoZero"/>
        <c:auto val="0"/>
        <c:lblAlgn val="ctr"/>
        <c:lblOffset val="100"/>
        <c:noMultiLvlLbl val="0"/>
      </c:catAx>
      <c:valAx>
        <c:axId val="-900148032"/>
        <c:scaling>
          <c:orientation val="minMax"/>
        </c:scaling>
        <c:delete val="0"/>
        <c:axPos val="b"/>
        <c:majorGridlines/>
        <c:title>
          <c:tx>
            <c:rich>
              <a:bodyPr/>
              <a:lstStyle/>
              <a:p>
                <a:pPr>
                  <a:defRPr b="0"/>
                </a:pPr>
                <a:r>
                  <a:rPr lang="pl-PL" b="0"/>
                  <a:t>% osób w gospodarstwach domowych</a:t>
                </a:r>
              </a:p>
            </c:rich>
          </c:tx>
          <c:layout>
            <c:manualLayout>
              <c:xMode val="edge"/>
              <c:yMode val="edge"/>
              <c:x val="0.39209960317460324"/>
              <c:y val="0.79496020045675719"/>
            </c:manualLayout>
          </c:layout>
          <c:overlay val="0"/>
        </c:title>
        <c:numFmt formatCode="General" sourceLinked="0"/>
        <c:majorTickMark val="out"/>
        <c:minorTickMark val="none"/>
        <c:tickLblPos val="nextTo"/>
        <c:crossAx val="-900150752"/>
        <c:crosses val="autoZero"/>
        <c:crossBetween val="between"/>
      </c:valAx>
    </c:plotArea>
    <c:legend>
      <c:legendPos val="b"/>
      <c:layout>
        <c:manualLayout>
          <c:xMode val="edge"/>
          <c:yMode val="edge"/>
          <c:x val="0.46575993433146323"/>
          <c:y val="0.8927093687757115"/>
          <c:w val="0.21923606675875454"/>
          <c:h val="7.7965715210427403E-2"/>
        </c:manualLayout>
      </c:layout>
      <c:overlay val="0"/>
      <c:txPr>
        <a:bodyPr/>
        <a:lstStyle/>
        <a:p>
          <a:pPr>
            <a:defRPr sz="900"/>
          </a:pPr>
          <a:endParaRPr lang="pl-PL"/>
        </a:p>
      </c:tx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2926677222437985"/>
          <c:y val="6.2577483249422708E-2"/>
          <c:w val="0.662039653850367"/>
          <c:h val="0.7116907113875619"/>
        </c:manualLayout>
      </c:layout>
      <c:barChart>
        <c:barDir val="bar"/>
        <c:grouping val="clustered"/>
        <c:varyColors val="0"/>
        <c:ser>
          <c:idx val="1"/>
          <c:order val="1"/>
          <c:tx>
            <c:strRef>
              <c:f>'wykr 9'!$D$2</c:f>
              <c:strCache>
                <c:ptCount val="1"/>
                <c:pt idx="0">
                  <c:v>2024 r.</c:v>
                </c:pt>
              </c:strCache>
            </c:strRef>
          </c:tx>
          <c:spPr>
            <a:solidFill>
              <a:srgbClr val="008542"/>
            </a:solidFill>
          </c:spPr>
          <c:invertIfNegative val="0"/>
          <c:dLbls>
            <c:dLbl>
              <c:idx val="7"/>
              <c:layout>
                <c:manualLayout>
                  <c:x val="-7.5442945134167657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496-4C81-8CEC-129FBB5A78C0}"/>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'wykr 9'!$B$3:$B$10</c:f>
              <c:strCache>
                <c:ptCount val="8"/>
                <c:pt idx="0">
                  <c:v>Pozaaglomeracyjne obszary wiejskie</c:v>
                </c:pt>
                <c:pt idx="1">
                  <c:v>Aglomeracyjne obszary wiejskie</c:v>
                </c:pt>
                <c:pt idx="2">
                  <c:v>Wieś</c:v>
                </c:pt>
                <c:pt idx="3">
                  <c:v>      poniżej 20 tys.</c:v>
                </c:pt>
                <c:pt idx="4">
                  <c:v>       20-100 tys.</c:v>
                </c:pt>
                <c:pt idx="5">
                  <c:v>     100-500 tys.</c:v>
                </c:pt>
                <c:pt idx="6">
                  <c:v>     500 tys. i więcej</c:v>
                </c:pt>
                <c:pt idx="7">
                  <c:v>Miasta razem</c:v>
                </c:pt>
              </c:strCache>
            </c:strRef>
          </c:cat>
          <c:val>
            <c:numRef>
              <c:f>'wykr 9'!$D$3:$D$10</c:f>
              <c:numCache>
                <c:formatCode>General</c:formatCode>
                <c:ptCount val="8"/>
                <c:pt idx="0">
                  <c:v>10.199999999999999</c:v>
                </c:pt>
                <c:pt idx="1">
                  <c:v>4.3</c:v>
                </c:pt>
                <c:pt idx="2" formatCode="0.0">
                  <c:v>8.8000000000000007</c:v>
                </c:pt>
                <c:pt idx="3" formatCode="0.0">
                  <c:v>3.8</c:v>
                </c:pt>
                <c:pt idx="4" formatCode="0.0">
                  <c:v>3.2</c:v>
                </c:pt>
                <c:pt idx="5" formatCode="0.0">
                  <c:v>2.2999999999999998</c:v>
                </c:pt>
                <c:pt idx="6" formatCode="0.0">
                  <c:v>1.3</c:v>
                </c:pt>
                <c:pt idx="7" formatCode="0.0">
                  <c:v>2.7</c:v>
                </c:pt>
              </c:numCache>
            </c:numRef>
          </c:val>
          <c:extLst>
            <c:ext xmlns:c16="http://schemas.microsoft.com/office/drawing/2014/chart" uri="{C3380CC4-5D6E-409C-BE32-E72D297353CC}">
              <c16:uniqueId val="{00000001-F496-4C81-8CEC-129FBB5A78C0}"/>
            </c:ext>
          </c:extLst>
        </c:ser>
        <c:ser>
          <c:idx val="2"/>
          <c:order val="2"/>
          <c:tx>
            <c:strRef>
              <c:f>'wykr 9'!$E$2</c:f>
              <c:strCache>
                <c:ptCount val="1"/>
                <c:pt idx="0">
                  <c:v>2025 r.</c:v>
                </c:pt>
              </c:strCache>
            </c:strRef>
          </c:tx>
          <c:spPr>
            <a:solidFill>
              <a:srgbClr val="001D77"/>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'wykr 9'!$B$3:$B$10</c:f>
              <c:strCache>
                <c:ptCount val="8"/>
                <c:pt idx="0">
                  <c:v>Pozaaglomeracyjne obszary wiejskie</c:v>
                </c:pt>
                <c:pt idx="1">
                  <c:v>Aglomeracyjne obszary wiejskie</c:v>
                </c:pt>
                <c:pt idx="2">
                  <c:v>Wieś</c:v>
                </c:pt>
                <c:pt idx="3">
                  <c:v>      poniżej 20 tys.</c:v>
                </c:pt>
                <c:pt idx="4">
                  <c:v>       20-100 tys.</c:v>
                </c:pt>
                <c:pt idx="5">
                  <c:v>     100-500 tys.</c:v>
                </c:pt>
                <c:pt idx="6">
                  <c:v>     500 tys. i więcej</c:v>
                </c:pt>
                <c:pt idx="7">
                  <c:v>Miasta razem</c:v>
                </c:pt>
              </c:strCache>
            </c:strRef>
          </c:cat>
          <c:val>
            <c:numRef>
              <c:f>'wykr 9'!$E$3:$E$10</c:f>
              <c:numCache>
                <c:formatCode>General</c:formatCode>
                <c:ptCount val="8"/>
                <c:pt idx="0">
                  <c:v>11.3</c:v>
                </c:pt>
                <c:pt idx="1">
                  <c:v>3.9</c:v>
                </c:pt>
                <c:pt idx="2">
                  <c:v>9.5</c:v>
                </c:pt>
                <c:pt idx="3">
                  <c:v>3.4</c:v>
                </c:pt>
                <c:pt idx="4">
                  <c:v>2.8</c:v>
                </c:pt>
                <c:pt idx="5">
                  <c:v>2.6</c:v>
                </c:pt>
                <c:pt idx="6">
                  <c:v>1.1000000000000001</c:v>
                </c:pt>
                <c:pt idx="7">
                  <c:v>2.5</c:v>
                </c:pt>
              </c:numCache>
            </c:numRef>
          </c:val>
          <c:extLst>
            <c:ext xmlns:c16="http://schemas.microsoft.com/office/drawing/2014/chart" uri="{C3380CC4-5D6E-409C-BE32-E72D297353CC}">
              <c16:uniqueId val="{00000002-F496-4C81-8CEC-129FBB5A78C0}"/>
            </c:ext>
          </c:extLst>
        </c:ser>
        <c:dLbls>
          <c:showLegendKey val="0"/>
          <c:showVal val="0"/>
          <c:showCatName val="0"/>
          <c:showSerName val="0"/>
          <c:showPercent val="0"/>
          <c:showBubbleSize val="0"/>
        </c:dLbls>
        <c:gapWidth val="60"/>
        <c:axId val="-900154016"/>
        <c:axId val="-900179040"/>
        <c:extLst>
          <c:ext xmlns:c15="http://schemas.microsoft.com/office/drawing/2012/chart" uri="{02D57815-91ED-43cb-92C2-25804820EDAC}">
            <c15:filteredBarSeries>
              <c15:ser>
                <c:idx val="0"/>
                <c:order val="0"/>
                <c:tx>
                  <c:strRef>
                    <c:extLst>
                      <c:ext uri="{02D57815-91ED-43cb-92C2-25804820EDAC}">
                        <c15:formulaRef>
                          <c15:sqref>'wykr 9'!$C$2</c15:sqref>
                        </c15:formulaRef>
                      </c:ext>
                    </c:extLst>
                    <c:strCache>
                      <c:ptCount val="1"/>
                      <c:pt idx="0">
                        <c:v>2023 r.</c:v>
                      </c:pt>
                    </c:strCache>
                  </c:strRef>
                </c:tx>
                <c:spPr>
                  <a:solidFill>
                    <a:srgbClr val="D9E2FF"/>
                  </a:solidFill>
                  <a:effectLst/>
                </c:spPr>
                <c:invertIfNegative val="0"/>
                <c:dPt>
                  <c:idx val="6"/>
                  <c:invertIfNegative val="0"/>
                  <c:bubble3D val="0"/>
                  <c:extLst>
                    <c:ext xmlns:c16="http://schemas.microsoft.com/office/drawing/2014/chart" uri="{C3380CC4-5D6E-409C-BE32-E72D297353CC}">
                      <c16:uniqueId val="{00000003-F496-4C81-8CEC-129FBB5A78C0}"/>
                    </c:ext>
                  </c:extLst>
                </c:dPt>
                <c:dLbls>
                  <c:spPr>
                    <a:noFill/>
                    <a:ln>
                      <a:noFill/>
                    </a:ln>
                    <a:effectLst/>
                  </c:spPr>
                  <c:showLegendKey val="0"/>
                  <c:showVal val="1"/>
                  <c:showCatName val="0"/>
                  <c:showSerName val="0"/>
                  <c:showPercent val="0"/>
                  <c:showBubbleSize val="0"/>
                  <c:showLeaderLines val="0"/>
                  <c:extLst>
                    <c:ext uri="{CE6537A1-D6FC-4f65-9D91-7224C49458BB}">
                      <c15:showLeaderLines val="0"/>
                    </c:ext>
                  </c:extLst>
                </c:dLbls>
                <c:cat>
                  <c:strRef>
                    <c:extLst>
                      <c:ext uri="{02D57815-91ED-43cb-92C2-25804820EDAC}">
                        <c15:formulaRef>
                          <c15:sqref>'wykr 9'!$B$3:$B$10</c15:sqref>
                        </c15:formulaRef>
                      </c:ext>
                    </c:extLst>
                    <c:strCache>
                      <c:ptCount val="8"/>
                      <c:pt idx="0">
                        <c:v>Pozaaglomeracyjne obszary wiejskie</c:v>
                      </c:pt>
                      <c:pt idx="1">
                        <c:v>Aglomeracyjne obszary wiejskie</c:v>
                      </c:pt>
                      <c:pt idx="2">
                        <c:v>Wieś</c:v>
                      </c:pt>
                      <c:pt idx="3">
                        <c:v>      poniżej 20 tys.</c:v>
                      </c:pt>
                      <c:pt idx="4">
                        <c:v>       20-100 tys.</c:v>
                      </c:pt>
                      <c:pt idx="5">
                        <c:v>     100-500 tys.</c:v>
                      </c:pt>
                      <c:pt idx="6">
                        <c:v>     500 tys. i więcej</c:v>
                      </c:pt>
                      <c:pt idx="7">
                        <c:v>Miasta razem</c:v>
                      </c:pt>
                    </c:strCache>
                  </c:strRef>
                </c:cat>
                <c:val>
                  <c:numRef>
                    <c:extLst>
                      <c:ext uri="{02D57815-91ED-43cb-92C2-25804820EDAC}">
                        <c15:formulaRef>
                          <c15:sqref>'wykr 9'!$C$3:$C$10</c15:sqref>
                        </c15:formulaRef>
                      </c:ext>
                    </c:extLst>
                    <c:numCache>
                      <c:formatCode>General</c:formatCode>
                      <c:ptCount val="8"/>
                      <c:pt idx="0">
                        <c:v>12.4</c:v>
                      </c:pt>
                      <c:pt idx="1">
                        <c:v>8.4</c:v>
                      </c:pt>
                      <c:pt idx="2" formatCode="0.0">
                        <c:v>11.5</c:v>
                      </c:pt>
                      <c:pt idx="3" formatCode="0.0">
                        <c:v>5.4</c:v>
                      </c:pt>
                      <c:pt idx="4" formatCode="0.0">
                        <c:v>4.0999999999999996</c:v>
                      </c:pt>
                      <c:pt idx="5" formatCode="0.0">
                        <c:v>2</c:v>
                      </c:pt>
                      <c:pt idx="6" formatCode="0.0">
                        <c:v>1.6</c:v>
                      </c:pt>
                      <c:pt idx="7" formatCode="0.0">
                        <c:v>3.3</c:v>
                      </c:pt>
                    </c:numCache>
                  </c:numRef>
                </c:val>
                <c:extLst>
                  <c:ext xmlns:c16="http://schemas.microsoft.com/office/drawing/2014/chart" uri="{C3380CC4-5D6E-409C-BE32-E72D297353CC}">
                    <c16:uniqueId val="{00000004-F496-4C81-8CEC-129FBB5A78C0}"/>
                  </c:ext>
                </c:extLst>
              </c15:ser>
            </c15:filteredBarSeries>
          </c:ext>
        </c:extLst>
      </c:barChart>
      <c:catAx>
        <c:axId val="-900154016"/>
        <c:scaling>
          <c:orientation val="minMax"/>
        </c:scaling>
        <c:delete val="0"/>
        <c:axPos val="l"/>
        <c:numFmt formatCode="General" sourceLinked="0"/>
        <c:majorTickMark val="out"/>
        <c:minorTickMark val="none"/>
        <c:tickLblPos val="nextTo"/>
        <c:crossAx val="-900179040"/>
        <c:crosses val="autoZero"/>
        <c:auto val="0"/>
        <c:lblAlgn val="ctr"/>
        <c:lblOffset val="100"/>
        <c:noMultiLvlLbl val="0"/>
      </c:catAx>
      <c:valAx>
        <c:axId val="-900179040"/>
        <c:scaling>
          <c:orientation val="minMax"/>
          <c:max val="14"/>
        </c:scaling>
        <c:delete val="0"/>
        <c:axPos val="b"/>
        <c:majorGridlines/>
        <c:title>
          <c:tx>
            <c:rich>
              <a:bodyPr/>
              <a:lstStyle/>
              <a:p>
                <a:pPr>
                  <a:defRPr b="0"/>
                </a:pPr>
                <a:r>
                  <a:rPr lang="pl-PL" b="0"/>
                  <a:t>% osób w gospodarstwach domowych</a:t>
                </a:r>
              </a:p>
            </c:rich>
          </c:tx>
          <c:layout>
            <c:manualLayout>
              <c:xMode val="edge"/>
              <c:yMode val="edge"/>
              <c:x val="0.48379041760784763"/>
              <c:y val="0.82626285227596707"/>
            </c:manualLayout>
          </c:layout>
          <c:overlay val="0"/>
        </c:title>
        <c:numFmt formatCode="General" sourceLinked="0"/>
        <c:majorTickMark val="out"/>
        <c:minorTickMark val="none"/>
        <c:tickLblPos val="nextTo"/>
        <c:crossAx val="-900154016"/>
        <c:crosses val="autoZero"/>
        <c:crossBetween val="between"/>
        <c:majorUnit val="2"/>
        <c:minorUnit val="1"/>
      </c:valAx>
    </c:plotArea>
    <c:legend>
      <c:legendPos val="b"/>
      <c:overlay val="0"/>
      <c:txPr>
        <a:bodyPr/>
        <a:lstStyle/>
        <a:p>
          <a:pPr>
            <a:defRPr sz="900"/>
          </a:pPr>
          <a:endParaRPr lang="pl-PL"/>
        </a:p>
      </c:tx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0.01797</cdr:x>
      <cdr:y>0.02234</cdr:y>
    </cdr:from>
    <cdr:to>
      <cdr:x>0.99673</cdr:x>
      <cdr:y>0.13499</cdr:y>
    </cdr:to>
    <cdr:sp macro="" textlink="">
      <cdr:nvSpPr>
        <cdr:cNvPr id="2" name="pole tekstowe 1"/>
        <cdr:cNvSpPr txBox="1"/>
      </cdr:nvSpPr>
      <cdr:spPr>
        <a:xfrm xmlns:a="http://schemas.openxmlformats.org/drawingml/2006/main">
          <a:off x="104775" y="85019"/>
          <a:ext cx="5705475" cy="4286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sz="1100"/>
        </a:p>
      </cdr:txBody>
    </cdr:sp>
  </cdr:relSizeAnchor>
</c:userShapes>
</file>

<file path=word/drawings/drawing2.xml><?xml version="1.0" encoding="utf-8"?>
<c:userShapes xmlns:c="http://schemas.openxmlformats.org/drawingml/2006/chart">
  <cdr:relSizeAnchor xmlns:cdr="http://schemas.openxmlformats.org/drawingml/2006/chartDrawing">
    <cdr:from>
      <cdr:x>0.01797</cdr:x>
      <cdr:y>0.02234</cdr:y>
    </cdr:from>
    <cdr:to>
      <cdr:x>0.99673</cdr:x>
      <cdr:y>0.13499</cdr:y>
    </cdr:to>
    <cdr:sp macro="" textlink="">
      <cdr:nvSpPr>
        <cdr:cNvPr id="2" name="pole tekstowe 1"/>
        <cdr:cNvSpPr txBox="1"/>
      </cdr:nvSpPr>
      <cdr:spPr>
        <a:xfrm xmlns:a="http://schemas.openxmlformats.org/drawingml/2006/main">
          <a:off x="104775" y="85019"/>
          <a:ext cx="5705475" cy="4286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sz="1100"/>
        </a:p>
      </cdr:txBody>
    </cdr:sp>
  </cdr:relSizeAnchor>
</c:userShapes>
</file>

<file path=word/drawings/drawing3.xml><?xml version="1.0" encoding="utf-8"?>
<c:userShapes xmlns:c="http://schemas.openxmlformats.org/drawingml/2006/chart">
  <cdr:relSizeAnchor xmlns:cdr="http://schemas.openxmlformats.org/drawingml/2006/chartDrawing">
    <cdr:from>
      <cdr:x>0.01797</cdr:x>
      <cdr:y>0.02234</cdr:y>
    </cdr:from>
    <cdr:to>
      <cdr:x>0.99673</cdr:x>
      <cdr:y>0.13499</cdr:y>
    </cdr:to>
    <cdr:sp macro="" textlink="">
      <cdr:nvSpPr>
        <cdr:cNvPr id="2" name="pole tekstowe 1"/>
        <cdr:cNvSpPr txBox="1"/>
      </cdr:nvSpPr>
      <cdr:spPr>
        <a:xfrm xmlns:a="http://schemas.openxmlformats.org/drawingml/2006/main">
          <a:off x="104775" y="85019"/>
          <a:ext cx="5705475" cy="4286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sz="1100"/>
        </a:p>
      </cdr:txBody>
    </cdr:sp>
  </cdr:relSizeAnchor>
</c:userShapes>
</file>

<file path=word/drawings/drawing4.xml><?xml version="1.0" encoding="utf-8"?>
<c:userShapes xmlns:c="http://schemas.openxmlformats.org/drawingml/2006/chart">
  <cdr:relSizeAnchor xmlns:cdr="http://schemas.openxmlformats.org/drawingml/2006/chartDrawing">
    <cdr:from>
      <cdr:x>0.06701</cdr:x>
      <cdr:y>0.0477</cdr:y>
    </cdr:from>
    <cdr:to>
      <cdr:x>0.08958</cdr:x>
      <cdr:y>0.76152</cdr:y>
    </cdr:to>
    <cdr:sp macro="" textlink="">
      <cdr:nvSpPr>
        <cdr:cNvPr id="2" name="Nawias otwierający 1"/>
        <cdr:cNvSpPr/>
      </cdr:nvSpPr>
      <cdr:spPr>
        <a:xfrm xmlns:a="http://schemas.openxmlformats.org/drawingml/2006/main">
          <a:off x="337754" y="147582"/>
          <a:ext cx="113753" cy="2208355"/>
        </a:xfrm>
        <a:prstGeom xmlns:a="http://schemas.openxmlformats.org/drawingml/2006/main" prst="leftBracket">
          <a:avLst/>
        </a:prstGeom>
        <a:ln xmlns:a="http://schemas.openxmlformats.org/drawingml/2006/main" w="6350">
          <a:solidFill>
            <a:schemeClr val="tx1"/>
          </a:solidFill>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pl-PL"/>
        </a:p>
      </cdr:txBody>
    </cdr:sp>
  </cdr:relSizeAnchor>
  <cdr:relSizeAnchor xmlns:cdr="http://schemas.openxmlformats.org/drawingml/2006/chartDrawing">
    <cdr:from>
      <cdr:x>0.02973</cdr:x>
      <cdr:y>0.078</cdr:y>
    </cdr:from>
    <cdr:to>
      <cdr:x>0.05619</cdr:x>
      <cdr:y>0.7461</cdr:y>
    </cdr:to>
    <cdr:sp macro="" textlink="">
      <cdr:nvSpPr>
        <cdr:cNvPr id="3" name="pole tekstowe 2"/>
        <cdr:cNvSpPr txBox="1"/>
      </cdr:nvSpPr>
      <cdr:spPr>
        <a:xfrm xmlns:a="http://schemas.openxmlformats.org/drawingml/2006/main">
          <a:off x="149860" y="241300"/>
          <a:ext cx="133349" cy="2066925"/>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vert="vert270"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pl-PL" sz="800" b="0">
              <a:latin typeface="Fira Sans" panose="020B0503050000020004" pitchFamily="34" charset="0"/>
              <a:ea typeface="Fira Sans" panose="020B0503050000020004" pitchFamily="34" charset="0"/>
            </a:rPr>
            <a:t>Gospodarstwa domowe:</a:t>
          </a:r>
        </a:p>
      </cdr:txBody>
    </cdr:sp>
  </cdr:relSizeAnchor>
</c:userShapes>
</file>

<file path=word/drawings/drawing5.xml><?xml version="1.0" encoding="utf-8"?>
<c:userShapes xmlns:c="http://schemas.openxmlformats.org/drawingml/2006/chart">
  <cdr:relSizeAnchor xmlns:cdr="http://schemas.openxmlformats.org/drawingml/2006/chartDrawing">
    <cdr:from>
      <cdr:x>0.0134</cdr:x>
      <cdr:y>0.09264</cdr:y>
    </cdr:from>
    <cdr:to>
      <cdr:x>0.04026</cdr:x>
      <cdr:y>0.60264</cdr:y>
    </cdr:to>
    <cdr:sp macro="" textlink="">
      <cdr:nvSpPr>
        <cdr:cNvPr id="4" name="pole tekstowe 1"/>
        <cdr:cNvSpPr txBox="1"/>
      </cdr:nvSpPr>
      <cdr:spPr>
        <a:xfrm xmlns:a="http://schemas.openxmlformats.org/drawingml/2006/main">
          <a:off x="77705" y="343113"/>
          <a:ext cx="155801" cy="1888855"/>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vert="vert270"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pl-PL" sz="800" b="0">
              <a:latin typeface="Fira Sans" panose="020B0503050000020004" pitchFamily="34" charset="0"/>
              <a:ea typeface="Fira Sans" panose="020B0503050000020004" pitchFamily="34" charset="0"/>
            </a:rPr>
            <a:t>Małżeństwa</a:t>
          </a:r>
        </a:p>
      </cdr:txBody>
    </cdr:sp>
  </cdr:relSizeAnchor>
  <cdr:relSizeAnchor xmlns:cdr="http://schemas.openxmlformats.org/drawingml/2006/chartDrawing">
    <cdr:from>
      <cdr:x>0.044</cdr:x>
      <cdr:y>0.19549</cdr:y>
    </cdr:from>
    <cdr:to>
      <cdr:x>0.05188</cdr:x>
      <cdr:y>0.53212</cdr:y>
    </cdr:to>
    <cdr:sp macro="" textlink="">
      <cdr:nvSpPr>
        <cdr:cNvPr id="5" name="Nawias otwierający 4"/>
        <cdr:cNvSpPr/>
      </cdr:nvSpPr>
      <cdr:spPr>
        <a:xfrm xmlns:a="http://schemas.openxmlformats.org/drawingml/2006/main">
          <a:off x="255218" y="724022"/>
          <a:ext cx="45719" cy="1246749"/>
        </a:xfrm>
        <a:prstGeom xmlns:a="http://schemas.openxmlformats.org/drawingml/2006/main" prst="leftBracket">
          <a:avLst/>
        </a:prstGeom>
        <a:ln xmlns:a="http://schemas.openxmlformats.org/drawingml/2006/main" w="6350">
          <a:solidFill>
            <a:schemeClr val="tx1"/>
          </a:solidFill>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pl-PL">
            <a:latin typeface="Fira Sans" panose="020B0503050000020004" pitchFamily="34" charset="0"/>
            <a:ea typeface="Fira Sans" panose="020B0503050000020004" pitchFamily="34" charset="0"/>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0.01701</cdr:x>
      <cdr:y>0.07088</cdr:y>
    </cdr:from>
    <cdr:to>
      <cdr:x>0.04914</cdr:x>
      <cdr:y>0.76732</cdr:y>
    </cdr:to>
    <cdr:sp macro="" textlink="">
      <cdr:nvSpPr>
        <cdr:cNvPr id="3" name="pole tekstowe 2"/>
        <cdr:cNvSpPr txBox="1"/>
      </cdr:nvSpPr>
      <cdr:spPr>
        <a:xfrm xmlns:a="http://schemas.openxmlformats.org/drawingml/2006/main">
          <a:off x="85725" y="201492"/>
          <a:ext cx="161925" cy="1979722"/>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vert="vert270"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pl-PL" sz="800" b="0">
              <a:latin typeface="Fira Sans" panose="020B0503050000020004" pitchFamily="34" charset="0"/>
              <a:ea typeface="Fira Sans" panose="020B0503050000020004" pitchFamily="34" charset="0"/>
            </a:rPr>
            <a:t>Gospodarstwa domowe:</a:t>
          </a:r>
        </a:p>
      </cdr:txBody>
    </cdr:sp>
  </cdr:relSizeAnchor>
  <cdr:relSizeAnchor xmlns:cdr="http://schemas.openxmlformats.org/drawingml/2006/chartDrawing">
    <cdr:from>
      <cdr:x>0.05328</cdr:x>
      <cdr:y>0.07142</cdr:y>
    </cdr:from>
    <cdr:to>
      <cdr:x>0.06993</cdr:x>
      <cdr:y>0.76397</cdr:y>
    </cdr:to>
    <cdr:sp macro="" textlink="">
      <cdr:nvSpPr>
        <cdr:cNvPr id="2" name="Nawias otwierający 1"/>
        <cdr:cNvSpPr/>
      </cdr:nvSpPr>
      <cdr:spPr>
        <a:xfrm xmlns:a="http://schemas.openxmlformats.org/drawingml/2006/main">
          <a:off x="268524" y="203012"/>
          <a:ext cx="83901" cy="1968677"/>
        </a:xfrm>
        <a:prstGeom xmlns:a="http://schemas.openxmlformats.org/drawingml/2006/main" prst="leftBracket">
          <a:avLst/>
        </a:prstGeom>
        <a:ln xmlns:a="http://schemas.openxmlformats.org/drawingml/2006/main" w="6350">
          <a:solidFill>
            <a:schemeClr val="tx1"/>
          </a:solidFill>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pl-PL">
            <a:latin typeface="Fira Sans" panose="020B0503050000020004" pitchFamily="34" charset="0"/>
            <a:ea typeface="Fira Sans" panose="020B0503050000020004" pitchFamily="34" charset="0"/>
          </a:endParaRPr>
        </a:p>
      </cdr:txBody>
    </cdr:sp>
  </cdr:relSizeAnchor>
</c:userShapes>
</file>

<file path=word/drawings/drawing7.xml><?xml version="1.0" encoding="utf-8"?>
<c:userShapes xmlns:c="http://schemas.openxmlformats.org/drawingml/2006/chart">
  <cdr:relSizeAnchor xmlns:cdr="http://schemas.openxmlformats.org/drawingml/2006/chartDrawing">
    <cdr:from>
      <cdr:x>0.08006</cdr:x>
      <cdr:y>0.18122</cdr:y>
    </cdr:from>
    <cdr:to>
      <cdr:x>0.09856</cdr:x>
      <cdr:y>0.48004</cdr:y>
    </cdr:to>
    <cdr:sp macro="" textlink="">
      <cdr:nvSpPr>
        <cdr:cNvPr id="2" name="Nawias otwierający 1"/>
        <cdr:cNvSpPr/>
      </cdr:nvSpPr>
      <cdr:spPr>
        <a:xfrm xmlns:a="http://schemas.openxmlformats.org/drawingml/2006/main">
          <a:off x="404321" y="589631"/>
          <a:ext cx="93445" cy="972253"/>
        </a:xfrm>
        <a:prstGeom xmlns:a="http://schemas.openxmlformats.org/drawingml/2006/main" prst="leftBracket">
          <a:avLst/>
        </a:prstGeom>
        <a:ln xmlns:a="http://schemas.openxmlformats.org/drawingml/2006/main" w="6350">
          <a:solidFill>
            <a:schemeClr val="tx1"/>
          </a:solidFill>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pl-PL"/>
        </a:p>
      </cdr:txBody>
    </cdr:sp>
  </cdr:relSizeAnchor>
  <cdr:relSizeAnchor xmlns:cdr="http://schemas.openxmlformats.org/drawingml/2006/chartDrawing">
    <cdr:from>
      <cdr:x>0.03398</cdr:x>
      <cdr:y>0.09327</cdr:y>
    </cdr:from>
    <cdr:to>
      <cdr:x>0.06799</cdr:x>
      <cdr:y>0.58117</cdr:y>
    </cdr:to>
    <cdr:sp macro="" textlink="">
      <cdr:nvSpPr>
        <cdr:cNvPr id="4" name="pole tekstowe 3"/>
        <cdr:cNvSpPr txBox="1"/>
      </cdr:nvSpPr>
      <cdr:spPr>
        <a:xfrm xmlns:a="http://schemas.openxmlformats.org/drawingml/2006/main">
          <a:off x="171593" y="303459"/>
          <a:ext cx="171756" cy="1587472"/>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vert="vert270"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pl-PL" sz="800" b="0">
              <a:latin typeface="Fira Sans" panose="020B0503050000020004" pitchFamily="34" charset="0"/>
              <a:ea typeface="Fira Sans" panose="020B0503050000020004" pitchFamily="34" charset="0"/>
            </a:rPr>
            <a:t>Miasta</a:t>
          </a:r>
          <a:r>
            <a:rPr lang="pl-PL" sz="800" b="0" baseline="0">
              <a:latin typeface="Fira Sans" panose="020B0503050000020004" pitchFamily="34" charset="0"/>
              <a:ea typeface="Fira Sans" panose="020B0503050000020004" pitchFamily="34" charset="0"/>
            </a:rPr>
            <a:t> o liczbie mieszkańców</a:t>
          </a:r>
          <a:r>
            <a:rPr lang="pl-PL" sz="800" b="0">
              <a:latin typeface="Fira Sans" panose="020B0503050000020004" pitchFamily="34" charset="0"/>
              <a:ea typeface="Fira Sans" panose="020B0503050000020004" pitchFamily="34" charset="0"/>
            </a:rPr>
            <a:t>:</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1" ma:contentTypeDescription="Utwórz nowy dokument." ma:contentTypeScope="" ma:versionID="b20bbc3dded4abcf92e167189ff234f7">
  <xsd:schema xmlns:xsd="http://www.w3.org/2001/XMLSchema" xmlns:xs="http://www.w3.org/2001/XMLSchema" xmlns:p="http://schemas.microsoft.com/office/2006/metadata/properties" xmlns:ns2="30d47203-49ec-4c8c-a442-62231931aabb" targetNamespace="http://schemas.microsoft.com/office/2006/metadata/properties" ma:root="true" ma:fieldsID="c1fa5ad568066013d8ffcd1c33bb2164" ns2:_="">
    <xsd:import namespace="30d47203-49ec-4c8c-a442-62231931aabb"/>
    <xsd:element name="properties">
      <xsd:complexType>
        <xsd:sequence>
          <xsd:element name="documentManagement">
            <xsd:complexType>
              <xsd:all>
                <xsd:element ref="ns2: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8"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4DC58-EFEE-42A1-9591-F32E189D2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D39804-E15D-40D9-A3F2-808567566B96}">
  <ds:schemaRefs>
    <ds:schemaRef ds:uri="http://schemas.microsoft.com/office/2006/metadata/properties"/>
    <ds:schemaRef ds:uri="http://schemas.microsoft.com/office/infopath/2007/PartnerControls"/>
    <ds:schemaRef ds:uri="30d47203-49ec-4c8c-a442-62231931aabb"/>
  </ds:schemaRefs>
</ds:datastoreItem>
</file>

<file path=customXml/itemProps3.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4.xml><?xml version="1.0" encoding="utf-8"?>
<ds:datastoreItem xmlns:ds="http://schemas.openxmlformats.org/officeDocument/2006/customXml" ds:itemID="{C01A1114-F432-49F1-BE9E-D93133DBA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2461</Words>
  <Characters>14771</Characters>
  <Application>Microsoft Office Word</Application>
  <DocSecurity>0</DocSecurity>
  <Lines>123</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Ciecieląg Paweł</dc:creator>
  <cp:keywords/>
  <dc:description/>
  <cp:lastModifiedBy>Góralczyk Arkadiusz</cp:lastModifiedBy>
  <cp:revision>3</cp:revision>
  <cp:lastPrinted>2025-06-27T07:26:00Z</cp:lastPrinted>
  <dcterms:created xsi:type="dcterms:W3CDTF">2026-06-30T09:04:00Z</dcterms:created>
  <dcterms:modified xsi:type="dcterms:W3CDTF">2026-06-30T09:22:00Z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