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8480A" w14:textId="127CE486" w:rsidR="003508D2" w:rsidRDefault="001B2C72" w:rsidP="003508D2">
      <w:pPr>
        <w:pStyle w:val="Nagwek1"/>
      </w:pPr>
      <w:r>
        <w:t xml:space="preserve">Koniunktura gospodarcza w województwie lubelskim </w:t>
      </w:r>
      <w:r w:rsidR="00A22F89">
        <w:t>w</w:t>
      </w:r>
      <w:r w:rsidR="00100BBC">
        <w:t xml:space="preserve"> </w:t>
      </w:r>
      <w:r w:rsidR="00A63A7C">
        <w:t>czerwcu</w:t>
      </w:r>
      <w:r w:rsidR="00100BBC">
        <w:t xml:space="preserve"> </w:t>
      </w:r>
      <w:r>
        <w:t>202</w:t>
      </w:r>
      <w:r w:rsidR="00A75383">
        <w:t>6</w:t>
      </w:r>
      <w:r>
        <w:t xml:space="preserve"> roku </w:t>
      </w:r>
      <w:r w:rsidR="003508D2">
        <w:t>(infografika) – opis alternatywny</w:t>
      </w:r>
    </w:p>
    <w:p w14:paraId="7F90704F" w14:textId="77777777" w:rsidR="001B2C72" w:rsidRPr="001B2C72" w:rsidRDefault="001B2C72" w:rsidP="001B2C72">
      <w:pPr>
        <w:pStyle w:val="Nagwek2"/>
      </w:pPr>
      <w:r>
        <w:t>Wskaźniki ogólnego klimatu koniunktury</w:t>
      </w:r>
    </w:p>
    <w:p w14:paraId="63318E3E" w14:textId="46A5DA0A" w:rsidR="003508D2" w:rsidRDefault="001B2C72" w:rsidP="001B2C72">
      <w:pPr>
        <w:pStyle w:val="Akapitzlist"/>
        <w:numPr>
          <w:ilvl w:val="0"/>
          <w:numId w:val="17"/>
        </w:numPr>
      </w:pPr>
      <w:r>
        <w:t xml:space="preserve">Przetwórstwo przemysłowe </w:t>
      </w:r>
      <w:r w:rsidR="00E35FE3">
        <w:t>(</w:t>
      </w:r>
      <w:r w:rsidR="00A63A7C">
        <w:t>poprawa</w:t>
      </w:r>
      <w:r w:rsidR="00E35FE3">
        <w:t xml:space="preserve"> w relacji do poprzedniego okresu):</w:t>
      </w:r>
    </w:p>
    <w:p w14:paraId="7F2AD0FD" w14:textId="52CF1EF1" w:rsidR="008F1428" w:rsidRDefault="008F1428" w:rsidP="00E35FE3">
      <w:pPr>
        <w:pStyle w:val="Akapitzlist"/>
        <w:numPr>
          <w:ilvl w:val="1"/>
          <w:numId w:val="17"/>
        </w:numPr>
      </w:pPr>
      <w:r>
        <w:t>Wskaźnik w</w:t>
      </w:r>
      <w:r w:rsidR="005827EB">
        <w:t xml:space="preserve"> </w:t>
      </w:r>
      <w:r w:rsidR="00A84820">
        <w:t>maju</w:t>
      </w:r>
      <w:r>
        <w:t xml:space="preserve"> 20</w:t>
      </w:r>
      <w:r w:rsidR="005114F4">
        <w:t>26</w:t>
      </w:r>
      <w:r>
        <w:t xml:space="preserve"> roku</w:t>
      </w:r>
      <w:r w:rsidR="00804253">
        <w:t xml:space="preserve"> – </w:t>
      </w:r>
      <w:r w:rsidR="00A84820">
        <w:t>minus 2,5;</w:t>
      </w:r>
    </w:p>
    <w:p w14:paraId="28A06C67" w14:textId="53ED547D" w:rsidR="001B2C72" w:rsidRDefault="001B2C72" w:rsidP="001B2C72">
      <w:pPr>
        <w:pStyle w:val="Akapitzlist"/>
        <w:numPr>
          <w:ilvl w:val="1"/>
          <w:numId w:val="17"/>
        </w:numPr>
      </w:pPr>
      <w:r>
        <w:t xml:space="preserve">Wskaźnik </w:t>
      </w:r>
      <w:r w:rsidR="00804253">
        <w:t>w</w:t>
      </w:r>
      <w:r w:rsidR="005827EB">
        <w:t xml:space="preserve"> </w:t>
      </w:r>
      <w:r w:rsidR="00A84820">
        <w:t>czerwcu</w:t>
      </w:r>
      <w:r w:rsidR="005827EB">
        <w:t xml:space="preserve"> </w:t>
      </w:r>
      <w:r>
        <w:t>202</w:t>
      </w:r>
      <w:r w:rsidR="005114F4">
        <w:t>6</w:t>
      </w:r>
      <w:r>
        <w:t xml:space="preserve"> roku</w:t>
      </w:r>
      <w:r w:rsidR="00804253">
        <w:t xml:space="preserve"> – </w:t>
      </w:r>
      <w:r w:rsidR="00A84820">
        <w:t>minus 2,1;</w:t>
      </w:r>
    </w:p>
    <w:p w14:paraId="2D6B73E0" w14:textId="77777777" w:rsidR="001B2C72" w:rsidRDefault="00F9347F" w:rsidP="001B2C72">
      <w:pPr>
        <w:pStyle w:val="Akapitzlist"/>
        <w:numPr>
          <w:ilvl w:val="0"/>
          <w:numId w:val="17"/>
        </w:numPr>
      </w:pPr>
      <w:r>
        <w:t>Budownictwo</w:t>
      </w:r>
      <w:r w:rsidR="001B2C72">
        <w:t xml:space="preserve"> </w:t>
      </w:r>
      <w:r w:rsidR="00E35FE3">
        <w:t>(poprawa w relacji do poprzedniego okresu):</w:t>
      </w:r>
    </w:p>
    <w:p w14:paraId="64637368" w14:textId="1B731FE2" w:rsidR="00A84820" w:rsidRDefault="00A84820" w:rsidP="00A84820">
      <w:pPr>
        <w:pStyle w:val="Akapitzlist"/>
        <w:numPr>
          <w:ilvl w:val="1"/>
          <w:numId w:val="17"/>
        </w:numPr>
      </w:pPr>
      <w:r>
        <w:t xml:space="preserve">Wskaźnik w maju 2026 roku – </w:t>
      </w:r>
      <w:r>
        <w:t>minus 0,9;</w:t>
      </w:r>
    </w:p>
    <w:p w14:paraId="564F3D37" w14:textId="614F12C9" w:rsidR="00A84820" w:rsidRDefault="00A84820" w:rsidP="00A84820">
      <w:pPr>
        <w:pStyle w:val="Akapitzlist"/>
        <w:numPr>
          <w:ilvl w:val="1"/>
          <w:numId w:val="17"/>
        </w:numPr>
      </w:pPr>
      <w:r>
        <w:t xml:space="preserve">Wskaźnik w czerwcu 2026 roku – </w:t>
      </w:r>
      <w:r>
        <w:t>1,7;</w:t>
      </w:r>
    </w:p>
    <w:p w14:paraId="299FB6D9" w14:textId="24989704" w:rsidR="001B2C72" w:rsidRDefault="00F9347F" w:rsidP="001B2C72">
      <w:pPr>
        <w:pStyle w:val="Akapitzlist"/>
        <w:numPr>
          <w:ilvl w:val="0"/>
          <w:numId w:val="17"/>
        </w:numPr>
      </w:pPr>
      <w:r>
        <w:t>Handel hurtowy</w:t>
      </w:r>
      <w:r w:rsidR="001B2C72">
        <w:t xml:space="preserve"> </w:t>
      </w:r>
      <w:r w:rsidR="00E35FE3">
        <w:t>(</w:t>
      </w:r>
      <w:r w:rsidR="00A63A7C">
        <w:t xml:space="preserve">pogorszenie </w:t>
      </w:r>
      <w:r w:rsidR="00E35FE3">
        <w:t>w relacji do poprzedniego okresu):</w:t>
      </w:r>
    </w:p>
    <w:p w14:paraId="38EC380E" w14:textId="65FE1261" w:rsidR="00A84820" w:rsidRDefault="00A84820" w:rsidP="00A84820">
      <w:pPr>
        <w:pStyle w:val="Akapitzlist"/>
        <w:numPr>
          <w:ilvl w:val="1"/>
          <w:numId w:val="17"/>
        </w:numPr>
      </w:pPr>
      <w:r>
        <w:t xml:space="preserve">Wskaźnik w maju 2026 roku – </w:t>
      </w:r>
      <w:r w:rsidR="00A63A7C">
        <w:t>2,5;</w:t>
      </w:r>
    </w:p>
    <w:p w14:paraId="592F3917" w14:textId="36074147" w:rsidR="00A84820" w:rsidRDefault="00A84820" w:rsidP="00A84820">
      <w:pPr>
        <w:pStyle w:val="Akapitzlist"/>
        <w:numPr>
          <w:ilvl w:val="1"/>
          <w:numId w:val="17"/>
        </w:numPr>
      </w:pPr>
      <w:r>
        <w:t xml:space="preserve">Wskaźnik w czerwcu 2026 roku – </w:t>
      </w:r>
      <w:r w:rsidR="00A63A7C">
        <w:t>minus 7,7;</w:t>
      </w:r>
    </w:p>
    <w:p w14:paraId="40148802" w14:textId="77777777" w:rsidR="001B2C72" w:rsidRDefault="00F9347F" w:rsidP="001B2C72">
      <w:pPr>
        <w:pStyle w:val="Akapitzlist"/>
        <w:numPr>
          <w:ilvl w:val="0"/>
          <w:numId w:val="17"/>
        </w:numPr>
      </w:pPr>
      <w:r>
        <w:t xml:space="preserve">Handel detaliczny </w:t>
      </w:r>
      <w:r w:rsidR="00E35FE3">
        <w:t>(</w:t>
      </w:r>
      <w:r w:rsidR="005114F4">
        <w:t>pogorszenie</w:t>
      </w:r>
      <w:r w:rsidR="00E35FE3">
        <w:t xml:space="preserve"> w relacji do poprzedniego okresu):</w:t>
      </w:r>
    </w:p>
    <w:p w14:paraId="6EB28366" w14:textId="1E6BF56C" w:rsidR="005114F4" w:rsidRDefault="005114F4" w:rsidP="005114F4">
      <w:pPr>
        <w:pStyle w:val="Akapitzlist"/>
        <w:numPr>
          <w:ilvl w:val="1"/>
          <w:numId w:val="17"/>
        </w:numPr>
      </w:pPr>
      <w:r>
        <w:t xml:space="preserve">Wskaźnik w lutym 2026 roku – </w:t>
      </w:r>
      <w:r w:rsidR="00A63A7C">
        <w:t>minus 9,7;</w:t>
      </w:r>
    </w:p>
    <w:p w14:paraId="5167D59E" w14:textId="6A78DA75" w:rsidR="005114F4" w:rsidRDefault="005114F4" w:rsidP="005114F4">
      <w:pPr>
        <w:pStyle w:val="Akapitzlist"/>
        <w:numPr>
          <w:ilvl w:val="1"/>
          <w:numId w:val="17"/>
        </w:numPr>
      </w:pPr>
      <w:r>
        <w:t xml:space="preserve">Wskaźnik w marcu 2026 roku – </w:t>
      </w:r>
      <w:r w:rsidR="00A63A7C">
        <w:t>minus 13,0;</w:t>
      </w:r>
    </w:p>
    <w:p w14:paraId="177AE817" w14:textId="77777777" w:rsidR="001B2C72" w:rsidRDefault="00F9347F" w:rsidP="001B2C72">
      <w:pPr>
        <w:pStyle w:val="Akapitzlist"/>
        <w:numPr>
          <w:ilvl w:val="0"/>
          <w:numId w:val="17"/>
        </w:numPr>
      </w:pPr>
      <w:r>
        <w:t>Transport i gospodarka magazynowa</w:t>
      </w:r>
      <w:r w:rsidR="001B2C72">
        <w:t xml:space="preserve"> </w:t>
      </w:r>
      <w:r w:rsidR="00E35FE3">
        <w:t>(</w:t>
      </w:r>
      <w:r w:rsidR="005114F4">
        <w:t>poprawa</w:t>
      </w:r>
      <w:r w:rsidR="00E35FE3">
        <w:t xml:space="preserve"> w relacji do poprzedniego okresu):</w:t>
      </w:r>
    </w:p>
    <w:p w14:paraId="03AE168E" w14:textId="2BABF1B9" w:rsidR="00A84820" w:rsidRDefault="00A84820" w:rsidP="00A84820">
      <w:pPr>
        <w:pStyle w:val="Akapitzlist"/>
        <w:numPr>
          <w:ilvl w:val="1"/>
          <w:numId w:val="17"/>
        </w:numPr>
      </w:pPr>
      <w:r>
        <w:t xml:space="preserve">Wskaźnik w maju 2026 roku – </w:t>
      </w:r>
      <w:r w:rsidR="00A63A7C">
        <w:t>minus 16,8;</w:t>
      </w:r>
    </w:p>
    <w:p w14:paraId="48A3E7FA" w14:textId="5A821268" w:rsidR="00A84820" w:rsidRDefault="00A84820" w:rsidP="00A84820">
      <w:pPr>
        <w:pStyle w:val="Akapitzlist"/>
        <w:numPr>
          <w:ilvl w:val="1"/>
          <w:numId w:val="17"/>
        </w:numPr>
      </w:pPr>
      <w:r>
        <w:t xml:space="preserve">Wskaźnik w czerwcu 2026 roku – </w:t>
      </w:r>
      <w:r w:rsidR="00A63A7C">
        <w:t>minus 14,7;</w:t>
      </w:r>
    </w:p>
    <w:p w14:paraId="10B1CC64" w14:textId="77777777" w:rsidR="007668D7" w:rsidRDefault="00F9347F" w:rsidP="007668D7">
      <w:pPr>
        <w:pStyle w:val="Akapitzlist"/>
        <w:numPr>
          <w:ilvl w:val="0"/>
          <w:numId w:val="17"/>
        </w:numPr>
      </w:pPr>
      <w:r>
        <w:t>Zakwaterowanie i gastronomia</w:t>
      </w:r>
      <w:r w:rsidR="001B2C72">
        <w:t xml:space="preserve"> </w:t>
      </w:r>
      <w:r w:rsidR="00E35FE3">
        <w:t>(</w:t>
      </w:r>
      <w:r w:rsidR="005114F4">
        <w:t>pogorszenie</w:t>
      </w:r>
      <w:r w:rsidR="00E35FE3">
        <w:t xml:space="preserve"> w relacji do poprzedniego okresu):</w:t>
      </w:r>
    </w:p>
    <w:p w14:paraId="530749F8" w14:textId="36D9E5A0" w:rsidR="00A84820" w:rsidRDefault="00A84820" w:rsidP="00A84820">
      <w:pPr>
        <w:pStyle w:val="Akapitzlist"/>
        <w:numPr>
          <w:ilvl w:val="1"/>
          <w:numId w:val="17"/>
        </w:numPr>
      </w:pPr>
      <w:r>
        <w:t xml:space="preserve">Wskaźnik w maju 2026 roku – </w:t>
      </w:r>
      <w:r w:rsidR="00A63A7C">
        <w:t>6,7;</w:t>
      </w:r>
    </w:p>
    <w:p w14:paraId="59AD9B5D" w14:textId="14AA4F62" w:rsidR="00A84820" w:rsidRDefault="00A84820" w:rsidP="00A84820">
      <w:pPr>
        <w:pStyle w:val="Akapitzlist"/>
        <w:numPr>
          <w:ilvl w:val="1"/>
          <w:numId w:val="17"/>
        </w:numPr>
      </w:pPr>
      <w:r>
        <w:t xml:space="preserve">Wskaźnik w czerwcu 2026 roku – </w:t>
      </w:r>
      <w:r w:rsidR="00A63A7C">
        <w:t>6,4;</w:t>
      </w:r>
    </w:p>
    <w:p w14:paraId="210CC5E5" w14:textId="6907D2D3" w:rsidR="001B2C72" w:rsidRDefault="00F9347F" w:rsidP="001B2C72">
      <w:pPr>
        <w:pStyle w:val="Akapitzlist"/>
        <w:numPr>
          <w:ilvl w:val="0"/>
          <w:numId w:val="17"/>
        </w:numPr>
      </w:pPr>
      <w:r>
        <w:t>Informacja i komunikacja</w:t>
      </w:r>
      <w:r w:rsidR="001B2C72">
        <w:t xml:space="preserve"> </w:t>
      </w:r>
      <w:bookmarkStart w:id="0" w:name="_Hlk185934251"/>
      <w:r w:rsidR="00E35FE3">
        <w:t>(</w:t>
      </w:r>
      <w:r w:rsidR="00A63A7C">
        <w:t>poprawa</w:t>
      </w:r>
      <w:r w:rsidR="00E35FE3">
        <w:t xml:space="preserve"> w relacji do poprzedniego okresu):</w:t>
      </w:r>
    </w:p>
    <w:bookmarkEnd w:id="0"/>
    <w:p w14:paraId="742E2AAE" w14:textId="3895FD63" w:rsidR="00A84820" w:rsidRDefault="00A84820" w:rsidP="00A84820">
      <w:pPr>
        <w:pStyle w:val="Akapitzlist"/>
        <w:numPr>
          <w:ilvl w:val="1"/>
          <w:numId w:val="17"/>
        </w:numPr>
      </w:pPr>
      <w:r>
        <w:t xml:space="preserve">Wskaźnik w maju 2026 roku – </w:t>
      </w:r>
      <w:r w:rsidR="00A63A7C">
        <w:t>minus 21,4;</w:t>
      </w:r>
    </w:p>
    <w:p w14:paraId="2A2844A2" w14:textId="3B4A0D6B" w:rsidR="00A84820" w:rsidRDefault="00A84820" w:rsidP="00A84820">
      <w:pPr>
        <w:pStyle w:val="Akapitzlist"/>
        <w:numPr>
          <w:ilvl w:val="1"/>
          <w:numId w:val="17"/>
        </w:numPr>
      </w:pPr>
      <w:r>
        <w:t xml:space="preserve">Wskaźnik w czerwcu 2026 roku – </w:t>
      </w:r>
      <w:r w:rsidR="00A63A7C">
        <w:t>minus 3,9.</w:t>
      </w:r>
    </w:p>
    <w:p w14:paraId="14AD5984" w14:textId="77777777" w:rsidR="00E8587D" w:rsidRDefault="00E8587D" w:rsidP="00E8587D">
      <w:pPr>
        <w:pStyle w:val="Nagwek2"/>
      </w:pPr>
      <w:r>
        <w:t>Rynek pracy</w:t>
      </w:r>
    </w:p>
    <w:p w14:paraId="594FD7D8" w14:textId="77777777" w:rsidR="00E8587D" w:rsidRDefault="00E8587D" w:rsidP="00E8587D">
      <w:r>
        <w:t>Przedsiębiorstwa zamierzające w najbliższych trzech miesiącach, w porównaniu z aktualną sytuacją, w przypadku pracowników</w:t>
      </w:r>
      <w:r w:rsidR="00804253">
        <w:t xml:space="preserve"> w %</w:t>
      </w:r>
      <w:r>
        <w:t>:</w:t>
      </w:r>
    </w:p>
    <w:p w14:paraId="671870D4" w14:textId="77777777" w:rsidR="00E8587D" w:rsidRDefault="00E8587D" w:rsidP="00E8587D">
      <w:pPr>
        <w:pStyle w:val="Akapitzlist"/>
        <w:numPr>
          <w:ilvl w:val="0"/>
          <w:numId w:val="22"/>
        </w:numPr>
      </w:pPr>
      <w:r>
        <w:t>Relatywnie łatwych do zastąpienia:</w:t>
      </w:r>
    </w:p>
    <w:p w14:paraId="2FAD5C6B" w14:textId="77777777" w:rsidR="00E8587D" w:rsidRDefault="00E8587D" w:rsidP="00E8587D">
      <w:pPr>
        <w:pStyle w:val="Akapitzlist"/>
        <w:numPr>
          <w:ilvl w:val="1"/>
          <w:numId w:val="22"/>
        </w:numPr>
      </w:pPr>
      <w:r>
        <w:t>Ograniczyć zatrudnienie:</w:t>
      </w:r>
    </w:p>
    <w:p w14:paraId="28BF41D3" w14:textId="79640542" w:rsidR="00E8587D" w:rsidRDefault="00E8587D" w:rsidP="00E8587D">
      <w:pPr>
        <w:pStyle w:val="Akapitzlist"/>
        <w:numPr>
          <w:ilvl w:val="2"/>
          <w:numId w:val="22"/>
        </w:numPr>
      </w:pPr>
      <w:r>
        <w:t>Przetwórstwo przemysłowe</w:t>
      </w:r>
      <w:r w:rsidR="00804253">
        <w:t xml:space="preserve"> – </w:t>
      </w:r>
      <w:r w:rsidR="00A63A7C">
        <w:t>13,2;</w:t>
      </w:r>
    </w:p>
    <w:p w14:paraId="4C4D0408" w14:textId="6F8FBAAF" w:rsidR="00E8587D" w:rsidRDefault="00E8587D" w:rsidP="00E8587D">
      <w:pPr>
        <w:pStyle w:val="Akapitzlist"/>
        <w:numPr>
          <w:ilvl w:val="2"/>
          <w:numId w:val="22"/>
        </w:numPr>
      </w:pPr>
      <w:r>
        <w:t>Budownictwo</w:t>
      </w:r>
      <w:r w:rsidR="00804253">
        <w:t xml:space="preserve"> – </w:t>
      </w:r>
      <w:r w:rsidR="00A63A7C">
        <w:t>10,0;</w:t>
      </w:r>
    </w:p>
    <w:p w14:paraId="41A09294" w14:textId="58DBF8E1" w:rsidR="00E8587D" w:rsidRDefault="00E8587D" w:rsidP="00E8587D">
      <w:pPr>
        <w:pStyle w:val="Akapitzlist"/>
        <w:numPr>
          <w:ilvl w:val="2"/>
          <w:numId w:val="22"/>
        </w:numPr>
      </w:pPr>
      <w:r>
        <w:t>Usługi</w:t>
      </w:r>
      <w:r w:rsidR="00804253">
        <w:t xml:space="preserve"> – </w:t>
      </w:r>
      <w:r w:rsidR="00A63A7C">
        <w:t>11,5;</w:t>
      </w:r>
    </w:p>
    <w:p w14:paraId="48241247" w14:textId="53292334" w:rsidR="00E8587D" w:rsidRDefault="00E8587D" w:rsidP="00E8587D">
      <w:pPr>
        <w:pStyle w:val="Akapitzlist"/>
        <w:numPr>
          <w:ilvl w:val="2"/>
          <w:numId w:val="22"/>
        </w:numPr>
      </w:pPr>
      <w:r>
        <w:t>Handel hurtowy</w:t>
      </w:r>
      <w:r w:rsidR="00804253">
        <w:t xml:space="preserve"> – </w:t>
      </w:r>
      <w:r w:rsidR="00A63A7C">
        <w:t>8,5;</w:t>
      </w:r>
    </w:p>
    <w:p w14:paraId="2ADE17D1" w14:textId="6815C54F" w:rsidR="00E8587D" w:rsidRDefault="00E8587D" w:rsidP="00E8587D">
      <w:pPr>
        <w:pStyle w:val="Akapitzlist"/>
        <w:numPr>
          <w:ilvl w:val="2"/>
          <w:numId w:val="22"/>
        </w:numPr>
      </w:pPr>
      <w:r>
        <w:t>Handel detaliczny</w:t>
      </w:r>
      <w:r w:rsidR="00804253">
        <w:t xml:space="preserve"> – </w:t>
      </w:r>
      <w:r w:rsidR="00A63A7C">
        <w:t>20,6;</w:t>
      </w:r>
    </w:p>
    <w:p w14:paraId="25448797" w14:textId="77777777" w:rsidR="00E8587D" w:rsidRDefault="00E8587D" w:rsidP="00E8587D">
      <w:pPr>
        <w:pStyle w:val="Akapitzlist"/>
        <w:numPr>
          <w:ilvl w:val="1"/>
          <w:numId w:val="22"/>
        </w:numPr>
      </w:pPr>
      <w:r>
        <w:lastRenderedPageBreak/>
        <w:t>Utrzymać zatrudnienie:</w:t>
      </w:r>
    </w:p>
    <w:p w14:paraId="3AFD4C09" w14:textId="56661807" w:rsidR="00A63A7C" w:rsidRDefault="00A63A7C" w:rsidP="00A63A7C">
      <w:pPr>
        <w:pStyle w:val="Akapitzlist"/>
        <w:numPr>
          <w:ilvl w:val="2"/>
          <w:numId w:val="22"/>
        </w:numPr>
      </w:pPr>
      <w:r>
        <w:t xml:space="preserve">Przetwórstwo przemysłowe – </w:t>
      </w:r>
      <w:r>
        <w:t>75,8;</w:t>
      </w:r>
    </w:p>
    <w:p w14:paraId="225ADBA0" w14:textId="25B4B8AF" w:rsidR="00A63A7C" w:rsidRDefault="00A63A7C" w:rsidP="00A63A7C">
      <w:pPr>
        <w:pStyle w:val="Akapitzlist"/>
        <w:numPr>
          <w:ilvl w:val="2"/>
          <w:numId w:val="22"/>
        </w:numPr>
      </w:pPr>
      <w:r>
        <w:t xml:space="preserve">Budownictwo – </w:t>
      </w:r>
      <w:r>
        <w:t>85,4;</w:t>
      </w:r>
    </w:p>
    <w:p w14:paraId="12A84140" w14:textId="211DD9E2" w:rsidR="00A63A7C" w:rsidRDefault="00A63A7C" w:rsidP="00A63A7C">
      <w:pPr>
        <w:pStyle w:val="Akapitzlist"/>
        <w:numPr>
          <w:ilvl w:val="2"/>
          <w:numId w:val="22"/>
        </w:numPr>
      </w:pPr>
      <w:r>
        <w:t xml:space="preserve">Usługi – </w:t>
      </w:r>
      <w:r>
        <w:t>86,8;</w:t>
      </w:r>
    </w:p>
    <w:p w14:paraId="5BDBE999" w14:textId="113C7172" w:rsidR="00A63A7C" w:rsidRDefault="00A63A7C" w:rsidP="00A63A7C">
      <w:pPr>
        <w:pStyle w:val="Akapitzlist"/>
        <w:numPr>
          <w:ilvl w:val="2"/>
          <w:numId w:val="22"/>
        </w:numPr>
      </w:pPr>
      <w:r>
        <w:t xml:space="preserve">Handel hurtowy – </w:t>
      </w:r>
      <w:r>
        <w:t>88,1;</w:t>
      </w:r>
    </w:p>
    <w:p w14:paraId="1E9D7903" w14:textId="56D8DAAF" w:rsidR="00A63A7C" w:rsidRDefault="00A63A7C" w:rsidP="00A63A7C">
      <w:pPr>
        <w:pStyle w:val="Akapitzlist"/>
        <w:numPr>
          <w:ilvl w:val="2"/>
          <w:numId w:val="22"/>
        </w:numPr>
      </w:pPr>
      <w:r>
        <w:t xml:space="preserve">Handel detaliczny – </w:t>
      </w:r>
      <w:r>
        <w:t>76,3;</w:t>
      </w:r>
    </w:p>
    <w:p w14:paraId="7ABBBE95" w14:textId="77777777" w:rsidR="00E8587D" w:rsidRDefault="00E8587D" w:rsidP="00E8587D">
      <w:pPr>
        <w:pStyle w:val="Akapitzlist"/>
        <w:numPr>
          <w:ilvl w:val="1"/>
          <w:numId w:val="22"/>
        </w:numPr>
      </w:pPr>
      <w:r>
        <w:t>Zwiększyć zatrudnienie:</w:t>
      </w:r>
    </w:p>
    <w:p w14:paraId="1A38272F" w14:textId="74482C26" w:rsidR="00A63A7C" w:rsidRDefault="00A63A7C" w:rsidP="00A63A7C">
      <w:pPr>
        <w:pStyle w:val="Akapitzlist"/>
        <w:numPr>
          <w:ilvl w:val="2"/>
          <w:numId w:val="22"/>
        </w:numPr>
      </w:pPr>
      <w:r>
        <w:t xml:space="preserve">Przetwórstwo przemysłowe – </w:t>
      </w:r>
      <w:r>
        <w:t>11,0;</w:t>
      </w:r>
    </w:p>
    <w:p w14:paraId="7743E74D" w14:textId="0FD29CB4" w:rsidR="00A63A7C" w:rsidRDefault="00A63A7C" w:rsidP="00A63A7C">
      <w:pPr>
        <w:pStyle w:val="Akapitzlist"/>
        <w:numPr>
          <w:ilvl w:val="2"/>
          <w:numId w:val="22"/>
        </w:numPr>
      </w:pPr>
      <w:r>
        <w:t xml:space="preserve">Budownictwo – </w:t>
      </w:r>
      <w:r>
        <w:t>4,6;</w:t>
      </w:r>
    </w:p>
    <w:p w14:paraId="030D5BC7" w14:textId="1DD25246" w:rsidR="00A63A7C" w:rsidRDefault="00A63A7C" w:rsidP="00A63A7C">
      <w:pPr>
        <w:pStyle w:val="Akapitzlist"/>
        <w:numPr>
          <w:ilvl w:val="2"/>
          <w:numId w:val="22"/>
        </w:numPr>
      </w:pPr>
      <w:r>
        <w:t xml:space="preserve">Usługi – </w:t>
      </w:r>
      <w:r>
        <w:t>1,7;</w:t>
      </w:r>
    </w:p>
    <w:p w14:paraId="32869CDD" w14:textId="28AB19B4" w:rsidR="00A63A7C" w:rsidRDefault="00A63A7C" w:rsidP="00A63A7C">
      <w:pPr>
        <w:pStyle w:val="Akapitzlist"/>
        <w:numPr>
          <w:ilvl w:val="2"/>
          <w:numId w:val="22"/>
        </w:numPr>
      </w:pPr>
      <w:r>
        <w:t xml:space="preserve">Handel hurtowy – </w:t>
      </w:r>
      <w:r>
        <w:t>3,4;</w:t>
      </w:r>
    </w:p>
    <w:p w14:paraId="713C8D45" w14:textId="4705D2CD" w:rsidR="00A63A7C" w:rsidRDefault="00A63A7C" w:rsidP="00A63A7C">
      <w:pPr>
        <w:pStyle w:val="Akapitzlist"/>
        <w:numPr>
          <w:ilvl w:val="2"/>
          <w:numId w:val="22"/>
        </w:numPr>
      </w:pPr>
      <w:r>
        <w:t xml:space="preserve">Handel detaliczny – </w:t>
      </w:r>
      <w:r>
        <w:t>3,1;</w:t>
      </w:r>
    </w:p>
    <w:p w14:paraId="66E8324B" w14:textId="77777777" w:rsidR="00E8587D" w:rsidRDefault="00E8587D" w:rsidP="00E8587D">
      <w:pPr>
        <w:pStyle w:val="Akapitzlist"/>
        <w:numPr>
          <w:ilvl w:val="0"/>
          <w:numId w:val="22"/>
        </w:numPr>
      </w:pPr>
      <w:r>
        <w:t>Relatywnie trudnych do zastąpienia:</w:t>
      </w:r>
    </w:p>
    <w:p w14:paraId="74DE4BF2" w14:textId="77777777" w:rsidR="00E8587D" w:rsidRDefault="00E8587D" w:rsidP="00E8587D">
      <w:pPr>
        <w:pStyle w:val="Akapitzlist"/>
        <w:numPr>
          <w:ilvl w:val="1"/>
          <w:numId w:val="22"/>
        </w:numPr>
      </w:pPr>
      <w:r>
        <w:t>Ograniczyć zatrudnienie:</w:t>
      </w:r>
    </w:p>
    <w:p w14:paraId="3B048FBF" w14:textId="41C60855" w:rsidR="00A63A7C" w:rsidRDefault="00A63A7C" w:rsidP="00A63A7C">
      <w:pPr>
        <w:pStyle w:val="Akapitzlist"/>
        <w:numPr>
          <w:ilvl w:val="2"/>
          <w:numId w:val="22"/>
        </w:numPr>
      </w:pPr>
      <w:r>
        <w:t xml:space="preserve">Przetwórstwo przemysłowe – </w:t>
      </w:r>
      <w:r>
        <w:t>2,7;</w:t>
      </w:r>
    </w:p>
    <w:p w14:paraId="390B59A5" w14:textId="108BBC24" w:rsidR="00A63A7C" w:rsidRDefault="00A63A7C" w:rsidP="00A63A7C">
      <w:pPr>
        <w:pStyle w:val="Akapitzlist"/>
        <w:numPr>
          <w:ilvl w:val="2"/>
          <w:numId w:val="22"/>
        </w:numPr>
      </w:pPr>
      <w:r>
        <w:t xml:space="preserve">Budownictwo – </w:t>
      </w:r>
      <w:r>
        <w:t>4,4;</w:t>
      </w:r>
    </w:p>
    <w:p w14:paraId="037ADED2" w14:textId="5BBD7D94" w:rsidR="00A63A7C" w:rsidRDefault="00A63A7C" w:rsidP="00A63A7C">
      <w:pPr>
        <w:pStyle w:val="Akapitzlist"/>
        <w:numPr>
          <w:ilvl w:val="2"/>
          <w:numId w:val="22"/>
        </w:numPr>
      </w:pPr>
      <w:r>
        <w:t xml:space="preserve">Usługi – </w:t>
      </w:r>
      <w:r>
        <w:t>9,2;</w:t>
      </w:r>
    </w:p>
    <w:p w14:paraId="1BC2C388" w14:textId="080185E0" w:rsidR="00A63A7C" w:rsidRDefault="00A63A7C" w:rsidP="00A63A7C">
      <w:pPr>
        <w:pStyle w:val="Akapitzlist"/>
        <w:numPr>
          <w:ilvl w:val="2"/>
          <w:numId w:val="22"/>
        </w:numPr>
      </w:pPr>
      <w:r>
        <w:t xml:space="preserve">Handel hurtowy – </w:t>
      </w:r>
      <w:r>
        <w:t>0,9;</w:t>
      </w:r>
    </w:p>
    <w:p w14:paraId="19D3F673" w14:textId="60DCF27B" w:rsidR="00A63A7C" w:rsidRDefault="00A63A7C" w:rsidP="00A63A7C">
      <w:pPr>
        <w:pStyle w:val="Akapitzlist"/>
        <w:numPr>
          <w:ilvl w:val="2"/>
          <w:numId w:val="22"/>
        </w:numPr>
      </w:pPr>
      <w:r>
        <w:t xml:space="preserve">Handel detaliczny – </w:t>
      </w:r>
      <w:r>
        <w:t>6,2;</w:t>
      </w:r>
    </w:p>
    <w:p w14:paraId="4038F129" w14:textId="77777777" w:rsidR="00E8587D" w:rsidRDefault="00E8587D" w:rsidP="00E8587D">
      <w:pPr>
        <w:pStyle w:val="Akapitzlist"/>
        <w:numPr>
          <w:ilvl w:val="1"/>
          <w:numId w:val="22"/>
        </w:numPr>
      </w:pPr>
      <w:r>
        <w:t>Utrzymać zatrudnienie:</w:t>
      </w:r>
    </w:p>
    <w:p w14:paraId="73A25C89" w14:textId="72DB4FF5" w:rsidR="00A63A7C" w:rsidRDefault="00A63A7C" w:rsidP="00A63A7C">
      <w:pPr>
        <w:pStyle w:val="Akapitzlist"/>
        <w:numPr>
          <w:ilvl w:val="2"/>
          <w:numId w:val="22"/>
        </w:numPr>
      </w:pPr>
      <w:r>
        <w:t xml:space="preserve">Przetwórstwo przemysłowe – </w:t>
      </w:r>
      <w:r>
        <w:t>89,6;</w:t>
      </w:r>
    </w:p>
    <w:p w14:paraId="36C4EDE7" w14:textId="4139640F" w:rsidR="00A63A7C" w:rsidRDefault="00A63A7C" w:rsidP="00A63A7C">
      <w:pPr>
        <w:pStyle w:val="Akapitzlist"/>
        <w:numPr>
          <w:ilvl w:val="2"/>
          <w:numId w:val="22"/>
        </w:numPr>
      </w:pPr>
      <w:r>
        <w:t xml:space="preserve">Budownictwo – </w:t>
      </w:r>
      <w:r>
        <w:t>91,6;</w:t>
      </w:r>
    </w:p>
    <w:p w14:paraId="3BE793C1" w14:textId="51C06E30" w:rsidR="00A63A7C" w:rsidRDefault="00A63A7C" w:rsidP="00A63A7C">
      <w:pPr>
        <w:pStyle w:val="Akapitzlist"/>
        <w:numPr>
          <w:ilvl w:val="2"/>
          <w:numId w:val="22"/>
        </w:numPr>
      </w:pPr>
      <w:r>
        <w:t xml:space="preserve">Usługi – </w:t>
      </w:r>
      <w:r>
        <w:t>90,2;</w:t>
      </w:r>
    </w:p>
    <w:p w14:paraId="3E1C2EFA" w14:textId="5E500000" w:rsidR="00A63A7C" w:rsidRDefault="00A63A7C" w:rsidP="00A63A7C">
      <w:pPr>
        <w:pStyle w:val="Akapitzlist"/>
        <w:numPr>
          <w:ilvl w:val="2"/>
          <w:numId w:val="22"/>
        </w:numPr>
      </w:pPr>
      <w:r>
        <w:t xml:space="preserve">Handel hurtowy – </w:t>
      </w:r>
      <w:r>
        <w:t>93,3;</w:t>
      </w:r>
    </w:p>
    <w:p w14:paraId="5A42FAD2" w14:textId="3E1CF4AA" w:rsidR="00A63A7C" w:rsidRDefault="00A63A7C" w:rsidP="00A63A7C">
      <w:pPr>
        <w:pStyle w:val="Akapitzlist"/>
        <w:numPr>
          <w:ilvl w:val="2"/>
          <w:numId w:val="22"/>
        </w:numPr>
      </w:pPr>
      <w:r>
        <w:t xml:space="preserve">Handel detaliczny – </w:t>
      </w:r>
      <w:r>
        <w:t>92,1;</w:t>
      </w:r>
    </w:p>
    <w:p w14:paraId="686ECE25" w14:textId="77777777" w:rsidR="00E8587D" w:rsidRDefault="00E8587D" w:rsidP="00E8587D">
      <w:pPr>
        <w:pStyle w:val="Akapitzlist"/>
        <w:numPr>
          <w:ilvl w:val="1"/>
          <w:numId w:val="22"/>
        </w:numPr>
      </w:pPr>
      <w:r>
        <w:t>Zwiększyć zatrudnienie:</w:t>
      </w:r>
    </w:p>
    <w:p w14:paraId="569D2780" w14:textId="3DAB2AA0" w:rsidR="00A63A7C" w:rsidRDefault="00A63A7C" w:rsidP="00A63A7C">
      <w:pPr>
        <w:pStyle w:val="Akapitzlist"/>
        <w:numPr>
          <w:ilvl w:val="2"/>
          <w:numId w:val="22"/>
        </w:numPr>
      </w:pPr>
      <w:r>
        <w:t xml:space="preserve">Przetwórstwo przemysłowe – </w:t>
      </w:r>
      <w:r>
        <w:t>7,7;</w:t>
      </w:r>
    </w:p>
    <w:p w14:paraId="660131D7" w14:textId="6A8F1AAF" w:rsidR="00A63A7C" w:rsidRDefault="00A63A7C" w:rsidP="00A63A7C">
      <w:pPr>
        <w:pStyle w:val="Akapitzlist"/>
        <w:numPr>
          <w:ilvl w:val="2"/>
          <w:numId w:val="22"/>
        </w:numPr>
      </w:pPr>
      <w:r>
        <w:t xml:space="preserve">Budownictwo – </w:t>
      </w:r>
      <w:r>
        <w:t>4,0;</w:t>
      </w:r>
    </w:p>
    <w:p w14:paraId="56E1E4DD" w14:textId="0EFF8E42" w:rsidR="00A63A7C" w:rsidRDefault="00A63A7C" w:rsidP="00A63A7C">
      <w:pPr>
        <w:pStyle w:val="Akapitzlist"/>
        <w:numPr>
          <w:ilvl w:val="2"/>
          <w:numId w:val="22"/>
        </w:numPr>
      </w:pPr>
      <w:r>
        <w:t xml:space="preserve">Usługi – </w:t>
      </w:r>
      <w:r>
        <w:t>0,6;</w:t>
      </w:r>
    </w:p>
    <w:p w14:paraId="3315D15F" w14:textId="7D0135EA" w:rsidR="00A63A7C" w:rsidRDefault="00A63A7C" w:rsidP="00A63A7C">
      <w:pPr>
        <w:pStyle w:val="Akapitzlist"/>
        <w:numPr>
          <w:ilvl w:val="2"/>
          <w:numId w:val="22"/>
        </w:numPr>
      </w:pPr>
      <w:r>
        <w:t xml:space="preserve">Handel hurtowy – </w:t>
      </w:r>
      <w:r>
        <w:t>5,8;</w:t>
      </w:r>
    </w:p>
    <w:p w14:paraId="670DF03E" w14:textId="327E5E33" w:rsidR="00A63A7C" w:rsidRDefault="00A63A7C" w:rsidP="00A63A7C">
      <w:pPr>
        <w:pStyle w:val="Akapitzlist"/>
        <w:numPr>
          <w:ilvl w:val="2"/>
          <w:numId w:val="22"/>
        </w:numPr>
      </w:pPr>
      <w:r>
        <w:t xml:space="preserve">Handel detaliczny – </w:t>
      </w:r>
      <w:r>
        <w:t>1,7.</w:t>
      </w:r>
    </w:p>
    <w:p w14:paraId="14C49FEB" w14:textId="77777777" w:rsidR="00E879AD" w:rsidRDefault="00E879AD" w:rsidP="00E879AD">
      <w:pPr>
        <w:pStyle w:val="Nagwek2"/>
      </w:pPr>
      <w:r>
        <w:t>Wynagrodzenia pracowników</w:t>
      </w:r>
    </w:p>
    <w:p w14:paraId="5637AB99" w14:textId="77777777" w:rsidR="00E879AD" w:rsidRDefault="00E879AD" w:rsidP="00E879AD">
      <w:r>
        <w:t xml:space="preserve">Czynniki, które w ciągu najbliższych trzech miesięcy wpłyną na poziom </w:t>
      </w:r>
      <w:r w:rsidR="00A008A5">
        <w:t>wynagrodzenia pracowników w firmach przedsiębiorców</w:t>
      </w:r>
    </w:p>
    <w:p w14:paraId="30BEF363" w14:textId="77777777" w:rsidR="00A008A5" w:rsidRDefault="00A008A5" w:rsidP="00A008A5">
      <w:pPr>
        <w:pStyle w:val="Akapitzlist"/>
        <w:numPr>
          <w:ilvl w:val="0"/>
          <w:numId w:val="23"/>
        </w:numPr>
      </w:pPr>
      <w:r>
        <w:t>Wpłyną w istotnym stopniu:</w:t>
      </w:r>
    </w:p>
    <w:p w14:paraId="288BD889" w14:textId="77777777" w:rsidR="00A008A5" w:rsidRDefault="00A008A5" w:rsidP="00A008A5">
      <w:pPr>
        <w:pStyle w:val="Akapitzlist"/>
        <w:numPr>
          <w:ilvl w:val="1"/>
          <w:numId w:val="23"/>
        </w:numPr>
      </w:pPr>
      <w:r>
        <w:t xml:space="preserve">Utrzymanie realnej </w:t>
      </w:r>
      <w:r w:rsidR="004F742E">
        <w:t>wartości wynagrodzeń (podwyżki inflacyjne):</w:t>
      </w:r>
    </w:p>
    <w:p w14:paraId="1CC66659" w14:textId="47651D89" w:rsidR="00A63A7C" w:rsidRDefault="00A63A7C" w:rsidP="00A63A7C">
      <w:pPr>
        <w:pStyle w:val="Akapitzlist"/>
        <w:numPr>
          <w:ilvl w:val="2"/>
          <w:numId w:val="23"/>
        </w:numPr>
      </w:pPr>
      <w:r>
        <w:t xml:space="preserve">Przetwórstwo przemysłowe – </w:t>
      </w:r>
      <w:r>
        <w:t>40,2;</w:t>
      </w:r>
    </w:p>
    <w:p w14:paraId="0251266C" w14:textId="0D2AFE18" w:rsidR="00A63A7C" w:rsidRDefault="00A63A7C" w:rsidP="00A63A7C">
      <w:pPr>
        <w:pStyle w:val="Akapitzlist"/>
        <w:numPr>
          <w:ilvl w:val="2"/>
          <w:numId w:val="23"/>
        </w:numPr>
      </w:pPr>
      <w:r>
        <w:t xml:space="preserve">Budownictwo – </w:t>
      </w:r>
      <w:r>
        <w:t>46,4;</w:t>
      </w:r>
    </w:p>
    <w:p w14:paraId="7E3BB8A6" w14:textId="456292B8" w:rsidR="00A63A7C" w:rsidRDefault="00A63A7C" w:rsidP="00A63A7C">
      <w:pPr>
        <w:pStyle w:val="Akapitzlist"/>
        <w:numPr>
          <w:ilvl w:val="2"/>
          <w:numId w:val="23"/>
        </w:numPr>
      </w:pPr>
      <w:r>
        <w:lastRenderedPageBreak/>
        <w:t xml:space="preserve">Usługi – </w:t>
      </w:r>
      <w:r>
        <w:t>35,8;</w:t>
      </w:r>
    </w:p>
    <w:p w14:paraId="5427BA15" w14:textId="71A378EE" w:rsidR="00A63A7C" w:rsidRDefault="00A63A7C" w:rsidP="00A63A7C">
      <w:pPr>
        <w:pStyle w:val="Akapitzlist"/>
        <w:numPr>
          <w:ilvl w:val="2"/>
          <w:numId w:val="23"/>
        </w:numPr>
      </w:pPr>
      <w:r>
        <w:t xml:space="preserve">Handel hurtowy – </w:t>
      </w:r>
      <w:r>
        <w:t>40,6;</w:t>
      </w:r>
    </w:p>
    <w:p w14:paraId="131A9943" w14:textId="2763255E" w:rsidR="00A63A7C" w:rsidRDefault="00A63A7C" w:rsidP="00A63A7C">
      <w:pPr>
        <w:pStyle w:val="Akapitzlist"/>
        <w:numPr>
          <w:ilvl w:val="2"/>
          <w:numId w:val="23"/>
        </w:numPr>
      </w:pPr>
      <w:r>
        <w:t xml:space="preserve">Handel detaliczny – </w:t>
      </w:r>
      <w:r>
        <w:t>47,1;</w:t>
      </w:r>
    </w:p>
    <w:p w14:paraId="7E4C43F5" w14:textId="77777777" w:rsidR="004F742E" w:rsidRDefault="004F742E" w:rsidP="00A008A5">
      <w:pPr>
        <w:pStyle w:val="Akapitzlist"/>
        <w:numPr>
          <w:ilvl w:val="1"/>
          <w:numId w:val="23"/>
        </w:numPr>
      </w:pPr>
      <w:r>
        <w:t>Sytuacja finansowa firmy:</w:t>
      </w:r>
    </w:p>
    <w:p w14:paraId="7E766CD0" w14:textId="1448C4ED" w:rsidR="00A63A7C" w:rsidRDefault="00A63A7C" w:rsidP="00A63A7C">
      <w:pPr>
        <w:pStyle w:val="Akapitzlist"/>
        <w:numPr>
          <w:ilvl w:val="2"/>
          <w:numId w:val="23"/>
        </w:numPr>
      </w:pPr>
      <w:r>
        <w:t xml:space="preserve">Przetwórstwo przemysłowe – </w:t>
      </w:r>
      <w:r>
        <w:t>64,3;</w:t>
      </w:r>
    </w:p>
    <w:p w14:paraId="203960B9" w14:textId="46B778C3" w:rsidR="00A63A7C" w:rsidRDefault="00A63A7C" w:rsidP="00A63A7C">
      <w:pPr>
        <w:pStyle w:val="Akapitzlist"/>
        <w:numPr>
          <w:ilvl w:val="2"/>
          <w:numId w:val="23"/>
        </w:numPr>
      </w:pPr>
      <w:r>
        <w:t xml:space="preserve">Budownictwo – </w:t>
      </w:r>
      <w:r>
        <w:t>65,8;</w:t>
      </w:r>
    </w:p>
    <w:p w14:paraId="5440681B" w14:textId="07A0A151" w:rsidR="00A63A7C" w:rsidRDefault="00A63A7C" w:rsidP="00A63A7C">
      <w:pPr>
        <w:pStyle w:val="Akapitzlist"/>
        <w:numPr>
          <w:ilvl w:val="2"/>
          <w:numId w:val="23"/>
        </w:numPr>
      </w:pPr>
      <w:r>
        <w:t xml:space="preserve">Usługi – </w:t>
      </w:r>
      <w:r>
        <w:t>58,6;</w:t>
      </w:r>
    </w:p>
    <w:p w14:paraId="45E6B7EA" w14:textId="3859570D" w:rsidR="00A63A7C" w:rsidRDefault="00A63A7C" w:rsidP="00A63A7C">
      <w:pPr>
        <w:pStyle w:val="Akapitzlist"/>
        <w:numPr>
          <w:ilvl w:val="2"/>
          <w:numId w:val="23"/>
        </w:numPr>
      </w:pPr>
      <w:r>
        <w:t xml:space="preserve">Handel hurtowy – </w:t>
      </w:r>
      <w:r>
        <w:t>55,6;</w:t>
      </w:r>
    </w:p>
    <w:p w14:paraId="3F2A5942" w14:textId="566D5128" w:rsidR="00A63A7C" w:rsidRDefault="00A63A7C" w:rsidP="00A63A7C">
      <w:pPr>
        <w:pStyle w:val="Akapitzlist"/>
        <w:numPr>
          <w:ilvl w:val="2"/>
          <w:numId w:val="23"/>
        </w:numPr>
      </w:pPr>
      <w:r>
        <w:t xml:space="preserve">Handel detaliczny – </w:t>
      </w:r>
      <w:r>
        <w:t>71,9;</w:t>
      </w:r>
    </w:p>
    <w:p w14:paraId="1564F348" w14:textId="77777777" w:rsidR="004F742E" w:rsidRDefault="004F742E" w:rsidP="00A008A5">
      <w:pPr>
        <w:pStyle w:val="Akapitzlist"/>
        <w:numPr>
          <w:ilvl w:val="1"/>
          <w:numId w:val="23"/>
        </w:numPr>
      </w:pPr>
      <w:r>
        <w:t>Utrzymanie konkurencyjnych płac:</w:t>
      </w:r>
    </w:p>
    <w:p w14:paraId="56AF1D3B" w14:textId="1D22704B" w:rsidR="00A63A7C" w:rsidRDefault="00A63A7C" w:rsidP="00A63A7C">
      <w:pPr>
        <w:pStyle w:val="Akapitzlist"/>
        <w:numPr>
          <w:ilvl w:val="2"/>
          <w:numId w:val="23"/>
        </w:numPr>
      </w:pPr>
      <w:r>
        <w:t xml:space="preserve">Przetwórstwo przemysłowe – </w:t>
      </w:r>
      <w:r>
        <w:t>25,1;</w:t>
      </w:r>
    </w:p>
    <w:p w14:paraId="17013BA0" w14:textId="4D578010" w:rsidR="00A63A7C" w:rsidRDefault="00A63A7C" w:rsidP="00A63A7C">
      <w:pPr>
        <w:pStyle w:val="Akapitzlist"/>
        <w:numPr>
          <w:ilvl w:val="2"/>
          <w:numId w:val="23"/>
        </w:numPr>
      </w:pPr>
      <w:r>
        <w:t xml:space="preserve">Budownictwo – </w:t>
      </w:r>
      <w:r>
        <w:t>17,3;</w:t>
      </w:r>
    </w:p>
    <w:p w14:paraId="25591EC7" w14:textId="3897794E" w:rsidR="00A63A7C" w:rsidRDefault="00A63A7C" w:rsidP="00A63A7C">
      <w:pPr>
        <w:pStyle w:val="Akapitzlist"/>
        <w:numPr>
          <w:ilvl w:val="2"/>
          <w:numId w:val="23"/>
        </w:numPr>
      </w:pPr>
      <w:r>
        <w:t xml:space="preserve">Usługi – </w:t>
      </w:r>
      <w:r>
        <w:t>32,9;</w:t>
      </w:r>
    </w:p>
    <w:p w14:paraId="66FE6DDD" w14:textId="07DC297F" w:rsidR="00A63A7C" w:rsidRDefault="00A63A7C" w:rsidP="00A63A7C">
      <w:pPr>
        <w:pStyle w:val="Akapitzlist"/>
        <w:numPr>
          <w:ilvl w:val="2"/>
          <w:numId w:val="23"/>
        </w:numPr>
      </w:pPr>
      <w:r>
        <w:t xml:space="preserve">Handel hurtowy – </w:t>
      </w:r>
      <w:r>
        <w:t>29,0;</w:t>
      </w:r>
    </w:p>
    <w:p w14:paraId="49C9B29E" w14:textId="3662E6AF" w:rsidR="00A63A7C" w:rsidRDefault="00A63A7C" w:rsidP="00A63A7C">
      <w:pPr>
        <w:pStyle w:val="Akapitzlist"/>
        <w:numPr>
          <w:ilvl w:val="2"/>
          <w:numId w:val="23"/>
        </w:numPr>
      </w:pPr>
      <w:r>
        <w:t xml:space="preserve">Handel detaliczny – </w:t>
      </w:r>
      <w:r>
        <w:t>12,7;</w:t>
      </w:r>
    </w:p>
    <w:p w14:paraId="47CFAB88" w14:textId="77777777" w:rsidR="004F742E" w:rsidRDefault="004F742E" w:rsidP="004F742E">
      <w:pPr>
        <w:pStyle w:val="Akapitzlist"/>
        <w:numPr>
          <w:ilvl w:val="1"/>
          <w:numId w:val="23"/>
        </w:numPr>
      </w:pPr>
      <w:r>
        <w:t>Inne:</w:t>
      </w:r>
    </w:p>
    <w:p w14:paraId="59D6307D" w14:textId="0245C61A" w:rsidR="00A63A7C" w:rsidRDefault="00A63A7C" w:rsidP="00A63A7C">
      <w:pPr>
        <w:pStyle w:val="Akapitzlist"/>
        <w:numPr>
          <w:ilvl w:val="2"/>
          <w:numId w:val="23"/>
        </w:numPr>
      </w:pPr>
      <w:r>
        <w:t xml:space="preserve">Przetwórstwo przemysłowe – </w:t>
      </w:r>
      <w:r>
        <w:t>6,4;</w:t>
      </w:r>
    </w:p>
    <w:p w14:paraId="090F0421" w14:textId="10AACCCD" w:rsidR="00A63A7C" w:rsidRDefault="00A63A7C" w:rsidP="00A63A7C">
      <w:pPr>
        <w:pStyle w:val="Akapitzlist"/>
        <w:numPr>
          <w:ilvl w:val="2"/>
          <w:numId w:val="23"/>
        </w:numPr>
      </w:pPr>
      <w:r>
        <w:t xml:space="preserve">Budownictwo – </w:t>
      </w:r>
      <w:r>
        <w:t>12,6;</w:t>
      </w:r>
    </w:p>
    <w:p w14:paraId="201E1BDD" w14:textId="351BB685" w:rsidR="00A63A7C" w:rsidRDefault="00A63A7C" w:rsidP="00A63A7C">
      <w:pPr>
        <w:pStyle w:val="Akapitzlist"/>
        <w:numPr>
          <w:ilvl w:val="2"/>
          <w:numId w:val="23"/>
        </w:numPr>
      </w:pPr>
      <w:r>
        <w:t xml:space="preserve">Usługi – </w:t>
      </w:r>
      <w:r>
        <w:t>7,4;</w:t>
      </w:r>
    </w:p>
    <w:p w14:paraId="3E1FB7C4" w14:textId="30820D75" w:rsidR="00A63A7C" w:rsidRDefault="00A63A7C" w:rsidP="00A63A7C">
      <w:pPr>
        <w:pStyle w:val="Akapitzlist"/>
        <w:numPr>
          <w:ilvl w:val="2"/>
          <w:numId w:val="23"/>
        </w:numPr>
      </w:pPr>
      <w:r>
        <w:t xml:space="preserve">Handel hurtowy – </w:t>
      </w:r>
      <w:r>
        <w:t>12,3;</w:t>
      </w:r>
    </w:p>
    <w:p w14:paraId="61D9A2CF" w14:textId="5C0EBB09" w:rsidR="00A63A7C" w:rsidRDefault="00A63A7C" w:rsidP="00A63A7C">
      <w:pPr>
        <w:pStyle w:val="Akapitzlist"/>
        <w:numPr>
          <w:ilvl w:val="2"/>
          <w:numId w:val="23"/>
        </w:numPr>
      </w:pPr>
      <w:r>
        <w:t xml:space="preserve">Handel detaliczny – </w:t>
      </w:r>
      <w:r>
        <w:t>14,8;</w:t>
      </w:r>
    </w:p>
    <w:p w14:paraId="4BBC688E" w14:textId="77777777" w:rsidR="004F742E" w:rsidRDefault="004F742E" w:rsidP="004F742E">
      <w:pPr>
        <w:pStyle w:val="Akapitzlist"/>
        <w:numPr>
          <w:ilvl w:val="0"/>
          <w:numId w:val="23"/>
        </w:numPr>
      </w:pPr>
      <w:r>
        <w:t>Wpłyną w małym stopniu lub brak wpływu:</w:t>
      </w:r>
    </w:p>
    <w:p w14:paraId="1603F5DE" w14:textId="77777777" w:rsidR="004F742E" w:rsidRDefault="004F742E" w:rsidP="004F742E">
      <w:pPr>
        <w:pStyle w:val="Akapitzlist"/>
        <w:numPr>
          <w:ilvl w:val="1"/>
          <w:numId w:val="23"/>
        </w:numPr>
      </w:pPr>
      <w:r>
        <w:t>Utrzymanie realnej wartości wynagrodzeń (podwyżki inflacyjne):</w:t>
      </w:r>
    </w:p>
    <w:p w14:paraId="7547B969" w14:textId="18C1C0D0" w:rsidR="00A63A7C" w:rsidRDefault="00A63A7C" w:rsidP="00A63A7C">
      <w:pPr>
        <w:pStyle w:val="Akapitzlist"/>
        <w:numPr>
          <w:ilvl w:val="2"/>
          <w:numId w:val="23"/>
        </w:numPr>
      </w:pPr>
      <w:r>
        <w:t xml:space="preserve">Przetwórstwo przemysłowe – </w:t>
      </w:r>
      <w:r>
        <w:t>50,2;</w:t>
      </w:r>
    </w:p>
    <w:p w14:paraId="5BA0E5A8" w14:textId="6A1DD65D" w:rsidR="00A63A7C" w:rsidRDefault="00A63A7C" w:rsidP="00A63A7C">
      <w:pPr>
        <w:pStyle w:val="Akapitzlist"/>
        <w:numPr>
          <w:ilvl w:val="2"/>
          <w:numId w:val="23"/>
        </w:numPr>
      </w:pPr>
      <w:r>
        <w:t xml:space="preserve">Budownictwo – </w:t>
      </w:r>
      <w:r>
        <w:t>40,6;</w:t>
      </w:r>
    </w:p>
    <w:p w14:paraId="46974941" w14:textId="44942055" w:rsidR="00A63A7C" w:rsidRDefault="00A63A7C" w:rsidP="00A63A7C">
      <w:pPr>
        <w:pStyle w:val="Akapitzlist"/>
        <w:numPr>
          <w:ilvl w:val="2"/>
          <w:numId w:val="23"/>
        </w:numPr>
      </w:pPr>
      <w:r>
        <w:t xml:space="preserve">Usługi – </w:t>
      </w:r>
      <w:r>
        <w:t>43,6;</w:t>
      </w:r>
    </w:p>
    <w:p w14:paraId="34E219AE" w14:textId="59C18657" w:rsidR="00A63A7C" w:rsidRDefault="00A63A7C" w:rsidP="00A63A7C">
      <w:pPr>
        <w:pStyle w:val="Akapitzlist"/>
        <w:numPr>
          <w:ilvl w:val="2"/>
          <w:numId w:val="23"/>
        </w:numPr>
      </w:pPr>
      <w:r>
        <w:t xml:space="preserve">Handel hurtowy – </w:t>
      </w:r>
      <w:r>
        <w:t>34,5;</w:t>
      </w:r>
    </w:p>
    <w:p w14:paraId="61000499" w14:textId="669E8975" w:rsidR="00A63A7C" w:rsidRDefault="00A63A7C" w:rsidP="00A63A7C">
      <w:pPr>
        <w:pStyle w:val="Akapitzlist"/>
        <w:numPr>
          <w:ilvl w:val="2"/>
          <w:numId w:val="23"/>
        </w:numPr>
      </w:pPr>
      <w:r>
        <w:t xml:space="preserve">Handel detaliczny – </w:t>
      </w:r>
      <w:r>
        <w:t>27,7;</w:t>
      </w:r>
    </w:p>
    <w:p w14:paraId="70F5DD66" w14:textId="77777777" w:rsidR="004F742E" w:rsidRDefault="004F742E" w:rsidP="004F742E">
      <w:pPr>
        <w:pStyle w:val="Akapitzlist"/>
        <w:numPr>
          <w:ilvl w:val="1"/>
          <w:numId w:val="23"/>
        </w:numPr>
      </w:pPr>
      <w:r>
        <w:t>Sytuacja finansowa firmy:</w:t>
      </w:r>
    </w:p>
    <w:p w14:paraId="58BD39FF" w14:textId="16C97CE7" w:rsidR="00A63A7C" w:rsidRDefault="00A63A7C" w:rsidP="00A63A7C">
      <w:pPr>
        <w:pStyle w:val="Akapitzlist"/>
        <w:numPr>
          <w:ilvl w:val="2"/>
          <w:numId w:val="23"/>
        </w:numPr>
      </w:pPr>
      <w:r>
        <w:t xml:space="preserve">Przetwórstwo przemysłowe – </w:t>
      </w:r>
      <w:r>
        <w:t>19,8;</w:t>
      </w:r>
    </w:p>
    <w:p w14:paraId="6E66D25C" w14:textId="57E74598" w:rsidR="00A63A7C" w:rsidRDefault="00A63A7C" w:rsidP="00A63A7C">
      <w:pPr>
        <w:pStyle w:val="Akapitzlist"/>
        <w:numPr>
          <w:ilvl w:val="2"/>
          <w:numId w:val="23"/>
        </w:numPr>
      </w:pPr>
      <w:r>
        <w:t xml:space="preserve">Budownictwo – </w:t>
      </w:r>
      <w:r>
        <w:t>25,0;</w:t>
      </w:r>
    </w:p>
    <w:p w14:paraId="79A114BF" w14:textId="259C899A" w:rsidR="00A63A7C" w:rsidRDefault="00A63A7C" w:rsidP="00A63A7C">
      <w:pPr>
        <w:pStyle w:val="Akapitzlist"/>
        <w:numPr>
          <w:ilvl w:val="2"/>
          <w:numId w:val="23"/>
        </w:numPr>
      </w:pPr>
      <w:r>
        <w:t xml:space="preserve">Usługi – </w:t>
      </w:r>
      <w:r>
        <w:t>28,4;</w:t>
      </w:r>
    </w:p>
    <w:p w14:paraId="33A5D102" w14:textId="560B5F73" w:rsidR="00A63A7C" w:rsidRDefault="00A63A7C" w:rsidP="00A63A7C">
      <w:pPr>
        <w:pStyle w:val="Akapitzlist"/>
        <w:numPr>
          <w:ilvl w:val="2"/>
          <w:numId w:val="23"/>
        </w:numPr>
      </w:pPr>
      <w:r>
        <w:t xml:space="preserve">Handel hurtowy – </w:t>
      </w:r>
      <w:r>
        <w:t>40,5;</w:t>
      </w:r>
    </w:p>
    <w:p w14:paraId="7B5009AC" w14:textId="53976487" w:rsidR="00A63A7C" w:rsidRDefault="00A63A7C" w:rsidP="00A63A7C">
      <w:pPr>
        <w:pStyle w:val="Akapitzlist"/>
        <w:numPr>
          <w:ilvl w:val="2"/>
          <w:numId w:val="23"/>
        </w:numPr>
      </w:pPr>
      <w:r>
        <w:t xml:space="preserve">Handel detaliczny – </w:t>
      </w:r>
      <w:r>
        <w:t>46,9;</w:t>
      </w:r>
    </w:p>
    <w:p w14:paraId="12ED206F" w14:textId="77777777" w:rsidR="004F742E" w:rsidRDefault="004F742E" w:rsidP="004F742E">
      <w:pPr>
        <w:pStyle w:val="Akapitzlist"/>
        <w:numPr>
          <w:ilvl w:val="1"/>
          <w:numId w:val="23"/>
        </w:numPr>
      </w:pPr>
      <w:r>
        <w:t>Utrzymanie konkurencyjnych płac:</w:t>
      </w:r>
    </w:p>
    <w:p w14:paraId="4890046B" w14:textId="02395F63" w:rsidR="00A63A7C" w:rsidRDefault="00A63A7C" w:rsidP="00A63A7C">
      <w:pPr>
        <w:pStyle w:val="Akapitzlist"/>
        <w:numPr>
          <w:ilvl w:val="2"/>
          <w:numId w:val="23"/>
        </w:numPr>
      </w:pPr>
      <w:r>
        <w:t xml:space="preserve">Przetwórstwo przemysłowe – </w:t>
      </w:r>
      <w:r>
        <w:t>47,0;</w:t>
      </w:r>
    </w:p>
    <w:p w14:paraId="58065D4D" w14:textId="56CB8C2B" w:rsidR="00A63A7C" w:rsidRDefault="00A63A7C" w:rsidP="00A63A7C">
      <w:pPr>
        <w:pStyle w:val="Akapitzlist"/>
        <w:numPr>
          <w:ilvl w:val="2"/>
          <w:numId w:val="23"/>
        </w:numPr>
      </w:pPr>
      <w:r>
        <w:t xml:space="preserve">Budownictwo – </w:t>
      </w:r>
      <w:r>
        <w:t>45,0;</w:t>
      </w:r>
    </w:p>
    <w:p w14:paraId="07364A6A" w14:textId="2B92B791" w:rsidR="00A63A7C" w:rsidRDefault="00A63A7C" w:rsidP="00A63A7C">
      <w:pPr>
        <w:pStyle w:val="Akapitzlist"/>
        <w:numPr>
          <w:ilvl w:val="2"/>
          <w:numId w:val="23"/>
        </w:numPr>
      </w:pPr>
      <w:r>
        <w:t xml:space="preserve">Usługi – </w:t>
      </w:r>
      <w:r>
        <w:t>24,4;</w:t>
      </w:r>
    </w:p>
    <w:p w14:paraId="48D16627" w14:textId="1E0E20F1" w:rsidR="00A63A7C" w:rsidRDefault="00A63A7C" w:rsidP="00A63A7C">
      <w:pPr>
        <w:pStyle w:val="Akapitzlist"/>
        <w:numPr>
          <w:ilvl w:val="2"/>
          <w:numId w:val="23"/>
        </w:numPr>
      </w:pPr>
      <w:r>
        <w:t xml:space="preserve">Handel hurtowy – </w:t>
      </w:r>
      <w:r>
        <w:t>30,0;</w:t>
      </w:r>
    </w:p>
    <w:p w14:paraId="2448AF00" w14:textId="479E1D21" w:rsidR="00A63A7C" w:rsidRDefault="00A63A7C" w:rsidP="00A63A7C">
      <w:pPr>
        <w:pStyle w:val="Akapitzlist"/>
        <w:numPr>
          <w:ilvl w:val="2"/>
          <w:numId w:val="23"/>
        </w:numPr>
      </w:pPr>
      <w:r>
        <w:t xml:space="preserve">Handel detaliczny – </w:t>
      </w:r>
      <w:r>
        <w:t>17,2;</w:t>
      </w:r>
    </w:p>
    <w:p w14:paraId="2D05EED4" w14:textId="77777777" w:rsidR="004F742E" w:rsidRDefault="004F742E" w:rsidP="004F742E">
      <w:pPr>
        <w:pStyle w:val="Akapitzlist"/>
        <w:numPr>
          <w:ilvl w:val="1"/>
          <w:numId w:val="23"/>
        </w:numPr>
      </w:pPr>
      <w:r>
        <w:t>Inne:</w:t>
      </w:r>
    </w:p>
    <w:p w14:paraId="136E5BC2" w14:textId="71DFEBFA" w:rsidR="00A63A7C" w:rsidRDefault="00A63A7C" w:rsidP="00A63A7C">
      <w:pPr>
        <w:pStyle w:val="Akapitzlist"/>
        <w:numPr>
          <w:ilvl w:val="2"/>
          <w:numId w:val="23"/>
        </w:numPr>
      </w:pPr>
      <w:r>
        <w:lastRenderedPageBreak/>
        <w:t xml:space="preserve">Przetwórstwo przemysłowe – </w:t>
      </w:r>
      <w:r>
        <w:t>43,9;</w:t>
      </w:r>
    </w:p>
    <w:p w14:paraId="0BC2E344" w14:textId="2A748E37" w:rsidR="00A63A7C" w:rsidRDefault="00A63A7C" w:rsidP="00A63A7C">
      <w:pPr>
        <w:pStyle w:val="Akapitzlist"/>
        <w:numPr>
          <w:ilvl w:val="2"/>
          <w:numId w:val="23"/>
        </w:numPr>
      </w:pPr>
      <w:r>
        <w:t xml:space="preserve">Budownictwo – </w:t>
      </w:r>
      <w:r>
        <w:t>32,6;</w:t>
      </w:r>
    </w:p>
    <w:p w14:paraId="4E956D9C" w14:textId="58E45753" w:rsidR="00A63A7C" w:rsidRDefault="00A63A7C" w:rsidP="00A63A7C">
      <w:pPr>
        <w:pStyle w:val="Akapitzlist"/>
        <w:numPr>
          <w:ilvl w:val="2"/>
          <w:numId w:val="23"/>
        </w:numPr>
      </w:pPr>
      <w:r>
        <w:t xml:space="preserve">Usługi – </w:t>
      </w:r>
      <w:r>
        <w:t>36,9;</w:t>
      </w:r>
    </w:p>
    <w:p w14:paraId="559AE591" w14:textId="2B4C5CDE" w:rsidR="00A63A7C" w:rsidRDefault="00A63A7C" w:rsidP="00A63A7C">
      <w:pPr>
        <w:pStyle w:val="Akapitzlist"/>
        <w:numPr>
          <w:ilvl w:val="2"/>
          <w:numId w:val="23"/>
        </w:numPr>
      </w:pPr>
      <w:r>
        <w:t xml:space="preserve">Handel hurtowy – </w:t>
      </w:r>
      <w:r w:rsidR="000A3304">
        <w:t>50,2;</w:t>
      </w:r>
    </w:p>
    <w:p w14:paraId="3265DB18" w14:textId="76BF52C4" w:rsidR="00A63A7C" w:rsidRDefault="00A63A7C" w:rsidP="00A63A7C">
      <w:pPr>
        <w:pStyle w:val="Akapitzlist"/>
        <w:numPr>
          <w:ilvl w:val="2"/>
          <w:numId w:val="23"/>
        </w:numPr>
      </w:pPr>
      <w:r>
        <w:t xml:space="preserve">Handel detaliczny – </w:t>
      </w:r>
      <w:r w:rsidR="000A3304">
        <w:t>40,3.</w:t>
      </w:r>
    </w:p>
    <w:p w14:paraId="705BCF25" w14:textId="77777777" w:rsidR="0020615D" w:rsidRDefault="0020615D" w:rsidP="0020615D">
      <w:pPr>
        <w:pStyle w:val="Nagwek2"/>
      </w:pPr>
      <w:r>
        <w:t>Decyzje w zakresie wynagrodzeń i zatrudnienia</w:t>
      </w:r>
    </w:p>
    <w:p w14:paraId="0D26BA60" w14:textId="77777777" w:rsidR="0025202A" w:rsidRDefault="0025202A" w:rsidP="0025202A">
      <w:r>
        <w:t>Przedsiębiorcy opierający swoje decyzje w zakresie zatrudnienia i wynagrodzeń w ciągu najbliższych trzech miesięcy w %:</w:t>
      </w:r>
    </w:p>
    <w:p w14:paraId="21C8B923" w14:textId="77777777" w:rsidR="0025202A" w:rsidRDefault="0025202A" w:rsidP="0025202A">
      <w:pPr>
        <w:pStyle w:val="Akapitzlist"/>
        <w:numPr>
          <w:ilvl w:val="0"/>
          <w:numId w:val="25"/>
        </w:numPr>
      </w:pPr>
      <w:r>
        <w:t>W stopniu istotnym:</w:t>
      </w:r>
    </w:p>
    <w:p w14:paraId="2C733966" w14:textId="77777777" w:rsidR="0025202A" w:rsidRDefault="0025202A" w:rsidP="0025202A">
      <w:pPr>
        <w:pStyle w:val="Akapitzlist"/>
        <w:numPr>
          <w:ilvl w:val="2"/>
          <w:numId w:val="25"/>
        </w:numPr>
      </w:pPr>
      <w:r>
        <w:t>Przetwórstwo przemysłowe:</w:t>
      </w:r>
    </w:p>
    <w:p w14:paraId="5B6DD50C" w14:textId="77643B31" w:rsidR="0025202A" w:rsidRDefault="0025202A" w:rsidP="0025202A">
      <w:pPr>
        <w:pStyle w:val="Akapitzlist"/>
        <w:numPr>
          <w:ilvl w:val="3"/>
          <w:numId w:val="25"/>
        </w:numPr>
      </w:pPr>
      <w:r>
        <w:t>Na podstawie bieżących danych –</w:t>
      </w:r>
      <w:r w:rsidR="00F75AB1">
        <w:t xml:space="preserve"> </w:t>
      </w:r>
      <w:r w:rsidR="000A3304">
        <w:t>64,6;</w:t>
      </w:r>
    </w:p>
    <w:p w14:paraId="1F9302C8" w14:textId="4C73FB86" w:rsidR="0025202A" w:rsidRDefault="0025202A" w:rsidP="0025202A">
      <w:pPr>
        <w:pStyle w:val="Akapitzlist"/>
        <w:numPr>
          <w:ilvl w:val="3"/>
          <w:numId w:val="25"/>
        </w:numPr>
      </w:pPr>
      <w:r>
        <w:t xml:space="preserve">Na podstawie oczekiwań dotyczących zmian jakie mogą nastąpić w długim okresie (rok) – </w:t>
      </w:r>
      <w:r w:rsidR="000A3304">
        <w:t>49,6;</w:t>
      </w:r>
    </w:p>
    <w:p w14:paraId="65DE68D4" w14:textId="77777777" w:rsidR="0025202A" w:rsidRDefault="0025202A" w:rsidP="0025202A">
      <w:pPr>
        <w:pStyle w:val="Akapitzlist"/>
        <w:numPr>
          <w:ilvl w:val="2"/>
          <w:numId w:val="25"/>
        </w:numPr>
      </w:pPr>
      <w:r>
        <w:t>Budownictwo:</w:t>
      </w:r>
    </w:p>
    <w:p w14:paraId="2068735F" w14:textId="75BA83F4" w:rsidR="00F75AB1" w:rsidRDefault="00F75AB1" w:rsidP="00F75AB1">
      <w:pPr>
        <w:pStyle w:val="Akapitzlist"/>
        <w:numPr>
          <w:ilvl w:val="3"/>
          <w:numId w:val="25"/>
        </w:numPr>
      </w:pPr>
      <w:r>
        <w:t xml:space="preserve">Na podstawie bieżących danych – </w:t>
      </w:r>
      <w:r w:rsidR="000A3304">
        <w:t>56,5;</w:t>
      </w:r>
    </w:p>
    <w:p w14:paraId="621EBBA2" w14:textId="07AA0C44" w:rsidR="00F75AB1" w:rsidRDefault="00F75AB1" w:rsidP="00F75AB1">
      <w:pPr>
        <w:pStyle w:val="Akapitzlist"/>
        <w:numPr>
          <w:ilvl w:val="3"/>
          <w:numId w:val="25"/>
        </w:numPr>
      </w:pPr>
      <w:r>
        <w:t xml:space="preserve">Na podstawie oczekiwań dotyczących zmian jakie mogą nastąpić w długim okresie (rok) – </w:t>
      </w:r>
      <w:r w:rsidR="000A3304">
        <w:t>39,4;</w:t>
      </w:r>
    </w:p>
    <w:p w14:paraId="50111190" w14:textId="77777777" w:rsidR="0025202A" w:rsidRDefault="0025202A" w:rsidP="0025202A">
      <w:pPr>
        <w:pStyle w:val="Akapitzlist"/>
        <w:numPr>
          <w:ilvl w:val="2"/>
          <w:numId w:val="25"/>
        </w:numPr>
      </w:pPr>
      <w:r>
        <w:t>Usługi:</w:t>
      </w:r>
    </w:p>
    <w:p w14:paraId="39DBA7BD" w14:textId="76F89087" w:rsidR="00F75AB1" w:rsidRDefault="00F75AB1" w:rsidP="00F75AB1">
      <w:pPr>
        <w:pStyle w:val="Akapitzlist"/>
        <w:numPr>
          <w:ilvl w:val="3"/>
          <w:numId w:val="25"/>
        </w:numPr>
      </w:pPr>
      <w:r>
        <w:t xml:space="preserve">Na podstawie bieżących danych – </w:t>
      </w:r>
      <w:r w:rsidR="000A3304">
        <w:t>67,7;</w:t>
      </w:r>
    </w:p>
    <w:p w14:paraId="3ABEE31D" w14:textId="6B716E56" w:rsidR="00F75AB1" w:rsidRDefault="00F75AB1" w:rsidP="00F75AB1">
      <w:pPr>
        <w:pStyle w:val="Akapitzlist"/>
        <w:numPr>
          <w:ilvl w:val="3"/>
          <w:numId w:val="25"/>
        </w:numPr>
      </w:pPr>
      <w:r>
        <w:t xml:space="preserve">Na podstawie oczekiwań dotyczących zmian jakie mogą nastąpić w długim okresie (rok) – </w:t>
      </w:r>
      <w:r w:rsidR="000A3304">
        <w:t>34,2;</w:t>
      </w:r>
    </w:p>
    <w:p w14:paraId="481BA720" w14:textId="77777777" w:rsidR="0025202A" w:rsidRDefault="0025202A" w:rsidP="0025202A">
      <w:pPr>
        <w:pStyle w:val="Akapitzlist"/>
        <w:numPr>
          <w:ilvl w:val="2"/>
          <w:numId w:val="25"/>
        </w:numPr>
      </w:pPr>
      <w:r>
        <w:t>Handel hurtowy:</w:t>
      </w:r>
    </w:p>
    <w:p w14:paraId="67E75D6D" w14:textId="46B6048D" w:rsidR="00F75AB1" w:rsidRDefault="00F75AB1" w:rsidP="00F75AB1">
      <w:pPr>
        <w:pStyle w:val="Akapitzlist"/>
        <w:numPr>
          <w:ilvl w:val="3"/>
          <w:numId w:val="25"/>
        </w:numPr>
      </w:pPr>
      <w:r>
        <w:t xml:space="preserve">Na podstawie bieżących danych – </w:t>
      </w:r>
      <w:r w:rsidR="000A3304">
        <w:t>58,1;</w:t>
      </w:r>
    </w:p>
    <w:p w14:paraId="31F80088" w14:textId="3060AC14" w:rsidR="00F75AB1" w:rsidRDefault="00F75AB1" w:rsidP="00F75AB1">
      <w:pPr>
        <w:pStyle w:val="Akapitzlist"/>
        <w:numPr>
          <w:ilvl w:val="3"/>
          <w:numId w:val="25"/>
        </w:numPr>
      </w:pPr>
      <w:r>
        <w:t xml:space="preserve">Na podstawie oczekiwań dotyczących zmian jakie mogą nastąpić w długim okresie (rok) – </w:t>
      </w:r>
      <w:r w:rsidR="000A3304">
        <w:t>28,5;</w:t>
      </w:r>
    </w:p>
    <w:p w14:paraId="12392465" w14:textId="77777777" w:rsidR="0025202A" w:rsidRDefault="0025202A" w:rsidP="0025202A">
      <w:pPr>
        <w:pStyle w:val="Akapitzlist"/>
        <w:numPr>
          <w:ilvl w:val="2"/>
          <w:numId w:val="25"/>
        </w:numPr>
      </w:pPr>
      <w:r>
        <w:t>Handel detaliczny:</w:t>
      </w:r>
    </w:p>
    <w:p w14:paraId="3535F901" w14:textId="1680AA8A" w:rsidR="00F75AB1" w:rsidRDefault="00F75AB1" w:rsidP="00F75AB1">
      <w:pPr>
        <w:pStyle w:val="Akapitzlist"/>
        <w:numPr>
          <w:ilvl w:val="3"/>
          <w:numId w:val="25"/>
        </w:numPr>
      </w:pPr>
      <w:r>
        <w:t xml:space="preserve">Na podstawie bieżących danych – </w:t>
      </w:r>
      <w:r w:rsidR="000A3304">
        <w:t>60,7;</w:t>
      </w:r>
    </w:p>
    <w:p w14:paraId="729E6BAF" w14:textId="6DDD72B7" w:rsidR="00F75AB1" w:rsidRDefault="00F75AB1" w:rsidP="00F75AB1">
      <w:pPr>
        <w:pStyle w:val="Akapitzlist"/>
        <w:numPr>
          <w:ilvl w:val="3"/>
          <w:numId w:val="25"/>
        </w:numPr>
      </w:pPr>
      <w:r>
        <w:t xml:space="preserve">Na podstawie oczekiwań dotyczących zmian jakie mogą nastąpić w długim okresie (rok) – </w:t>
      </w:r>
      <w:r w:rsidR="000A3304">
        <w:t>33,2;</w:t>
      </w:r>
    </w:p>
    <w:p w14:paraId="42960DFD" w14:textId="77777777" w:rsidR="0025202A" w:rsidRDefault="0025202A" w:rsidP="0025202A">
      <w:pPr>
        <w:pStyle w:val="Akapitzlist"/>
        <w:numPr>
          <w:ilvl w:val="0"/>
          <w:numId w:val="25"/>
        </w:numPr>
      </w:pPr>
      <w:r>
        <w:t>W stopniu istotnym:</w:t>
      </w:r>
    </w:p>
    <w:p w14:paraId="11A36EAA" w14:textId="77777777" w:rsidR="0025202A" w:rsidRDefault="0025202A" w:rsidP="0025202A">
      <w:pPr>
        <w:pStyle w:val="Akapitzlist"/>
        <w:numPr>
          <w:ilvl w:val="2"/>
          <w:numId w:val="25"/>
        </w:numPr>
      </w:pPr>
      <w:r>
        <w:t>Przetwórstwo przemysłowe:</w:t>
      </w:r>
    </w:p>
    <w:p w14:paraId="45D93BBC" w14:textId="59664579" w:rsidR="00F75AB1" w:rsidRDefault="00F75AB1" w:rsidP="00F75AB1">
      <w:pPr>
        <w:pStyle w:val="Akapitzlist"/>
        <w:numPr>
          <w:ilvl w:val="3"/>
          <w:numId w:val="25"/>
        </w:numPr>
      </w:pPr>
      <w:r>
        <w:t xml:space="preserve">Na podstawie bieżących danych – </w:t>
      </w:r>
      <w:r w:rsidR="000A3304">
        <w:t>35,4;</w:t>
      </w:r>
    </w:p>
    <w:p w14:paraId="39D57C2E" w14:textId="0682CBAC" w:rsidR="00F75AB1" w:rsidRDefault="00F75AB1" w:rsidP="00F75AB1">
      <w:pPr>
        <w:pStyle w:val="Akapitzlist"/>
        <w:numPr>
          <w:ilvl w:val="3"/>
          <w:numId w:val="25"/>
        </w:numPr>
      </w:pPr>
      <w:r>
        <w:t xml:space="preserve">Na podstawie oczekiwań dotyczących zmian jakie mogą nastąpić w długim okresie (rok) – </w:t>
      </w:r>
      <w:r w:rsidR="000A3304">
        <w:t>47,3;</w:t>
      </w:r>
    </w:p>
    <w:p w14:paraId="4E09C53B" w14:textId="77777777" w:rsidR="0025202A" w:rsidRDefault="0025202A" w:rsidP="0025202A">
      <w:pPr>
        <w:pStyle w:val="Akapitzlist"/>
        <w:numPr>
          <w:ilvl w:val="2"/>
          <w:numId w:val="25"/>
        </w:numPr>
      </w:pPr>
      <w:r>
        <w:t>Budownictwo:</w:t>
      </w:r>
    </w:p>
    <w:p w14:paraId="67E03E13" w14:textId="0DE601AC" w:rsidR="00F75AB1" w:rsidRDefault="00F75AB1" w:rsidP="00F75AB1">
      <w:pPr>
        <w:pStyle w:val="Akapitzlist"/>
        <w:numPr>
          <w:ilvl w:val="3"/>
          <w:numId w:val="25"/>
        </w:numPr>
      </w:pPr>
      <w:r>
        <w:t xml:space="preserve">Na podstawie bieżących danych – </w:t>
      </w:r>
      <w:r w:rsidR="000A3304">
        <w:t>43,5;</w:t>
      </w:r>
    </w:p>
    <w:p w14:paraId="20BA5059" w14:textId="72A9EF6D" w:rsidR="00F75AB1" w:rsidRDefault="00F75AB1" w:rsidP="00F75AB1">
      <w:pPr>
        <w:pStyle w:val="Akapitzlist"/>
        <w:numPr>
          <w:ilvl w:val="3"/>
          <w:numId w:val="25"/>
        </w:numPr>
      </w:pPr>
      <w:r>
        <w:lastRenderedPageBreak/>
        <w:t xml:space="preserve">Na podstawie oczekiwań dotyczących zmian jakie mogą nastąpić w długim okresie (rok) – </w:t>
      </w:r>
      <w:r w:rsidR="000A3304">
        <w:t>54,9;</w:t>
      </w:r>
    </w:p>
    <w:p w14:paraId="26A919F6" w14:textId="77777777" w:rsidR="0025202A" w:rsidRDefault="0025202A" w:rsidP="0025202A">
      <w:pPr>
        <w:pStyle w:val="Akapitzlist"/>
        <w:numPr>
          <w:ilvl w:val="2"/>
          <w:numId w:val="25"/>
        </w:numPr>
      </w:pPr>
      <w:r>
        <w:t>Usługi:</w:t>
      </w:r>
    </w:p>
    <w:p w14:paraId="4055AB9D" w14:textId="7853AF1E" w:rsidR="00F75AB1" w:rsidRDefault="00F75AB1" w:rsidP="00F75AB1">
      <w:pPr>
        <w:pStyle w:val="Akapitzlist"/>
        <w:numPr>
          <w:ilvl w:val="3"/>
          <w:numId w:val="25"/>
        </w:numPr>
      </w:pPr>
      <w:r>
        <w:t xml:space="preserve">Na podstawie bieżących danych – </w:t>
      </w:r>
      <w:r w:rsidR="000A3304">
        <w:t>32,3;</w:t>
      </w:r>
    </w:p>
    <w:p w14:paraId="31A5772F" w14:textId="0FABC418" w:rsidR="00F75AB1" w:rsidRDefault="00F75AB1" w:rsidP="00F75AB1">
      <w:pPr>
        <w:pStyle w:val="Akapitzlist"/>
        <w:numPr>
          <w:ilvl w:val="3"/>
          <w:numId w:val="25"/>
        </w:numPr>
      </w:pPr>
      <w:r>
        <w:t xml:space="preserve">Na podstawie oczekiwań dotyczących zmian jakie mogą nastąpić w długim okresie (rok) – </w:t>
      </w:r>
      <w:r w:rsidR="000A3304">
        <w:t>65,2;</w:t>
      </w:r>
    </w:p>
    <w:p w14:paraId="33DA150D" w14:textId="77777777" w:rsidR="0025202A" w:rsidRDefault="0025202A" w:rsidP="0025202A">
      <w:pPr>
        <w:pStyle w:val="Akapitzlist"/>
        <w:numPr>
          <w:ilvl w:val="2"/>
          <w:numId w:val="25"/>
        </w:numPr>
      </w:pPr>
      <w:r>
        <w:t>Handel hurtowy:</w:t>
      </w:r>
    </w:p>
    <w:p w14:paraId="5066586E" w14:textId="22B3E37E" w:rsidR="00F75AB1" w:rsidRDefault="00F75AB1" w:rsidP="00F75AB1">
      <w:pPr>
        <w:pStyle w:val="Akapitzlist"/>
        <w:numPr>
          <w:ilvl w:val="3"/>
          <w:numId w:val="25"/>
        </w:numPr>
      </w:pPr>
      <w:r>
        <w:t xml:space="preserve">Na podstawie bieżących danych – </w:t>
      </w:r>
      <w:r w:rsidR="000A3304">
        <w:t>41,9;</w:t>
      </w:r>
    </w:p>
    <w:p w14:paraId="015B6375" w14:textId="707C91EF" w:rsidR="00F75AB1" w:rsidRDefault="00F75AB1" w:rsidP="00F75AB1">
      <w:pPr>
        <w:pStyle w:val="Akapitzlist"/>
        <w:numPr>
          <w:ilvl w:val="3"/>
          <w:numId w:val="25"/>
        </w:numPr>
      </w:pPr>
      <w:r>
        <w:t xml:space="preserve">Na podstawie oczekiwań dotyczących zmian jakie mogą nastąpić w długim okresie (rok) – </w:t>
      </w:r>
      <w:r w:rsidR="000A3304">
        <w:t>68,0;</w:t>
      </w:r>
    </w:p>
    <w:p w14:paraId="2A033DC5" w14:textId="77777777" w:rsidR="0025202A" w:rsidRDefault="0025202A" w:rsidP="0025202A">
      <w:pPr>
        <w:pStyle w:val="Akapitzlist"/>
        <w:numPr>
          <w:ilvl w:val="2"/>
          <w:numId w:val="25"/>
        </w:numPr>
      </w:pPr>
      <w:r>
        <w:t>Handel detaliczny:</w:t>
      </w:r>
    </w:p>
    <w:p w14:paraId="5965863C" w14:textId="2442EDC2" w:rsidR="00F75AB1" w:rsidRDefault="00F75AB1" w:rsidP="00F75AB1">
      <w:pPr>
        <w:pStyle w:val="Akapitzlist"/>
        <w:numPr>
          <w:ilvl w:val="3"/>
          <w:numId w:val="25"/>
        </w:numPr>
      </w:pPr>
      <w:r>
        <w:t xml:space="preserve">Na podstawie bieżących danych – </w:t>
      </w:r>
      <w:r w:rsidR="000A3304">
        <w:t>39,1;</w:t>
      </w:r>
    </w:p>
    <w:p w14:paraId="26DB7EB5" w14:textId="64296915" w:rsidR="00F75AB1" w:rsidRDefault="00F75AB1" w:rsidP="00F75AB1">
      <w:pPr>
        <w:pStyle w:val="Akapitzlist"/>
        <w:numPr>
          <w:ilvl w:val="3"/>
          <w:numId w:val="25"/>
        </w:numPr>
      </w:pPr>
      <w:r>
        <w:t xml:space="preserve">Na podstawie oczekiwań dotyczących zmian jakie mogą nastąpić w długim okresie (rok) – </w:t>
      </w:r>
      <w:r w:rsidR="000A3304">
        <w:t>63,6.</w:t>
      </w:r>
    </w:p>
    <w:p w14:paraId="4D98ABE3" w14:textId="77777777" w:rsidR="003508D2" w:rsidRDefault="003508D2" w:rsidP="003508D2">
      <w:pPr>
        <w:pStyle w:val="Nagwek2"/>
      </w:pPr>
      <w:r>
        <w:t>Dolny pasek w infografice</w:t>
      </w:r>
    </w:p>
    <w:p w14:paraId="7506FDE6" w14:textId="77777777" w:rsidR="00E749BD" w:rsidRDefault="00E749BD" w:rsidP="00E749BD">
      <w:r>
        <w:t xml:space="preserve">Więcej do przeczytania w informacji sygnalnej „Koniunktura gospodarcza, opinie formułowane </w:t>
      </w:r>
    </w:p>
    <w:p w14:paraId="284769FA" w14:textId="65571BC5" w:rsidR="001E4CE0" w:rsidRDefault="00E749BD" w:rsidP="003508D2">
      <w:r>
        <w:t xml:space="preserve">przez jednostki z siedzibą w województwie Lubelskim – </w:t>
      </w:r>
      <w:r w:rsidR="000A3304">
        <w:t>czerwiec</w:t>
      </w:r>
      <w:r>
        <w:t xml:space="preserve"> 202</w:t>
      </w:r>
      <w:r w:rsidR="00F75AB1">
        <w:t>6</w:t>
      </w:r>
      <w:r>
        <w:t xml:space="preserve"> rok”</w:t>
      </w:r>
      <w:r w:rsidR="000F2650">
        <w:t>.</w:t>
      </w:r>
      <w:r w:rsidR="00F75AB1">
        <w:t xml:space="preserve"> </w:t>
      </w:r>
    </w:p>
    <w:p w14:paraId="56B95464" w14:textId="77777777" w:rsidR="003508D2" w:rsidRDefault="003508D2" w:rsidP="003508D2">
      <w:r>
        <w:t>Opracowanie: Lubelski Ośrodek Badań Regionalnych</w:t>
      </w:r>
    </w:p>
    <w:p w14:paraId="1EE75F7D" w14:textId="77777777" w:rsidR="003508D2" w:rsidRDefault="003508D2" w:rsidP="003508D2">
      <w:r>
        <w:t>Prosimy o podanie źródła przy publikowaniu danych Urzędu Statystycznego w Lublinie</w:t>
      </w:r>
    </w:p>
    <w:p w14:paraId="2D470C1D" w14:textId="77777777" w:rsidR="003508D2" w:rsidRDefault="003508D2" w:rsidP="003508D2">
      <w:r>
        <w:t>Adresy social mediów Urzędu Statystycznego w Lublinie:</w:t>
      </w:r>
    </w:p>
    <w:p w14:paraId="19A875E0" w14:textId="77777777" w:rsidR="003508D2" w:rsidRDefault="003508D2" w:rsidP="003508D2">
      <w:pPr>
        <w:pStyle w:val="Akapitzlist"/>
        <w:numPr>
          <w:ilvl w:val="0"/>
          <w:numId w:val="1"/>
        </w:numPr>
      </w:pPr>
      <w:r>
        <w:t xml:space="preserve">Facebook </w:t>
      </w:r>
      <w:hyperlink r:id="rId5" w:history="1">
        <w:r w:rsidRPr="0067650E">
          <w:rPr>
            <w:rStyle w:val="Hipercze"/>
          </w:rPr>
          <w:t>https://www.facebook.com/UrzadStatystycznyLublin/</w:t>
        </w:r>
      </w:hyperlink>
      <w:r>
        <w:t xml:space="preserve"> </w:t>
      </w:r>
    </w:p>
    <w:p w14:paraId="6EBED4D5" w14:textId="77777777" w:rsidR="003508D2" w:rsidRDefault="005B4C30" w:rsidP="003508D2">
      <w:pPr>
        <w:pStyle w:val="Akapitzlist"/>
        <w:numPr>
          <w:ilvl w:val="0"/>
          <w:numId w:val="1"/>
        </w:numPr>
      </w:pPr>
      <w:r>
        <w:t>Platforma X</w:t>
      </w:r>
      <w:r w:rsidR="003508D2">
        <w:t xml:space="preserve"> </w:t>
      </w:r>
      <w:hyperlink r:id="rId6" w:history="1">
        <w:r w:rsidR="003508D2" w:rsidRPr="0067650E">
          <w:rPr>
            <w:rStyle w:val="Hipercze"/>
          </w:rPr>
          <w:t>https://</w:t>
        </w:r>
        <w:r w:rsidR="003132F8">
          <w:rPr>
            <w:rStyle w:val="Hipercze"/>
          </w:rPr>
          <w:t>x</w:t>
        </w:r>
        <w:r w:rsidR="003508D2" w:rsidRPr="0067650E">
          <w:rPr>
            <w:rStyle w:val="Hipercze"/>
          </w:rPr>
          <w:t>.com/Lublin_STAT</w:t>
        </w:r>
      </w:hyperlink>
      <w:r w:rsidR="003508D2">
        <w:t xml:space="preserve"> </w:t>
      </w:r>
    </w:p>
    <w:p w14:paraId="29F7F401" w14:textId="77777777" w:rsidR="003508D2" w:rsidRDefault="003508D2" w:rsidP="003508D2">
      <w:r>
        <w:t xml:space="preserve">Link na stronę internetową Urzędu Statystycznego w Lublinie </w:t>
      </w:r>
      <w:hyperlink r:id="rId7" w:history="1">
        <w:r w:rsidRPr="0067650E">
          <w:rPr>
            <w:rStyle w:val="Hipercze"/>
          </w:rPr>
          <w:t>https://lublin.stat.gov.pl/</w:t>
        </w:r>
      </w:hyperlink>
      <w:r>
        <w:t xml:space="preserve"> </w:t>
      </w:r>
    </w:p>
    <w:p w14:paraId="28589152" w14:textId="77777777" w:rsidR="003508D2" w:rsidRPr="00E877BA" w:rsidRDefault="003508D2" w:rsidP="003508D2"/>
    <w:p w14:paraId="68CBD127" w14:textId="77777777" w:rsidR="000D04A8" w:rsidRDefault="000D04A8"/>
    <w:sectPr w:rsidR="000D04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ira Sans">
    <w:altName w:val="Times New Roman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E2D6E"/>
    <w:multiLevelType w:val="hybridMultilevel"/>
    <w:tmpl w:val="607AC2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00AB5"/>
    <w:multiLevelType w:val="hybridMultilevel"/>
    <w:tmpl w:val="FA0099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17F4D"/>
    <w:multiLevelType w:val="hybridMultilevel"/>
    <w:tmpl w:val="05108F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315A9F"/>
    <w:multiLevelType w:val="hybridMultilevel"/>
    <w:tmpl w:val="7CAEB5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8C7F92"/>
    <w:multiLevelType w:val="hybridMultilevel"/>
    <w:tmpl w:val="C36C85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BF5954"/>
    <w:multiLevelType w:val="hybridMultilevel"/>
    <w:tmpl w:val="505433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211D7B"/>
    <w:multiLevelType w:val="hybridMultilevel"/>
    <w:tmpl w:val="77FEDD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423600"/>
    <w:multiLevelType w:val="hybridMultilevel"/>
    <w:tmpl w:val="AE14CD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D36564"/>
    <w:multiLevelType w:val="hybridMultilevel"/>
    <w:tmpl w:val="134EE6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507A8F"/>
    <w:multiLevelType w:val="hybridMultilevel"/>
    <w:tmpl w:val="FFCCF0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676C6"/>
    <w:multiLevelType w:val="hybridMultilevel"/>
    <w:tmpl w:val="AEF691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F83FC0"/>
    <w:multiLevelType w:val="hybridMultilevel"/>
    <w:tmpl w:val="FA88CE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EB1E0A"/>
    <w:multiLevelType w:val="hybridMultilevel"/>
    <w:tmpl w:val="419ED9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F65C79"/>
    <w:multiLevelType w:val="hybridMultilevel"/>
    <w:tmpl w:val="CEBCB5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E50B7F"/>
    <w:multiLevelType w:val="hybridMultilevel"/>
    <w:tmpl w:val="681A03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900500"/>
    <w:multiLevelType w:val="hybridMultilevel"/>
    <w:tmpl w:val="E1F284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B75D20"/>
    <w:multiLevelType w:val="hybridMultilevel"/>
    <w:tmpl w:val="975061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0C1DAB"/>
    <w:multiLevelType w:val="hybridMultilevel"/>
    <w:tmpl w:val="CD363E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0F7483"/>
    <w:multiLevelType w:val="hybridMultilevel"/>
    <w:tmpl w:val="091E46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2076A0"/>
    <w:multiLevelType w:val="hybridMultilevel"/>
    <w:tmpl w:val="95AEBF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AD3211"/>
    <w:multiLevelType w:val="hybridMultilevel"/>
    <w:tmpl w:val="CA7EEE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872819"/>
    <w:multiLevelType w:val="hybridMultilevel"/>
    <w:tmpl w:val="E6FE34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D148E3"/>
    <w:multiLevelType w:val="hybridMultilevel"/>
    <w:tmpl w:val="E0E2E3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2472B9"/>
    <w:multiLevelType w:val="hybridMultilevel"/>
    <w:tmpl w:val="D4BE30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0"/>
  </w:num>
  <w:num w:numId="3">
    <w:abstractNumId w:val="18"/>
  </w:num>
  <w:num w:numId="4">
    <w:abstractNumId w:val="8"/>
  </w:num>
  <w:num w:numId="5">
    <w:abstractNumId w:val="19"/>
  </w:num>
  <w:num w:numId="6">
    <w:abstractNumId w:val="5"/>
  </w:num>
  <w:num w:numId="7">
    <w:abstractNumId w:val="22"/>
  </w:num>
  <w:num w:numId="8">
    <w:abstractNumId w:val="6"/>
  </w:num>
  <w:num w:numId="9">
    <w:abstractNumId w:val="17"/>
  </w:num>
  <w:num w:numId="10">
    <w:abstractNumId w:val="2"/>
  </w:num>
  <w:num w:numId="11">
    <w:abstractNumId w:val="7"/>
  </w:num>
  <w:num w:numId="12">
    <w:abstractNumId w:val="11"/>
  </w:num>
  <w:num w:numId="13">
    <w:abstractNumId w:val="15"/>
  </w:num>
  <w:num w:numId="14">
    <w:abstractNumId w:val="23"/>
  </w:num>
  <w:num w:numId="15">
    <w:abstractNumId w:val="16"/>
  </w:num>
  <w:num w:numId="16">
    <w:abstractNumId w:val="9"/>
  </w:num>
  <w:num w:numId="17">
    <w:abstractNumId w:val="14"/>
  </w:num>
  <w:num w:numId="18">
    <w:abstractNumId w:val="1"/>
  </w:num>
  <w:num w:numId="19">
    <w:abstractNumId w:val="21"/>
  </w:num>
  <w:num w:numId="20">
    <w:abstractNumId w:val="3"/>
  </w:num>
  <w:num w:numId="21">
    <w:abstractNumId w:val="13"/>
  </w:num>
  <w:num w:numId="22">
    <w:abstractNumId w:val="21"/>
  </w:num>
  <w:num w:numId="23">
    <w:abstractNumId w:val="12"/>
  </w:num>
  <w:num w:numId="24">
    <w:abstractNumId w:val="0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8D2"/>
    <w:rsid w:val="00062D93"/>
    <w:rsid w:val="000A3304"/>
    <w:rsid w:val="000A5758"/>
    <w:rsid w:val="000D04A8"/>
    <w:rsid w:val="000E1C2B"/>
    <w:rsid w:val="000F2650"/>
    <w:rsid w:val="00100BBC"/>
    <w:rsid w:val="00142E42"/>
    <w:rsid w:val="0014692E"/>
    <w:rsid w:val="001A5B8E"/>
    <w:rsid w:val="001B2C72"/>
    <w:rsid w:val="001D7ADC"/>
    <w:rsid w:val="001E4CE0"/>
    <w:rsid w:val="001F5FF2"/>
    <w:rsid w:val="0020615D"/>
    <w:rsid w:val="00232873"/>
    <w:rsid w:val="0025202A"/>
    <w:rsid w:val="002C4FBA"/>
    <w:rsid w:val="003132F8"/>
    <w:rsid w:val="003508D2"/>
    <w:rsid w:val="00362FB8"/>
    <w:rsid w:val="003653EE"/>
    <w:rsid w:val="003C4932"/>
    <w:rsid w:val="00447BB7"/>
    <w:rsid w:val="004A5E71"/>
    <w:rsid w:val="004C2548"/>
    <w:rsid w:val="004C3F25"/>
    <w:rsid w:val="004F0AD7"/>
    <w:rsid w:val="004F742E"/>
    <w:rsid w:val="005114F4"/>
    <w:rsid w:val="00552F58"/>
    <w:rsid w:val="0055401D"/>
    <w:rsid w:val="005827EB"/>
    <w:rsid w:val="005A0E18"/>
    <w:rsid w:val="005B4C30"/>
    <w:rsid w:val="005B6595"/>
    <w:rsid w:val="005D5547"/>
    <w:rsid w:val="005D7340"/>
    <w:rsid w:val="0060617C"/>
    <w:rsid w:val="00612B8D"/>
    <w:rsid w:val="00642DB5"/>
    <w:rsid w:val="00694A44"/>
    <w:rsid w:val="006B0843"/>
    <w:rsid w:val="007668D7"/>
    <w:rsid w:val="00782CBC"/>
    <w:rsid w:val="00804253"/>
    <w:rsid w:val="00807D8A"/>
    <w:rsid w:val="00815241"/>
    <w:rsid w:val="008A5BB1"/>
    <w:rsid w:val="008E0800"/>
    <w:rsid w:val="008E6E1A"/>
    <w:rsid w:val="008F1428"/>
    <w:rsid w:val="00930FC2"/>
    <w:rsid w:val="009774E3"/>
    <w:rsid w:val="00993A0E"/>
    <w:rsid w:val="009B73EB"/>
    <w:rsid w:val="009D3B28"/>
    <w:rsid w:val="00A008A5"/>
    <w:rsid w:val="00A0138B"/>
    <w:rsid w:val="00A22F89"/>
    <w:rsid w:val="00A24F43"/>
    <w:rsid w:val="00A25CA2"/>
    <w:rsid w:val="00A55EEA"/>
    <w:rsid w:val="00A63A7C"/>
    <w:rsid w:val="00A75383"/>
    <w:rsid w:val="00A84820"/>
    <w:rsid w:val="00AC5944"/>
    <w:rsid w:val="00AE4AE7"/>
    <w:rsid w:val="00AF3C66"/>
    <w:rsid w:val="00B36D35"/>
    <w:rsid w:val="00B47BDC"/>
    <w:rsid w:val="00B5549E"/>
    <w:rsid w:val="00B715D8"/>
    <w:rsid w:val="00BE0361"/>
    <w:rsid w:val="00C34C57"/>
    <w:rsid w:val="00C61FA4"/>
    <w:rsid w:val="00C67AA2"/>
    <w:rsid w:val="00CA2854"/>
    <w:rsid w:val="00CA5A50"/>
    <w:rsid w:val="00CB3B0B"/>
    <w:rsid w:val="00CE22A9"/>
    <w:rsid w:val="00D37C05"/>
    <w:rsid w:val="00DA719E"/>
    <w:rsid w:val="00DA72B8"/>
    <w:rsid w:val="00E02D2F"/>
    <w:rsid w:val="00E166AD"/>
    <w:rsid w:val="00E35FE3"/>
    <w:rsid w:val="00E50B3A"/>
    <w:rsid w:val="00E66315"/>
    <w:rsid w:val="00E749BD"/>
    <w:rsid w:val="00E8587D"/>
    <w:rsid w:val="00E879AD"/>
    <w:rsid w:val="00E9258D"/>
    <w:rsid w:val="00EF27DD"/>
    <w:rsid w:val="00EF5235"/>
    <w:rsid w:val="00F42452"/>
    <w:rsid w:val="00F66364"/>
    <w:rsid w:val="00F75AB1"/>
    <w:rsid w:val="00F9347F"/>
    <w:rsid w:val="00FD4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E1D84"/>
  <w15:chartTrackingRefBased/>
  <w15:docId w15:val="{4CE4F26C-E9A2-4A32-97CF-13EE02924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08D2"/>
    <w:pPr>
      <w:spacing w:after="0" w:line="360" w:lineRule="auto"/>
    </w:pPr>
    <w:rPr>
      <w:rFonts w:ascii="Fira Sans" w:hAnsi="Fira Sans"/>
      <w:sz w:val="19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0B3A"/>
    <w:pPr>
      <w:keepNext/>
      <w:keepLines/>
      <w:outlineLvl w:val="0"/>
    </w:pPr>
    <w:rPr>
      <w:rFonts w:ascii="Fira Sans SemiBold" w:eastAsiaTheme="majorEastAsia" w:hAnsi="Fira Sans SemiBold" w:cstheme="majorBidi"/>
      <w:color w:val="000000" w:themeColor="text1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508D2"/>
    <w:pPr>
      <w:keepNext/>
      <w:keepLines/>
      <w:spacing w:before="600" w:after="240"/>
      <w:outlineLvl w:val="1"/>
    </w:pPr>
    <w:rPr>
      <w:rFonts w:ascii="Fira Sans SemiBold" w:eastAsiaTheme="majorEastAsia" w:hAnsi="Fira Sans SemiBold" w:cstheme="majorBidi"/>
      <w:color w:val="000000" w:themeColor="text1"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50B3A"/>
    <w:rPr>
      <w:rFonts w:ascii="Fira Sans SemiBold" w:eastAsiaTheme="majorEastAsia" w:hAnsi="Fira Sans SemiBold" w:cstheme="majorBidi"/>
      <w:color w:val="000000" w:themeColor="text1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508D2"/>
    <w:rPr>
      <w:rFonts w:ascii="Fira Sans SemiBold" w:eastAsiaTheme="majorEastAsia" w:hAnsi="Fira Sans SemiBold" w:cstheme="majorBidi"/>
      <w:color w:val="000000" w:themeColor="text1"/>
      <w:sz w:val="24"/>
      <w:szCs w:val="26"/>
    </w:rPr>
  </w:style>
  <w:style w:type="paragraph" w:styleId="Akapitzlist">
    <w:name w:val="List Paragraph"/>
    <w:basedOn w:val="Normalny"/>
    <w:uiPriority w:val="34"/>
    <w:qFormat/>
    <w:rsid w:val="003508D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508D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749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88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ublin.stat.gov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witter.com/Lublin_STAT" TargetMode="External"/><Relationship Id="rId5" Type="http://schemas.openxmlformats.org/officeDocument/2006/relationships/hyperlink" Target="https://www.facebook.com/UrzadStatystycznyLublin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836</TotalTime>
  <Pages>5</Pages>
  <Words>858</Words>
  <Characters>5152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Koniunktura gospodarcza w województwie lubelskim w marcu 2026 roku (infografika) – opis alternatywny</vt:lpstr>
    </vt:vector>
  </TitlesOfParts>
  <Company/>
  <LinksUpToDate>false</LinksUpToDate>
  <CharactersWithSpaces>5999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Koniunktura gospodarcza w województwie lubelskim w czerwcu  2026 roku (infografika) – opis alternatywny</dc:title>
  <dc:subject/>
  <dc:creator>Szymkiewicz Szymon</dc:creator>
  <cp:keywords/>
  <dc:description/>
  <cp:lastModifiedBy>Szymkiewicz Szymon</cp:lastModifiedBy>
  <cp:revision>50</cp:revision>
  <dcterms:created xsi:type="dcterms:W3CDTF">2023-06-14T09:24:00Z</dcterms:created>
  <dcterms:modified xsi:type="dcterms:W3CDTF">2026-07-01T12:49:00Z</dcterms:modified>
</cp:coreProperties>
</file>