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4D2AE7" w:rsidP="003508D2">
      <w:pPr>
        <w:pStyle w:val="Nagwek1"/>
      </w:pPr>
      <w:r>
        <w:t>Międzynarodowy Dzień Młodzieży — 12 sierpnia</w:t>
      </w:r>
      <w:r w:rsidR="00EF6073">
        <w:t xml:space="preserve"> 2025 rok</w:t>
      </w:r>
      <w:r w:rsidR="003508D2">
        <w:t xml:space="preserve"> (infografika) – opis alternatywny</w:t>
      </w:r>
    </w:p>
    <w:p w:rsidR="003508D2" w:rsidRPr="00D12CB4" w:rsidRDefault="003508D2" w:rsidP="003508D2">
      <w:r>
        <w:t xml:space="preserve">Infografika dotyczy </w:t>
      </w:r>
      <w:r w:rsidR="004D2AE7">
        <w:t>młodzieży</w:t>
      </w:r>
      <w:r>
        <w:t xml:space="preserve"> w województwie lubelskim w 20</w:t>
      </w:r>
      <w:r w:rsidR="00EF6073">
        <w:t>4</w:t>
      </w:r>
      <w:r w:rsidR="00557C7D">
        <w:t>2</w:t>
      </w:r>
      <w:r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4D2AE7">
        <w:t>piątkę młodych ludzi od pasa w dół</w:t>
      </w:r>
      <w:r>
        <w:t xml:space="preserve">, widnieje białe logo Urzędu Statystycznego w Lublinie oraz </w:t>
      </w:r>
      <w:r w:rsidR="00101AF8">
        <w:t>turkusowo-miętowy</w:t>
      </w:r>
      <w:r>
        <w:t xml:space="preserve"> element graficzny zawierający tytuł infografiki oraz datę święta.</w:t>
      </w:r>
    </w:p>
    <w:p w:rsidR="003508D2" w:rsidRDefault="004D2AE7" w:rsidP="003508D2">
      <w:pPr>
        <w:pStyle w:val="Nagwek2"/>
      </w:pPr>
      <w:r>
        <w:t>Liczba ludności w wieku 15-24 lat (w tys.)</w:t>
      </w:r>
    </w:p>
    <w:p w:rsidR="004D2AE7" w:rsidRDefault="004D2AE7" w:rsidP="004D2AE7">
      <w:pPr>
        <w:pStyle w:val="Akapitzlist"/>
        <w:numPr>
          <w:ilvl w:val="0"/>
          <w:numId w:val="34"/>
        </w:numPr>
      </w:pPr>
      <w:r>
        <w:t>1995 rok — 356,8;</w:t>
      </w:r>
    </w:p>
    <w:p w:rsidR="004D2AE7" w:rsidRDefault="004D2AE7" w:rsidP="004D2AE7">
      <w:pPr>
        <w:pStyle w:val="Akapitzlist"/>
        <w:numPr>
          <w:ilvl w:val="0"/>
          <w:numId w:val="34"/>
        </w:numPr>
      </w:pPr>
      <w:r>
        <w:t>2000 rok — 369,7;</w:t>
      </w:r>
    </w:p>
    <w:p w:rsidR="004D2AE7" w:rsidRDefault="004D2AE7" w:rsidP="004D2AE7">
      <w:pPr>
        <w:pStyle w:val="Akapitzlist"/>
        <w:numPr>
          <w:ilvl w:val="0"/>
          <w:numId w:val="34"/>
        </w:numPr>
      </w:pPr>
      <w:r>
        <w:t>2005 rok — 366,8;</w:t>
      </w:r>
    </w:p>
    <w:p w:rsidR="004D2AE7" w:rsidRPr="004D2AE7" w:rsidRDefault="004D2AE7" w:rsidP="004D2AE7">
      <w:pPr>
        <w:pStyle w:val="Akapitzlist"/>
        <w:numPr>
          <w:ilvl w:val="0"/>
          <w:numId w:val="34"/>
        </w:numPr>
      </w:pPr>
      <w:r>
        <w:t>2010 rok — 313,4;</w:t>
      </w:r>
    </w:p>
    <w:p w:rsidR="004D2AE7" w:rsidRDefault="004D2AE7" w:rsidP="004D2AE7">
      <w:pPr>
        <w:pStyle w:val="Akapitzlist"/>
        <w:numPr>
          <w:ilvl w:val="0"/>
          <w:numId w:val="34"/>
        </w:numPr>
      </w:pPr>
      <w:r>
        <w:t>2015 rok — 262,4;</w:t>
      </w:r>
    </w:p>
    <w:p w:rsidR="004D2AE7" w:rsidRPr="004D2AE7" w:rsidRDefault="004D2AE7" w:rsidP="004D2AE7">
      <w:pPr>
        <w:pStyle w:val="Akapitzlist"/>
        <w:numPr>
          <w:ilvl w:val="0"/>
          <w:numId w:val="34"/>
        </w:numPr>
      </w:pPr>
      <w:r>
        <w:t>2020 rok — 210,8;</w:t>
      </w:r>
    </w:p>
    <w:p w:rsidR="00EF6073" w:rsidRDefault="00EF6073" w:rsidP="004D2AE7">
      <w:pPr>
        <w:pStyle w:val="Akapitzlist"/>
        <w:numPr>
          <w:ilvl w:val="0"/>
          <w:numId w:val="34"/>
        </w:numPr>
      </w:pPr>
      <w:r>
        <w:t>2023 rok — 207,9;</w:t>
      </w:r>
    </w:p>
    <w:p w:rsidR="00EF6073" w:rsidRPr="004D2AE7" w:rsidRDefault="00EF6073" w:rsidP="004D2AE7">
      <w:pPr>
        <w:pStyle w:val="Akapitzlist"/>
        <w:numPr>
          <w:ilvl w:val="0"/>
          <w:numId w:val="34"/>
        </w:numPr>
      </w:pPr>
      <w:r>
        <w:t>2024 rok — 209,0.</w:t>
      </w:r>
    </w:p>
    <w:p w:rsidR="00884F04" w:rsidRDefault="004D2AE7" w:rsidP="00884F04">
      <w:pPr>
        <w:pStyle w:val="Nagwek2"/>
      </w:pPr>
      <w:r>
        <w:t>Ludność w wieku 15-24 lat (według płci)</w:t>
      </w:r>
    </w:p>
    <w:p w:rsidR="004D2AE7" w:rsidRDefault="004D2AE7" w:rsidP="004D2AE7">
      <w:pPr>
        <w:pStyle w:val="Akapitzlist"/>
        <w:numPr>
          <w:ilvl w:val="0"/>
          <w:numId w:val="35"/>
        </w:numPr>
      </w:pPr>
      <w:r>
        <w:t>Kobiety — 48,</w:t>
      </w:r>
      <w:r w:rsidR="00EF6073">
        <w:t>8</w:t>
      </w:r>
      <w:r>
        <w:t>%</w:t>
      </w:r>
      <w:r w:rsidR="00EF6073">
        <w:t>;</w:t>
      </w:r>
    </w:p>
    <w:p w:rsidR="00CB17E0" w:rsidRDefault="004D2AE7" w:rsidP="00CB17E0">
      <w:pPr>
        <w:pStyle w:val="Akapitzlist"/>
        <w:numPr>
          <w:ilvl w:val="0"/>
          <w:numId w:val="35"/>
        </w:numPr>
      </w:pPr>
      <w:r>
        <w:t>Mężczyźni — 51,</w:t>
      </w:r>
      <w:r w:rsidR="00EF6073">
        <w:t>2</w:t>
      </w:r>
      <w:r>
        <w:t>%</w:t>
      </w:r>
      <w:r w:rsidR="00EF6073">
        <w:t>.</w:t>
      </w:r>
    </w:p>
    <w:p w:rsidR="00CB17E0" w:rsidRDefault="004D2AE7" w:rsidP="004D2AE7">
      <w:pPr>
        <w:pStyle w:val="Nagwek2"/>
      </w:pPr>
      <w:r>
        <w:t>Liczba dni pobytu dzieci i młodzieży w wieku 0-18 lat w szpitalach i sanatoriach uzdrowiskowych</w:t>
      </w:r>
      <w:r w:rsidR="001732A7">
        <w:t xml:space="preserve"> (osobodni)</w:t>
      </w:r>
    </w:p>
    <w:p w:rsidR="001732A7" w:rsidRDefault="001732A7" w:rsidP="001732A7">
      <w:pPr>
        <w:pStyle w:val="Akapitzlist"/>
        <w:numPr>
          <w:ilvl w:val="0"/>
          <w:numId w:val="36"/>
        </w:numPr>
      </w:pPr>
      <w:r>
        <w:t>2022 rok — 969;</w:t>
      </w:r>
    </w:p>
    <w:p w:rsidR="00EF6073" w:rsidRDefault="00EF6073" w:rsidP="001732A7">
      <w:pPr>
        <w:pStyle w:val="Akapitzlist"/>
        <w:numPr>
          <w:ilvl w:val="0"/>
          <w:numId w:val="36"/>
        </w:numPr>
      </w:pPr>
      <w:r>
        <w:t>2023 rok — 239;</w:t>
      </w:r>
    </w:p>
    <w:p w:rsidR="00EF6073" w:rsidRDefault="00EF6073" w:rsidP="001732A7">
      <w:pPr>
        <w:pStyle w:val="Akapitzlist"/>
        <w:numPr>
          <w:ilvl w:val="0"/>
          <w:numId w:val="36"/>
        </w:numPr>
      </w:pPr>
      <w:r>
        <w:t>2024 rok — 221.</w:t>
      </w:r>
    </w:p>
    <w:p w:rsidR="00FC562C" w:rsidRDefault="00FC562C" w:rsidP="00FC562C">
      <w:pPr>
        <w:pStyle w:val="Nagwek2"/>
      </w:pPr>
      <w:r>
        <w:lastRenderedPageBreak/>
        <w:t>Stopa bezrobocia w grupie mężczyzn w wieku 15-24 lata (w %)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Austria — </w:t>
      </w:r>
      <w:r w:rsidR="00FD5BAB">
        <w:t>10,4;</w:t>
      </w:r>
    </w:p>
    <w:p w:rsidR="00FD5BAB" w:rsidRDefault="00FC562C" w:rsidP="00FD5BAB">
      <w:pPr>
        <w:pStyle w:val="Akapitzlist"/>
        <w:numPr>
          <w:ilvl w:val="0"/>
          <w:numId w:val="37"/>
        </w:numPr>
      </w:pPr>
      <w:r>
        <w:t xml:space="preserve">Belgia — </w:t>
      </w:r>
      <w:r w:rsidR="00FD5BAB">
        <w:t>19,6;</w:t>
      </w:r>
    </w:p>
    <w:p w:rsidR="00FD5BAB" w:rsidRDefault="00FD5BAB" w:rsidP="00FD5BAB">
      <w:pPr>
        <w:pStyle w:val="Akapitzlist"/>
        <w:numPr>
          <w:ilvl w:val="0"/>
          <w:numId w:val="37"/>
        </w:numPr>
      </w:pPr>
      <w:r>
        <w:t>Bośnia i Hercegowina —</w:t>
      </w:r>
      <w:r w:rsidR="00D2085A">
        <w:t>27,5;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Bułgaria — </w:t>
      </w:r>
      <w:r w:rsidR="000E42E4">
        <w:t>12,8;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Chorwacja — </w:t>
      </w:r>
      <w:r w:rsidR="000E42E4">
        <w:t>15,9</w:t>
      </w:r>
      <w:r w:rsidR="004F3D82"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Czechy — </w:t>
      </w:r>
      <w:r w:rsidR="000E42E4">
        <w:t>8,6</w:t>
      </w:r>
      <w:r w:rsidR="004F3D82"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Dania — </w:t>
      </w:r>
      <w:r w:rsidR="000E42E4">
        <w:t>15,0</w:t>
      </w:r>
      <w:r w:rsidR="004F3D82"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Estonia — </w:t>
      </w:r>
      <w:r w:rsidR="000E42E4">
        <w:t>18,9</w:t>
      </w:r>
      <w:r w:rsidR="004F3D82"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Finlandia —</w:t>
      </w:r>
      <w:r w:rsidR="00EF6073">
        <w:t xml:space="preserve"> </w:t>
      </w:r>
      <w:r w:rsidR="000E42E4">
        <w:t>19,6</w:t>
      </w:r>
      <w:r w:rsidR="004F3D82"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Francja — </w:t>
      </w:r>
      <w:r w:rsidR="000E42E4">
        <w:t>19,0</w:t>
      </w:r>
      <w:r w:rsidR="004F3D82"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Grecja — </w:t>
      </w:r>
      <w:r w:rsidR="000E42E4">
        <w:t>21,1</w:t>
      </w:r>
      <w:r w:rsidR="004F3D82"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Hiszpania — </w:t>
      </w:r>
      <w:r w:rsidR="000E42E4">
        <w:t>26,0</w:t>
      </w:r>
      <w:r w:rsidR="004F3D82">
        <w:t>;</w:t>
      </w:r>
    </w:p>
    <w:p w:rsidR="00EF6073" w:rsidRDefault="00FC562C" w:rsidP="00EF6073">
      <w:pPr>
        <w:pStyle w:val="Akapitzlist"/>
        <w:numPr>
          <w:ilvl w:val="0"/>
          <w:numId w:val="37"/>
        </w:numPr>
      </w:pPr>
      <w:r>
        <w:t xml:space="preserve">Holandia — </w:t>
      </w:r>
      <w:r w:rsidR="000E42E4">
        <w:t>8,8</w:t>
      </w:r>
      <w:r w:rsidR="004F3D82"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Irlandia — </w:t>
      </w:r>
      <w:r w:rsidR="000E42E4">
        <w:t>10,9</w:t>
      </w:r>
      <w:r w:rsidR="004F3D82">
        <w:t>;</w:t>
      </w:r>
    </w:p>
    <w:p w:rsidR="00E64E96" w:rsidRDefault="00E64E96" w:rsidP="00FC562C">
      <w:pPr>
        <w:pStyle w:val="Akapitzlist"/>
        <w:numPr>
          <w:ilvl w:val="0"/>
          <w:numId w:val="37"/>
        </w:numPr>
      </w:pPr>
      <w:r>
        <w:t xml:space="preserve">Islandia — </w:t>
      </w:r>
      <w:r w:rsidR="000E42E4">
        <w:t>8,8</w:t>
      </w:r>
      <w:r w:rsidR="004F3D82"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Litwa — </w:t>
      </w:r>
      <w:r w:rsidR="000E42E4">
        <w:t>16,0</w:t>
      </w:r>
      <w:r w:rsidR="004F3D82">
        <w:t>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Łotwa — </w:t>
      </w:r>
      <w:r w:rsidR="004F3D82">
        <w:t>13,2;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Niemcy — </w:t>
      </w:r>
      <w:r w:rsidR="004F3D82">
        <w:t>7,1;</w:t>
      </w:r>
    </w:p>
    <w:p w:rsidR="00E64E96" w:rsidRDefault="00E64E96" w:rsidP="00FC562C">
      <w:pPr>
        <w:pStyle w:val="Akapitzlist"/>
        <w:numPr>
          <w:ilvl w:val="0"/>
          <w:numId w:val="37"/>
        </w:numPr>
      </w:pPr>
      <w:r>
        <w:t xml:space="preserve">Norwegia — </w:t>
      </w:r>
      <w:r w:rsidR="004F3D82">
        <w:t>12,7;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Polska — </w:t>
      </w:r>
      <w:r w:rsidR="004F3D82">
        <w:t>10,7;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Portugalia — </w:t>
      </w:r>
      <w:r w:rsidR="004F3D82">
        <w:t>20,9;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Rumunia — </w:t>
      </w:r>
      <w:r w:rsidR="004F3D82">
        <w:t>23,2;</w:t>
      </w:r>
    </w:p>
    <w:p w:rsidR="00E64E96" w:rsidRDefault="00E64E96" w:rsidP="00FC562C">
      <w:pPr>
        <w:pStyle w:val="Akapitzlist"/>
        <w:numPr>
          <w:ilvl w:val="0"/>
          <w:numId w:val="37"/>
        </w:numPr>
      </w:pPr>
      <w:r>
        <w:t xml:space="preserve">Serbia — </w:t>
      </w:r>
      <w:r w:rsidR="004F3D82">
        <w:t>23,0;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Słowacja — </w:t>
      </w:r>
      <w:r w:rsidR="004F3D82">
        <w:t>19,3;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Słowenia — </w:t>
      </w:r>
      <w:r w:rsidR="004F3D82">
        <w:t>11,0;</w:t>
      </w:r>
    </w:p>
    <w:p w:rsidR="004F3D82" w:rsidRDefault="00E64E96" w:rsidP="004F3D82">
      <w:pPr>
        <w:pStyle w:val="Akapitzlist"/>
        <w:numPr>
          <w:ilvl w:val="0"/>
          <w:numId w:val="37"/>
        </w:numPr>
      </w:pPr>
      <w:r>
        <w:t xml:space="preserve">Szwajcaria — </w:t>
      </w:r>
      <w:r w:rsidR="004F3D82">
        <w:t>8,0;</w:t>
      </w:r>
    </w:p>
    <w:p w:rsidR="00FC562C" w:rsidRDefault="00FC562C" w:rsidP="004F3D82">
      <w:pPr>
        <w:pStyle w:val="Akapitzlist"/>
        <w:numPr>
          <w:ilvl w:val="0"/>
          <w:numId w:val="37"/>
        </w:numPr>
      </w:pPr>
      <w:r>
        <w:t>Szwecja —</w:t>
      </w:r>
      <w:r w:rsidR="00EF6073">
        <w:t xml:space="preserve"> </w:t>
      </w:r>
      <w:r w:rsidR="004F3D82">
        <w:t>24,9;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 xml:space="preserve">Węgry — </w:t>
      </w:r>
      <w:r w:rsidR="004F3D82">
        <w:t>15,4;</w:t>
      </w:r>
    </w:p>
    <w:p w:rsidR="00FC562C" w:rsidRDefault="00FC562C" w:rsidP="00FC562C">
      <w:pPr>
        <w:pStyle w:val="Akapitzlist"/>
        <w:numPr>
          <w:ilvl w:val="0"/>
          <w:numId w:val="37"/>
        </w:numPr>
      </w:pPr>
      <w:r>
        <w:t>Włochy —</w:t>
      </w:r>
      <w:r w:rsidR="00EF6073">
        <w:t xml:space="preserve"> </w:t>
      </w:r>
      <w:r w:rsidR="004F3D82">
        <w:t>19,2.</w:t>
      </w:r>
    </w:p>
    <w:p w:rsidR="006433AB" w:rsidRDefault="006433AB" w:rsidP="006433AB">
      <w:r>
        <w:t>Dane: Eurostat</w:t>
      </w:r>
    </w:p>
    <w:p w:rsidR="00E64E96" w:rsidRDefault="00E64E96" w:rsidP="00E64E96">
      <w:pPr>
        <w:pStyle w:val="Nagwek2"/>
      </w:pPr>
      <w:r>
        <w:t>Stopa bezrobocia w grupie kobiet w wieku 15-24 lata (w %)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Austria — </w:t>
      </w:r>
      <w:r w:rsidR="004F3D82">
        <w:t xml:space="preserve"> </w:t>
      </w:r>
      <w:r w:rsidR="001C0002">
        <w:t>10,1;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Belgia — </w:t>
      </w:r>
      <w:r w:rsidR="001C0002">
        <w:t>14,8;</w:t>
      </w:r>
    </w:p>
    <w:p w:rsidR="00FD5BAB" w:rsidRDefault="00FD5BAB" w:rsidP="00FD5BAB">
      <w:pPr>
        <w:pStyle w:val="Akapitzlist"/>
        <w:numPr>
          <w:ilvl w:val="0"/>
          <w:numId w:val="37"/>
        </w:numPr>
      </w:pPr>
      <w:r>
        <w:t>Bośnia i Hercegowina —</w:t>
      </w:r>
      <w:r w:rsidR="001C0002">
        <w:t xml:space="preserve"> 35,6;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Bułgaria — </w:t>
      </w:r>
      <w:r w:rsidR="001C0002">
        <w:t>11,7;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lastRenderedPageBreak/>
        <w:t xml:space="preserve">Chorwacja — </w:t>
      </w:r>
      <w:r w:rsidR="001C0002">
        <w:t>18,2;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Czechy — </w:t>
      </w:r>
      <w:r w:rsidR="001C0002">
        <w:t>9,9;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Dania — </w:t>
      </w:r>
      <w:r w:rsidR="001C0002">
        <w:t>14,2;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Estonia — </w:t>
      </w:r>
      <w:r w:rsidR="001C0002">
        <w:t>19,3;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Finlandia — </w:t>
      </w:r>
      <w:r w:rsidR="001C0002">
        <w:t>18,0;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Francja — </w:t>
      </w:r>
      <w:r w:rsidR="001C0002">
        <w:t>18,4;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Grecja — </w:t>
      </w:r>
      <w:r w:rsidR="001C0002">
        <w:t>24,1;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Hiszpania — </w:t>
      </w:r>
      <w:r w:rsidR="001C0002">
        <w:t>27,1;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Holandia — </w:t>
      </w:r>
      <w:r w:rsidR="001C0002">
        <w:t>8,5;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Irlandia — </w:t>
      </w:r>
      <w:r w:rsidR="001C0002">
        <w:t>10,3;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Islandia — </w:t>
      </w:r>
      <w:r w:rsidR="001C0002">
        <w:t>9,4;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Litwa — </w:t>
      </w:r>
      <w:r w:rsidR="001C0002">
        <w:t>16,4;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Łotwa — </w:t>
      </w:r>
      <w:r w:rsidR="001C0002">
        <w:t>14,1;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Niemcy — </w:t>
      </w:r>
      <w:r w:rsidR="001C0002">
        <w:t>5,9;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Norwegia — </w:t>
      </w:r>
      <w:r w:rsidR="001C0002">
        <w:t>11,4;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Polska — </w:t>
      </w:r>
      <w:r w:rsidR="001C0002">
        <w:t>10,9;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Portugalia — </w:t>
      </w:r>
      <w:r w:rsidR="001C0002">
        <w:t>22,4;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Rumunia — </w:t>
      </w:r>
      <w:r w:rsidR="001C0002">
        <w:t>25,1;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Serbia — </w:t>
      </w:r>
      <w:r w:rsidR="001C0002">
        <w:t>23,1;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Słowacja — </w:t>
      </w:r>
      <w:r w:rsidR="001C0002">
        <w:t>18,9;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Słowenia — </w:t>
      </w:r>
      <w:r w:rsidR="001C0002">
        <w:t>10,9;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Szwajcaria — </w:t>
      </w:r>
      <w:r w:rsidR="001C0002">
        <w:t>8,5;</w:t>
      </w:r>
    </w:p>
    <w:p w:rsidR="009009CC" w:rsidRDefault="009009CC" w:rsidP="009009CC">
      <w:pPr>
        <w:pStyle w:val="Akapitzlist"/>
        <w:numPr>
          <w:ilvl w:val="0"/>
          <w:numId w:val="37"/>
        </w:numPr>
      </w:pPr>
      <w:r>
        <w:t xml:space="preserve">Szwecja — </w:t>
      </w:r>
      <w:r w:rsidR="001C0002">
        <w:t>23,6;</w:t>
      </w:r>
    </w:p>
    <w:p w:rsidR="00C5634A" w:rsidRDefault="009009CC" w:rsidP="009009CC">
      <w:pPr>
        <w:pStyle w:val="Akapitzlist"/>
        <w:numPr>
          <w:ilvl w:val="0"/>
          <w:numId w:val="37"/>
        </w:numPr>
      </w:pPr>
      <w:r>
        <w:t xml:space="preserve">Węgry — </w:t>
      </w:r>
      <w:r w:rsidR="001C0002">
        <w:t>14,8;</w:t>
      </w:r>
    </w:p>
    <w:p w:rsidR="00C5634A" w:rsidRDefault="009009CC" w:rsidP="009009CC">
      <w:pPr>
        <w:pStyle w:val="Akapitzlist"/>
        <w:numPr>
          <w:ilvl w:val="0"/>
          <w:numId w:val="37"/>
        </w:numPr>
      </w:pPr>
      <w:r>
        <w:t xml:space="preserve">Włochy — </w:t>
      </w:r>
      <w:r w:rsidR="001C0002">
        <w:t>22,2.</w:t>
      </w:r>
    </w:p>
    <w:p w:rsidR="006433AB" w:rsidRDefault="006433AB" w:rsidP="009009CC">
      <w:r>
        <w:t>Dane: Eurostat</w:t>
      </w:r>
    </w:p>
    <w:p w:rsidR="006433AB" w:rsidRPr="00FC562C" w:rsidRDefault="006433AB" w:rsidP="006433AB"/>
    <w:p w:rsidR="002A09D7" w:rsidRDefault="002A09D7" w:rsidP="002A09D7">
      <w:pPr>
        <w:pStyle w:val="Nagwek2"/>
      </w:pPr>
      <w:r>
        <w:t>Udział ludności w wieku 15-24 lat (w ogól</w:t>
      </w:r>
      <w:r w:rsidR="00632B80">
        <w:t>nej liczbie</w:t>
      </w:r>
      <w:r>
        <w:t xml:space="preserve"> ludności)</w:t>
      </w:r>
    </w:p>
    <w:p w:rsidR="002A09D7" w:rsidRDefault="002A09D7" w:rsidP="002A09D7">
      <w:pPr>
        <w:pStyle w:val="Akapitzlist"/>
        <w:numPr>
          <w:ilvl w:val="0"/>
          <w:numId w:val="28"/>
        </w:numPr>
      </w:pPr>
      <w:r>
        <w:t>Powiaty: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bialski — </w:t>
      </w:r>
      <w:r w:rsidR="00D315A8">
        <w:t>11,7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>biłgorajski —</w:t>
      </w:r>
      <w:r w:rsidR="00D315A8">
        <w:t xml:space="preserve"> 11,0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chełmski — </w:t>
      </w:r>
      <w:r w:rsidR="00D315A8">
        <w:t>11,1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hrubieszowski — </w:t>
      </w:r>
      <w:r w:rsidR="00D315A8">
        <w:t>10,7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janowski — </w:t>
      </w:r>
      <w:r w:rsidR="00D315A8">
        <w:t>11,4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krasnostawski — </w:t>
      </w:r>
      <w:r w:rsidR="00D315A8">
        <w:t>10,0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kraśnicki — </w:t>
      </w:r>
      <w:r w:rsidR="00D315A8">
        <w:t>10,5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lubartowski  — </w:t>
      </w:r>
      <w:r w:rsidR="00D315A8">
        <w:t>11,1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lastRenderedPageBreak/>
        <w:t xml:space="preserve">lubelski — </w:t>
      </w:r>
      <w:r w:rsidR="00D315A8">
        <w:t>11,5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łęczyński — </w:t>
      </w:r>
      <w:r w:rsidR="00D315A8">
        <w:t>10,7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łukowski — </w:t>
      </w:r>
      <w:r w:rsidR="00D315A8">
        <w:t>12,1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opolski — </w:t>
      </w:r>
      <w:r w:rsidR="00D315A8">
        <w:t>10,9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parczewski — </w:t>
      </w:r>
      <w:r w:rsidR="00D315A8">
        <w:t>10,7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puławski — </w:t>
      </w:r>
      <w:r w:rsidR="00D315A8">
        <w:t>10,2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radzyński — </w:t>
      </w:r>
      <w:r w:rsidR="00D315A8">
        <w:t>11,9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rycki — </w:t>
      </w:r>
      <w:r w:rsidR="00D315A8">
        <w:t>11,0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>świdnicki —</w:t>
      </w:r>
      <w:r w:rsidR="00CE3CE0">
        <w:t xml:space="preserve"> </w:t>
      </w:r>
      <w:r w:rsidR="00D315A8">
        <w:t>9,8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>tomaszowski —</w:t>
      </w:r>
      <w:r w:rsidR="00D315A8">
        <w:t xml:space="preserve"> 10,5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włodawski — </w:t>
      </w:r>
      <w:r w:rsidR="00D315A8">
        <w:t>10,5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>zamojski —</w:t>
      </w:r>
      <w:r w:rsidR="00CE3CE0">
        <w:t xml:space="preserve"> </w:t>
      </w:r>
      <w:r w:rsidR="00D315A8">
        <w:t>11,1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m. Biała Podlaska — </w:t>
      </w:r>
      <w:r w:rsidR="00D315A8">
        <w:t>9,9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m. Chełm — </w:t>
      </w:r>
      <w:r w:rsidR="00D315A8">
        <w:t>9,1</w:t>
      </w:r>
      <w:r w:rsidR="00A41F84">
        <w:t>%</w:t>
      </w:r>
      <w:r w:rsidR="00D315A8">
        <w:t>;</w:t>
      </w:r>
    </w:p>
    <w:p w:rsidR="002A09D7" w:rsidRDefault="002A09D7" w:rsidP="002A09D7">
      <w:pPr>
        <w:pStyle w:val="Akapitzlist"/>
        <w:numPr>
          <w:ilvl w:val="1"/>
          <w:numId w:val="28"/>
        </w:numPr>
      </w:pPr>
      <w:r>
        <w:t xml:space="preserve">m. Lublin — </w:t>
      </w:r>
      <w:r w:rsidR="00D315A8">
        <w:t>8,6</w:t>
      </w:r>
      <w:r w:rsidR="00A41F84">
        <w:t>%</w:t>
      </w:r>
      <w:r w:rsidR="00D315A8">
        <w:t>;</w:t>
      </w:r>
    </w:p>
    <w:p w:rsidR="002A09D7" w:rsidRPr="002A09D7" w:rsidRDefault="002A09D7" w:rsidP="002A09D7">
      <w:pPr>
        <w:pStyle w:val="Akapitzlist"/>
        <w:numPr>
          <w:ilvl w:val="1"/>
          <w:numId w:val="28"/>
        </w:numPr>
      </w:pPr>
      <w:r>
        <w:t xml:space="preserve">m. Zamość — </w:t>
      </w:r>
      <w:r w:rsidR="00D315A8">
        <w:t>9,2</w:t>
      </w:r>
      <w:r w:rsidR="00A41F84">
        <w:t>%</w:t>
      </w:r>
      <w:r w:rsidR="00D315A8">
        <w:t>.</w:t>
      </w:r>
    </w:p>
    <w:p w:rsidR="006B5AF6" w:rsidRDefault="006B5AF6" w:rsidP="006B5AF6">
      <w:pPr>
        <w:pStyle w:val="Nagwek2"/>
      </w:pPr>
      <w:r>
        <w:t>Szacowany średni wiek młodych mężczyzn opuszczających gospodarstwo domowe rodziców (w latach)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Austria — </w:t>
      </w:r>
      <w:r w:rsidR="00A41F84">
        <w:t>26,1;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Belgia — </w:t>
      </w:r>
      <w:r w:rsidR="00A41F84">
        <w:t>26,9;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Bułgaria — </w:t>
      </w:r>
      <w:r w:rsidR="00A41F84">
        <w:t>29,8;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Chorwacja — </w:t>
      </w:r>
      <w:r w:rsidR="00A41F84">
        <w:t>32,7;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Czechy — </w:t>
      </w:r>
      <w:r w:rsidR="00A41F84">
        <w:t>27,1;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Dania — </w:t>
      </w:r>
      <w:r w:rsidR="00A41F84">
        <w:t>22,1;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Estonia — </w:t>
      </w:r>
      <w:r w:rsidR="00A41F84">
        <w:t>22,9;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Finlandia — </w:t>
      </w:r>
      <w:r w:rsidR="00A41F84">
        <w:t>22,1;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Francja — </w:t>
      </w:r>
      <w:r w:rsidR="00A41F84">
        <w:t>24,1;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Grecja — </w:t>
      </w:r>
      <w:r w:rsidR="00A41F84">
        <w:t>32,5;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Hiszpania — </w:t>
      </w:r>
      <w:r w:rsidR="00A41F84">
        <w:t>30,5;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Holandia — </w:t>
      </w:r>
      <w:r w:rsidR="00A41F84">
        <w:t>23,8;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Irlandia — </w:t>
      </w:r>
      <w:r w:rsidR="00A41F84">
        <w:t>27,4;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Litwa — </w:t>
      </w:r>
      <w:r w:rsidR="00A41F84">
        <w:t>24,2;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Łotwa — </w:t>
      </w:r>
      <w:r w:rsidR="00A41F84">
        <w:t>27,7;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Niemcy — </w:t>
      </w:r>
      <w:r w:rsidR="00A41F84">
        <w:t>24,6;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Polska — </w:t>
      </w:r>
      <w:r w:rsidR="00A41F84">
        <w:t>27,7;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Portugalia — </w:t>
      </w:r>
      <w:r w:rsidR="00A41F84">
        <w:t>29,8;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Rumunia — </w:t>
      </w:r>
      <w:r w:rsidR="00A41F84">
        <w:t>29,5;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lastRenderedPageBreak/>
        <w:t xml:space="preserve">Serbia — </w:t>
      </w:r>
      <w:r w:rsidR="00A41F84">
        <w:t>32,1;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Słowacja — </w:t>
      </w:r>
      <w:r w:rsidR="00A41F84">
        <w:t>32,3;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Słowenia — </w:t>
      </w:r>
      <w:r w:rsidR="00A41F84">
        <w:t>30,0;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Szwecja — </w:t>
      </w:r>
      <w:r w:rsidR="00A41F84">
        <w:t>22,2;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Węgry — </w:t>
      </w:r>
      <w:r w:rsidR="00A41F84">
        <w:t>28,3;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Włochy — </w:t>
      </w:r>
      <w:r w:rsidR="00A41F84">
        <w:t>30,9</w:t>
      </w:r>
      <w:r w:rsidR="00F76D51">
        <w:t>.</w:t>
      </w:r>
    </w:p>
    <w:p w:rsidR="006433AB" w:rsidRDefault="006433AB" w:rsidP="00C5634A">
      <w:r>
        <w:t>Dane: Eurostat</w:t>
      </w:r>
    </w:p>
    <w:p w:rsidR="006B5AF6" w:rsidRDefault="006B5AF6" w:rsidP="006B5AF6">
      <w:pPr>
        <w:pStyle w:val="Nagwek2"/>
      </w:pPr>
      <w:r>
        <w:t>Szacowany średni wiek młodych kobiet opuszczających gospodarstwo domowe rodziców (w latach)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Austria — </w:t>
      </w:r>
      <w:r w:rsidR="00F76D51">
        <w:t>24,4</w:t>
      </w:r>
    </w:p>
    <w:p w:rsidR="00FD5BAB" w:rsidRDefault="00C5634A" w:rsidP="00A41F84">
      <w:pPr>
        <w:pStyle w:val="Akapitzlist"/>
        <w:numPr>
          <w:ilvl w:val="0"/>
          <w:numId w:val="37"/>
        </w:numPr>
      </w:pPr>
      <w:r>
        <w:t xml:space="preserve">Belgia — </w:t>
      </w:r>
      <w:r w:rsidR="00F76D51">
        <w:t>25,5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Bułgaria — </w:t>
      </w:r>
      <w:r w:rsidR="00F76D51">
        <w:t>26,4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Chorwacja — </w:t>
      </w:r>
      <w:r w:rsidR="00F76D51">
        <w:t>29,8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Czechy — </w:t>
      </w:r>
      <w:r w:rsidR="00F76D51">
        <w:t>24,4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Dania — </w:t>
      </w:r>
      <w:r w:rsidR="00F76D51">
        <w:t>21,4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Estonia — </w:t>
      </w:r>
      <w:r w:rsidR="00F76D51">
        <w:t>21,9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Finlandia — </w:t>
      </w:r>
      <w:r w:rsidR="00F76D51">
        <w:t>20,8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Francja — </w:t>
      </w:r>
      <w:r w:rsidR="00F76D51">
        <w:t>22,8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Grecja — </w:t>
      </w:r>
      <w:r w:rsidR="00F76D51">
        <w:t>28,9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Hiszpania — </w:t>
      </w:r>
      <w:r w:rsidR="00F76D51">
        <w:t>29,4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Holandia — </w:t>
      </w:r>
      <w:r w:rsidR="00F76D51">
        <w:t>22,6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Irlandia — </w:t>
      </w:r>
      <w:r w:rsidR="00F76D51">
        <w:t>26,3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Litwa — </w:t>
      </w:r>
      <w:r w:rsidR="00F76D51">
        <w:t>22,9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Łotwa — </w:t>
      </w:r>
      <w:r w:rsidR="00F76D51">
        <w:t>25,4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Niemcy — </w:t>
      </w:r>
      <w:r w:rsidR="00F76D51">
        <w:t>23,1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Polska — </w:t>
      </w:r>
      <w:r w:rsidR="00F76D51">
        <w:t>25,7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Portugalia — </w:t>
      </w:r>
      <w:r w:rsidR="00F76D51">
        <w:t>28,0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Rumunia — </w:t>
      </w:r>
      <w:r w:rsidR="00F76D51">
        <w:t>25,0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Serbia — </w:t>
      </w:r>
      <w:r w:rsidR="00F76D51">
        <w:t>28,3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Słowacja — </w:t>
      </w:r>
      <w:r w:rsidR="00F76D51">
        <w:t>29,5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Słowenia — </w:t>
      </w:r>
      <w:r w:rsidR="00F76D51">
        <w:t>27,7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Szwecja — </w:t>
      </w:r>
      <w:r w:rsidR="00F76D51">
        <w:t>21,6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Węgry — </w:t>
      </w:r>
      <w:r w:rsidR="00F76D51">
        <w:t>25,9</w:t>
      </w:r>
    </w:p>
    <w:p w:rsidR="00C5634A" w:rsidRDefault="00C5634A" w:rsidP="00C5634A">
      <w:pPr>
        <w:pStyle w:val="Akapitzlist"/>
        <w:numPr>
          <w:ilvl w:val="0"/>
          <w:numId w:val="37"/>
        </w:numPr>
      </w:pPr>
      <w:r>
        <w:t xml:space="preserve">Włochy — </w:t>
      </w:r>
      <w:r w:rsidR="00F76D51">
        <w:t>29,2.</w:t>
      </w:r>
    </w:p>
    <w:p w:rsidR="006433AB" w:rsidRDefault="006433AB" w:rsidP="00C5634A">
      <w:r>
        <w:t>Dane: Eurostat</w:t>
      </w:r>
    </w:p>
    <w:p w:rsidR="006B5AF6" w:rsidRDefault="006B5AF6" w:rsidP="006B5AF6">
      <w:pPr>
        <w:pStyle w:val="Nagwek2"/>
      </w:pPr>
      <w:r>
        <w:lastRenderedPageBreak/>
        <w:t>Aktywność eko</w:t>
      </w:r>
      <w:r w:rsidR="00232853">
        <w:t>nomiczna ludności (</w:t>
      </w:r>
      <w:r w:rsidR="007213E0">
        <w:t xml:space="preserve">osoby w wieku 15-24 lata. </w:t>
      </w:r>
      <w:r w:rsidR="00632B80">
        <w:t>S</w:t>
      </w:r>
      <w:r w:rsidR="00232853">
        <w:t>tan w IV kwartale)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Pracujący:</w:t>
      </w:r>
    </w:p>
    <w:p w:rsidR="00232853" w:rsidRDefault="00232853" w:rsidP="00232853">
      <w:pPr>
        <w:pStyle w:val="Akapitzlist"/>
        <w:numPr>
          <w:ilvl w:val="1"/>
          <w:numId w:val="38"/>
        </w:numPr>
      </w:pPr>
      <w:r>
        <w:t>202</w:t>
      </w:r>
      <w:r w:rsidR="005B584E">
        <w:t>3</w:t>
      </w:r>
      <w:r>
        <w:t xml:space="preserve"> rok — </w:t>
      </w:r>
      <w:r w:rsidR="00F76D51">
        <w:t>52 tysięcy;</w:t>
      </w:r>
    </w:p>
    <w:p w:rsidR="00F76D51" w:rsidRDefault="00F76D51" w:rsidP="00232853">
      <w:pPr>
        <w:pStyle w:val="Akapitzlist"/>
        <w:numPr>
          <w:ilvl w:val="1"/>
          <w:numId w:val="38"/>
        </w:numPr>
      </w:pPr>
      <w:r>
        <w:t>202</w:t>
      </w:r>
      <w:r w:rsidR="005B584E">
        <w:t>4</w:t>
      </w:r>
      <w:r>
        <w:t xml:space="preserve"> rok — 50 tysięcy;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Bezrobotni:</w:t>
      </w:r>
    </w:p>
    <w:p w:rsidR="00F76D51" w:rsidRDefault="00F76D51" w:rsidP="00F76D51">
      <w:pPr>
        <w:pStyle w:val="Akapitzlist"/>
        <w:numPr>
          <w:ilvl w:val="1"/>
          <w:numId w:val="38"/>
        </w:numPr>
      </w:pPr>
      <w:r>
        <w:t>202</w:t>
      </w:r>
      <w:r w:rsidR="005B584E">
        <w:t>3</w:t>
      </w:r>
      <w:r>
        <w:t xml:space="preserve"> rok — 8 tysięcy;</w:t>
      </w:r>
    </w:p>
    <w:p w:rsidR="00F76D51" w:rsidRDefault="00F76D51" w:rsidP="00F76D51">
      <w:pPr>
        <w:pStyle w:val="Akapitzlist"/>
        <w:numPr>
          <w:ilvl w:val="1"/>
          <w:numId w:val="38"/>
        </w:numPr>
      </w:pPr>
      <w:r>
        <w:t>202</w:t>
      </w:r>
      <w:r w:rsidR="005B584E">
        <w:t>4</w:t>
      </w:r>
      <w:r>
        <w:t xml:space="preserve"> rok — 14 tysięcy;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Bierni zawodowo:</w:t>
      </w:r>
    </w:p>
    <w:p w:rsidR="00F76D51" w:rsidRDefault="00F76D51" w:rsidP="00F76D51">
      <w:pPr>
        <w:pStyle w:val="Akapitzlist"/>
        <w:numPr>
          <w:ilvl w:val="1"/>
          <w:numId w:val="38"/>
        </w:numPr>
      </w:pPr>
      <w:r>
        <w:t>202</w:t>
      </w:r>
      <w:r w:rsidR="005B584E">
        <w:t>3</w:t>
      </w:r>
      <w:r>
        <w:t xml:space="preserve"> rok — 138,0 tysięcy;</w:t>
      </w:r>
    </w:p>
    <w:p w:rsidR="00F76D51" w:rsidRDefault="00F76D51" w:rsidP="00F76D51">
      <w:pPr>
        <w:pStyle w:val="Akapitzlist"/>
        <w:numPr>
          <w:ilvl w:val="1"/>
          <w:numId w:val="38"/>
        </w:numPr>
      </w:pPr>
      <w:r>
        <w:t>202</w:t>
      </w:r>
      <w:r w:rsidR="005B584E">
        <w:t>4</w:t>
      </w:r>
      <w:r>
        <w:t xml:space="preserve"> rok — 133,0 tysięcy;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Współczynnik aktywności zawodowej:</w:t>
      </w:r>
    </w:p>
    <w:p w:rsidR="00F76D51" w:rsidRDefault="00F76D51" w:rsidP="00F76D51">
      <w:pPr>
        <w:pStyle w:val="Akapitzlist"/>
        <w:numPr>
          <w:ilvl w:val="1"/>
          <w:numId w:val="38"/>
        </w:numPr>
      </w:pPr>
      <w:r>
        <w:t>202</w:t>
      </w:r>
      <w:r w:rsidR="005B584E">
        <w:t>3</w:t>
      </w:r>
      <w:r>
        <w:t xml:space="preserve"> rok — 30,3%;</w:t>
      </w:r>
    </w:p>
    <w:p w:rsidR="00F76D51" w:rsidRDefault="00F76D51" w:rsidP="00F76D51">
      <w:pPr>
        <w:pStyle w:val="Akapitzlist"/>
        <w:numPr>
          <w:ilvl w:val="1"/>
          <w:numId w:val="38"/>
        </w:numPr>
      </w:pPr>
      <w:r>
        <w:t>202</w:t>
      </w:r>
      <w:r w:rsidR="005B584E">
        <w:t>4</w:t>
      </w:r>
      <w:r>
        <w:t xml:space="preserve"> rok — 32,3%;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Wskaźniki zatrudnienia:</w:t>
      </w:r>
    </w:p>
    <w:p w:rsidR="00F76D51" w:rsidRDefault="00F76D51" w:rsidP="00F76D51">
      <w:pPr>
        <w:pStyle w:val="Akapitzlist"/>
        <w:numPr>
          <w:ilvl w:val="1"/>
          <w:numId w:val="38"/>
        </w:numPr>
      </w:pPr>
      <w:r>
        <w:t>202</w:t>
      </w:r>
      <w:r w:rsidR="005B584E">
        <w:t>3</w:t>
      </w:r>
      <w:r>
        <w:t xml:space="preserve"> rok — 26,3%;</w:t>
      </w:r>
    </w:p>
    <w:p w:rsidR="00F76D51" w:rsidRDefault="00F76D51" w:rsidP="00F76D51">
      <w:pPr>
        <w:pStyle w:val="Akapitzlist"/>
        <w:numPr>
          <w:ilvl w:val="1"/>
          <w:numId w:val="38"/>
        </w:numPr>
      </w:pPr>
      <w:r>
        <w:t>202</w:t>
      </w:r>
      <w:r w:rsidR="005B584E">
        <w:t>4</w:t>
      </w:r>
      <w:r>
        <w:t xml:space="preserve"> rok — 25,3%;</w:t>
      </w:r>
    </w:p>
    <w:p w:rsidR="00232853" w:rsidRDefault="00232853" w:rsidP="00232853">
      <w:pPr>
        <w:pStyle w:val="Akapitzlist"/>
        <w:numPr>
          <w:ilvl w:val="0"/>
          <w:numId w:val="38"/>
        </w:numPr>
      </w:pPr>
      <w:r>
        <w:t>Stopa bezrobocia:</w:t>
      </w:r>
    </w:p>
    <w:p w:rsidR="00F76D51" w:rsidRDefault="00F76D51" w:rsidP="00F76D51">
      <w:pPr>
        <w:pStyle w:val="Akapitzlist"/>
        <w:numPr>
          <w:ilvl w:val="1"/>
          <w:numId w:val="38"/>
        </w:numPr>
      </w:pPr>
      <w:r>
        <w:t>202</w:t>
      </w:r>
      <w:r w:rsidR="005B584E">
        <w:t>3</w:t>
      </w:r>
      <w:r>
        <w:t xml:space="preserve"> rok — 13,3%;</w:t>
      </w:r>
    </w:p>
    <w:p w:rsidR="00F76D51" w:rsidRDefault="00F76D51" w:rsidP="00F76D51">
      <w:pPr>
        <w:pStyle w:val="Akapitzlist"/>
        <w:numPr>
          <w:ilvl w:val="1"/>
          <w:numId w:val="38"/>
        </w:numPr>
      </w:pPr>
      <w:r>
        <w:t>202</w:t>
      </w:r>
      <w:r w:rsidR="005B584E">
        <w:t>4</w:t>
      </w:r>
      <w:r>
        <w:t xml:space="preserve"> rok — 21,9%.</w:t>
      </w:r>
    </w:p>
    <w:p w:rsidR="00232853" w:rsidRDefault="00232853" w:rsidP="00232853">
      <w:pPr>
        <w:pStyle w:val="Nagwek2"/>
      </w:pPr>
      <w:r>
        <w:t>Uczestnictwo młodzieży w prywatnych podróżach turystycznych (mieszkańcy Polski według grup wiekowych)</w:t>
      </w:r>
    </w:p>
    <w:p w:rsidR="00232853" w:rsidRDefault="00232853" w:rsidP="00232853">
      <w:pPr>
        <w:pStyle w:val="Akapitzlist"/>
        <w:numPr>
          <w:ilvl w:val="0"/>
          <w:numId w:val="39"/>
        </w:numPr>
      </w:pPr>
      <w:r>
        <w:t>2015 rok:</w:t>
      </w:r>
    </w:p>
    <w:p w:rsidR="00232853" w:rsidRDefault="00232853" w:rsidP="00232853">
      <w:pPr>
        <w:pStyle w:val="Akapitzlist"/>
        <w:numPr>
          <w:ilvl w:val="1"/>
          <w:numId w:val="39"/>
        </w:numPr>
      </w:pPr>
      <w:r>
        <w:t>15-19 lat — 1504,7 tysięcy;</w:t>
      </w:r>
    </w:p>
    <w:p w:rsidR="00232853" w:rsidRDefault="00232853" w:rsidP="00232853">
      <w:pPr>
        <w:pStyle w:val="Akapitzlist"/>
        <w:numPr>
          <w:ilvl w:val="1"/>
          <w:numId w:val="39"/>
        </w:numPr>
      </w:pPr>
      <w:r>
        <w:t>20-24 lat — 1</w:t>
      </w:r>
      <w:r w:rsidR="006433AB">
        <w:t>632,2</w:t>
      </w:r>
      <w:r>
        <w:t xml:space="preserve"> tysięcy;</w:t>
      </w:r>
    </w:p>
    <w:p w:rsidR="00232853" w:rsidRDefault="00232853" w:rsidP="00232853">
      <w:pPr>
        <w:pStyle w:val="Akapitzlist"/>
        <w:numPr>
          <w:ilvl w:val="0"/>
          <w:numId w:val="39"/>
        </w:numPr>
      </w:pPr>
      <w:r>
        <w:t>202</w:t>
      </w:r>
      <w:r w:rsidR="005B584E">
        <w:t xml:space="preserve">4 </w:t>
      </w:r>
      <w:r>
        <w:t>rok:</w:t>
      </w:r>
    </w:p>
    <w:p w:rsidR="00232853" w:rsidRDefault="00232853" w:rsidP="00232853">
      <w:pPr>
        <w:pStyle w:val="Akapitzlist"/>
        <w:numPr>
          <w:ilvl w:val="1"/>
          <w:numId w:val="39"/>
        </w:numPr>
      </w:pPr>
      <w:r>
        <w:t xml:space="preserve">15-19 lat — </w:t>
      </w:r>
      <w:r w:rsidR="005B584E">
        <w:t>2069,7</w:t>
      </w:r>
      <w:r>
        <w:t xml:space="preserve"> tysięcy;</w:t>
      </w:r>
    </w:p>
    <w:p w:rsidR="00232853" w:rsidRDefault="00232853" w:rsidP="00232853">
      <w:pPr>
        <w:pStyle w:val="Akapitzlist"/>
        <w:numPr>
          <w:ilvl w:val="1"/>
          <w:numId w:val="39"/>
        </w:numPr>
      </w:pPr>
      <w:r>
        <w:t>20-24 lat — 1</w:t>
      </w:r>
      <w:r w:rsidR="005B584E">
        <w:t>181,5</w:t>
      </w:r>
      <w:bookmarkStart w:id="0" w:name="_GoBack"/>
      <w:bookmarkEnd w:id="0"/>
      <w:r>
        <w:t xml:space="preserve"> tysięcy</w:t>
      </w:r>
      <w:r w:rsidR="006433AB">
        <w:t>.</w:t>
      </w:r>
    </w:p>
    <w:p w:rsidR="006433AB" w:rsidRDefault="006433AB" w:rsidP="006433AB">
      <w:r>
        <w:t>Dane: GUS „Turystyka w 2</w:t>
      </w:r>
      <w:r w:rsidR="00F76D51">
        <w:t>015</w:t>
      </w:r>
      <w:r>
        <w:t xml:space="preserve"> roku” oraz „Turystyka w 20</w:t>
      </w:r>
      <w:r w:rsidR="00F76D51">
        <w:t>24</w:t>
      </w:r>
      <w:r>
        <w:t xml:space="preserve"> roku”</w:t>
      </w:r>
    </w:p>
    <w:p w:rsidR="006433AB" w:rsidRDefault="006433AB" w:rsidP="006433AB">
      <w:pPr>
        <w:pStyle w:val="Nagwek2"/>
      </w:pPr>
      <w:r>
        <w:t>Nowożeńcy w wieku 24 lat i mniej</w:t>
      </w:r>
    </w:p>
    <w:p w:rsidR="006433AB" w:rsidRDefault="006433AB" w:rsidP="006433AB">
      <w:pPr>
        <w:pStyle w:val="Akapitzlist"/>
        <w:numPr>
          <w:ilvl w:val="0"/>
          <w:numId w:val="40"/>
        </w:numPr>
      </w:pPr>
      <w:r>
        <w:t xml:space="preserve">Kobiety — </w:t>
      </w:r>
      <w:r w:rsidR="00F76D51">
        <w:t>1312;</w:t>
      </w:r>
    </w:p>
    <w:p w:rsidR="006433AB" w:rsidRPr="006433AB" w:rsidRDefault="006433AB" w:rsidP="006433AB">
      <w:pPr>
        <w:pStyle w:val="Akapitzlist"/>
        <w:numPr>
          <w:ilvl w:val="0"/>
          <w:numId w:val="40"/>
        </w:numPr>
      </w:pPr>
      <w:r>
        <w:t xml:space="preserve">Mężczyźni — </w:t>
      </w:r>
      <w:r w:rsidR="00F76D51">
        <w:t>572</w:t>
      </w:r>
      <w:r>
        <w:t>.</w:t>
      </w:r>
    </w:p>
    <w:p w:rsidR="003508D2" w:rsidRDefault="003508D2" w:rsidP="003508D2">
      <w:pPr>
        <w:pStyle w:val="Nagwek2"/>
      </w:pPr>
      <w:r>
        <w:lastRenderedPageBreak/>
        <w:t>Dolny pasek w infografice</w:t>
      </w:r>
    </w:p>
    <w:p w:rsidR="003508D2" w:rsidRDefault="003508D2" w:rsidP="003508D2">
      <w:r>
        <w:t xml:space="preserve">Dane: </w:t>
      </w:r>
      <w:r w:rsidR="006433AB">
        <w:t>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632B80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6" w:history="1">
        <w:r w:rsidRPr="00871E62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D31B2"/>
    <w:multiLevelType w:val="hybridMultilevel"/>
    <w:tmpl w:val="7BC0F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E7044"/>
    <w:multiLevelType w:val="hybridMultilevel"/>
    <w:tmpl w:val="7E923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85C9A"/>
    <w:multiLevelType w:val="hybridMultilevel"/>
    <w:tmpl w:val="8E7E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45AE1"/>
    <w:multiLevelType w:val="hybridMultilevel"/>
    <w:tmpl w:val="817AB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71A3A"/>
    <w:multiLevelType w:val="hybridMultilevel"/>
    <w:tmpl w:val="A724A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13CC7"/>
    <w:multiLevelType w:val="hybridMultilevel"/>
    <w:tmpl w:val="9EF84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702BB"/>
    <w:multiLevelType w:val="hybridMultilevel"/>
    <w:tmpl w:val="00BC6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2"/>
  </w:num>
  <w:num w:numId="3">
    <w:abstractNumId w:val="30"/>
  </w:num>
  <w:num w:numId="4">
    <w:abstractNumId w:val="13"/>
  </w:num>
  <w:num w:numId="5">
    <w:abstractNumId w:val="31"/>
  </w:num>
  <w:num w:numId="6">
    <w:abstractNumId w:val="8"/>
  </w:num>
  <w:num w:numId="7">
    <w:abstractNumId w:val="34"/>
  </w:num>
  <w:num w:numId="8">
    <w:abstractNumId w:val="9"/>
  </w:num>
  <w:num w:numId="9">
    <w:abstractNumId w:val="29"/>
  </w:num>
  <w:num w:numId="10">
    <w:abstractNumId w:val="3"/>
  </w:num>
  <w:num w:numId="11">
    <w:abstractNumId w:val="11"/>
  </w:num>
  <w:num w:numId="12">
    <w:abstractNumId w:val="23"/>
  </w:num>
  <w:num w:numId="13">
    <w:abstractNumId w:val="26"/>
  </w:num>
  <w:num w:numId="14">
    <w:abstractNumId w:val="39"/>
  </w:num>
  <w:num w:numId="15">
    <w:abstractNumId w:val="28"/>
  </w:num>
  <w:num w:numId="16">
    <w:abstractNumId w:val="19"/>
  </w:num>
  <w:num w:numId="17">
    <w:abstractNumId w:val="36"/>
  </w:num>
  <w:num w:numId="18">
    <w:abstractNumId w:val="10"/>
  </w:num>
  <w:num w:numId="19">
    <w:abstractNumId w:val="12"/>
  </w:num>
  <w:num w:numId="20">
    <w:abstractNumId w:val="33"/>
  </w:num>
  <w:num w:numId="21">
    <w:abstractNumId w:val="14"/>
  </w:num>
  <w:num w:numId="22">
    <w:abstractNumId w:val="4"/>
  </w:num>
  <w:num w:numId="23">
    <w:abstractNumId w:val="35"/>
  </w:num>
  <w:num w:numId="24">
    <w:abstractNumId w:val="16"/>
  </w:num>
  <w:num w:numId="25">
    <w:abstractNumId w:val="24"/>
  </w:num>
  <w:num w:numId="26">
    <w:abstractNumId w:val="15"/>
  </w:num>
  <w:num w:numId="27">
    <w:abstractNumId w:val="0"/>
  </w:num>
  <w:num w:numId="28">
    <w:abstractNumId w:val="25"/>
  </w:num>
  <w:num w:numId="29">
    <w:abstractNumId w:val="27"/>
  </w:num>
  <w:num w:numId="30">
    <w:abstractNumId w:val="20"/>
  </w:num>
  <w:num w:numId="31">
    <w:abstractNumId w:val="17"/>
  </w:num>
  <w:num w:numId="32">
    <w:abstractNumId w:val="18"/>
  </w:num>
  <w:num w:numId="33">
    <w:abstractNumId w:val="1"/>
  </w:num>
  <w:num w:numId="34">
    <w:abstractNumId w:val="7"/>
  </w:num>
  <w:num w:numId="35">
    <w:abstractNumId w:val="37"/>
  </w:num>
  <w:num w:numId="36">
    <w:abstractNumId w:val="38"/>
  </w:num>
  <w:num w:numId="37">
    <w:abstractNumId w:val="2"/>
  </w:num>
  <w:num w:numId="38">
    <w:abstractNumId w:val="22"/>
  </w:num>
  <w:num w:numId="39">
    <w:abstractNumId w:val="21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23D0C"/>
    <w:rsid w:val="00026D41"/>
    <w:rsid w:val="00070422"/>
    <w:rsid w:val="000D04A8"/>
    <w:rsid w:val="000E42E4"/>
    <w:rsid w:val="000F4299"/>
    <w:rsid w:val="00101AF8"/>
    <w:rsid w:val="001732A7"/>
    <w:rsid w:val="00174881"/>
    <w:rsid w:val="001975F9"/>
    <w:rsid w:val="001A5B8E"/>
    <w:rsid w:val="001C0002"/>
    <w:rsid w:val="001D587B"/>
    <w:rsid w:val="00232853"/>
    <w:rsid w:val="00267137"/>
    <w:rsid w:val="002A09D7"/>
    <w:rsid w:val="00303C89"/>
    <w:rsid w:val="003508D2"/>
    <w:rsid w:val="00412BE6"/>
    <w:rsid w:val="00447BB7"/>
    <w:rsid w:val="004D2AE7"/>
    <w:rsid w:val="004E142D"/>
    <w:rsid w:val="004F3D82"/>
    <w:rsid w:val="00557C7D"/>
    <w:rsid w:val="005B584E"/>
    <w:rsid w:val="005D7340"/>
    <w:rsid w:val="0060617C"/>
    <w:rsid w:val="00632B80"/>
    <w:rsid w:val="006433AB"/>
    <w:rsid w:val="006B5AF6"/>
    <w:rsid w:val="006E1DC5"/>
    <w:rsid w:val="007213E0"/>
    <w:rsid w:val="007F2283"/>
    <w:rsid w:val="00807D8A"/>
    <w:rsid w:val="00811AF4"/>
    <w:rsid w:val="00815241"/>
    <w:rsid w:val="00852444"/>
    <w:rsid w:val="00884F04"/>
    <w:rsid w:val="008928A9"/>
    <w:rsid w:val="008E6E1A"/>
    <w:rsid w:val="009009CC"/>
    <w:rsid w:val="00900CDE"/>
    <w:rsid w:val="00935B03"/>
    <w:rsid w:val="009774E3"/>
    <w:rsid w:val="00993A0E"/>
    <w:rsid w:val="009C44A9"/>
    <w:rsid w:val="00A0138B"/>
    <w:rsid w:val="00A33AB4"/>
    <w:rsid w:val="00A41F84"/>
    <w:rsid w:val="00A90EAB"/>
    <w:rsid w:val="00B073CC"/>
    <w:rsid w:val="00C55CAE"/>
    <w:rsid w:val="00C5634A"/>
    <w:rsid w:val="00C67AA2"/>
    <w:rsid w:val="00CA5A50"/>
    <w:rsid w:val="00CB17E0"/>
    <w:rsid w:val="00CE3CE0"/>
    <w:rsid w:val="00D2085A"/>
    <w:rsid w:val="00D315A8"/>
    <w:rsid w:val="00D36211"/>
    <w:rsid w:val="00D51F61"/>
    <w:rsid w:val="00D67B7C"/>
    <w:rsid w:val="00DB4F87"/>
    <w:rsid w:val="00DD1887"/>
    <w:rsid w:val="00E02D2F"/>
    <w:rsid w:val="00E166AD"/>
    <w:rsid w:val="00E309D2"/>
    <w:rsid w:val="00E3557C"/>
    <w:rsid w:val="00E50B3A"/>
    <w:rsid w:val="00E64E96"/>
    <w:rsid w:val="00EA2598"/>
    <w:rsid w:val="00EF4F0B"/>
    <w:rsid w:val="00EF5235"/>
    <w:rsid w:val="00EF6073"/>
    <w:rsid w:val="00F25891"/>
    <w:rsid w:val="00F45DCD"/>
    <w:rsid w:val="00F76D51"/>
    <w:rsid w:val="00F83CFB"/>
    <w:rsid w:val="00F931C4"/>
    <w:rsid w:val="00FC562C"/>
    <w:rsid w:val="00F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9D38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09CC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7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Międzynarodowy Dzień Młodzieży — 12 sierpnia (infografika) – opis alternatywny</vt:lpstr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Międzynarodowy Dzień Młodzieży — 12 sierpnia (infografika) – opis alternatywny</dc:title>
  <dc:subject/>
  <dc:creator>Szymkiewicz Szymon</dc:creator>
  <cp:keywords/>
  <dc:description/>
  <cp:lastModifiedBy>Szymkiewicz Szymon</cp:lastModifiedBy>
  <cp:revision>33</cp:revision>
  <dcterms:created xsi:type="dcterms:W3CDTF">2023-06-14T09:24:00Z</dcterms:created>
  <dcterms:modified xsi:type="dcterms:W3CDTF">2025-07-04T10:08:00Z</dcterms:modified>
</cp:coreProperties>
</file>