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FC21D" w14:textId="77777777" w:rsidR="00E93124" w:rsidRDefault="00E93124" w:rsidP="003508D2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 w:rsidRPr="00E93124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Początek Roku Szkolnego 2026 - infografika. Opis alternatywny infografiki</w:t>
      </w:r>
    </w:p>
    <w:p w14:paraId="62E84FCB" w14:textId="74BCDDD2" w:rsidR="003508D2" w:rsidRPr="00D12CB4" w:rsidRDefault="003508D2" w:rsidP="003508D2">
      <w:r>
        <w:t xml:space="preserve">Infografika dotyczy </w:t>
      </w:r>
      <w:r w:rsidR="00582893">
        <w:t>edukacji</w:t>
      </w:r>
      <w:r w:rsidR="00E93124">
        <w:t xml:space="preserve"> dzieci i młodzieży</w:t>
      </w:r>
      <w:r w:rsidR="00582893">
        <w:t xml:space="preserve"> w województwie lubelskim</w:t>
      </w:r>
      <w:r w:rsidR="00E93124">
        <w:t xml:space="preserve"> w roku szkolnym 2025/26</w:t>
      </w:r>
    </w:p>
    <w:p w14:paraId="054A12AA" w14:textId="77777777" w:rsidR="003508D2" w:rsidRDefault="003508D2" w:rsidP="003508D2">
      <w:pPr>
        <w:pStyle w:val="Nagwek2"/>
      </w:pPr>
      <w:r>
        <w:t>Górna, graficzna część infografiki</w:t>
      </w:r>
    </w:p>
    <w:p w14:paraId="05BAB72A" w14:textId="268D04C3" w:rsidR="003508D2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E93124">
        <w:t>plecak z przyborami szkolnymi</w:t>
      </w:r>
      <w:r w:rsidR="003253E2">
        <w:t>,</w:t>
      </w:r>
      <w:r>
        <w:t xml:space="preserve"> widnieje logo Urzędu Statystycznego w Lublinie</w:t>
      </w:r>
      <w:r w:rsidR="00E93124">
        <w:t xml:space="preserve">, </w:t>
      </w:r>
      <w:r>
        <w:t>tytuł infografiki oraz datę</w:t>
      </w:r>
      <w:r w:rsidR="00AF766F">
        <w:t>.</w:t>
      </w:r>
    </w:p>
    <w:p w14:paraId="67116A99" w14:textId="48950627" w:rsidR="00725CD7" w:rsidRDefault="00E93124" w:rsidP="00725CD7">
      <w:pPr>
        <w:pStyle w:val="Nagwek2"/>
      </w:pPr>
      <w:r>
        <w:t>Szkoły podstawowe</w:t>
      </w:r>
    </w:p>
    <w:p w14:paraId="19653F9A" w14:textId="77777777" w:rsidR="00E93124" w:rsidRDefault="00E93124" w:rsidP="00E93124">
      <w:r>
        <w:t xml:space="preserve">160280 uczniów szkół podstawowych. O 0,1% więcej niż w 2024/25. </w:t>
      </w:r>
    </w:p>
    <w:p w14:paraId="75E4E79A" w14:textId="74D48E55" w:rsidR="00D8619A" w:rsidRDefault="00E93124" w:rsidP="00E93124">
      <w:r>
        <w:t>Szkół podstawowych 873 – spadek o 1,4% rok do roku</w:t>
      </w:r>
    </w:p>
    <w:p w14:paraId="6995EAD7" w14:textId="5C862475" w:rsidR="00582893" w:rsidRDefault="00E93124" w:rsidP="00582893">
      <w:pPr>
        <w:pStyle w:val="Nagwek2"/>
      </w:pPr>
      <w:r>
        <w:t>Koszt jednostkowy edukacji ucznia szkoły podstawowej. W szkołach prowadzonych przez gminę w 2025 roku</w:t>
      </w:r>
    </w:p>
    <w:p w14:paraId="1B8F8E59" w14:textId="79E89C17" w:rsidR="00582893" w:rsidRDefault="00E93124" w:rsidP="00E93124">
      <w:r>
        <w:t>27272 złotych koszt – o 9,8% więcej niż w 2024 roku.</w:t>
      </w:r>
    </w:p>
    <w:p w14:paraId="18C88889" w14:textId="6BB91BB5" w:rsidR="00E93124" w:rsidRDefault="00E93124" w:rsidP="00E93124">
      <w:r>
        <w:t>Najmniej powiat świdnicki – 22034 złotych.</w:t>
      </w:r>
    </w:p>
    <w:p w14:paraId="2156F7E1" w14:textId="3768EA9C" w:rsidR="00E93124" w:rsidRDefault="00E93124" w:rsidP="00E93124">
      <w:r>
        <w:t>Najwięcej powiat hrubieszowski – 31848 złotych.</w:t>
      </w:r>
    </w:p>
    <w:p w14:paraId="6D54B16A" w14:textId="7A74F43B" w:rsidR="0001176C" w:rsidRDefault="00E93124" w:rsidP="0001176C">
      <w:pPr>
        <w:pStyle w:val="Nagwek2"/>
      </w:pPr>
      <w:r>
        <w:t>Szkoły ponadpodstawowe. W roku szkolnym 2025/26</w:t>
      </w:r>
    </w:p>
    <w:p w14:paraId="79C3EFFF" w14:textId="77C2E596" w:rsidR="00F4126C" w:rsidRDefault="00C20E37" w:rsidP="00E93124">
      <w:pPr>
        <w:pStyle w:val="Akapitzlist"/>
        <w:numPr>
          <w:ilvl w:val="0"/>
          <w:numId w:val="47"/>
        </w:numPr>
      </w:pPr>
      <w:r>
        <w:t>Branżowe pierwszego stopnia – 10,2%;</w:t>
      </w:r>
    </w:p>
    <w:p w14:paraId="0AEEA807" w14:textId="7A8B25EC" w:rsidR="00C20E37" w:rsidRDefault="00C20E37" w:rsidP="00E93124">
      <w:pPr>
        <w:pStyle w:val="Akapitzlist"/>
        <w:numPr>
          <w:ilvl w:val="0"/>
          <w:numId w:val="47"/>
        </w:numPr>
      </w:pPr>
      <w:r>
        <w:t>Branżowe drugiego stopnia –  1,4%;</w:t>
      </w:r>
    </w:p>
    <w:p w14:paraId="64C802D2" w14:textId="36D0F6F9" w:rsidR="00C20E37" w:rsidRDefault="00C20E37" w:rsidP="00E93124">
      <w:pPr>
        <w:pStyle w:val="Akapitzlist"/>
        <w:numPr>
          <w:ilvl w:val="0"/>
          <w:numId w:val="47"/>
        </w:numPr>
      </w:pPr>
      <w:r>
        <w:t>Licea ogólnokształcące – 48,0%;</w:t>
      </w:r>
    </w:p>
    <w:p w14:paraId="099F72A5" w14:textId="55ABDDE3" w:rsidR="00C20E37" w:rsidRDefault="00C20E37" w:rsidP="00E93124">
      <w:pPr>
        <w:pStyle w:val="Akapitzlist"/>
        <w:numPr>
          <w:ilvl w:val="0"/>
          <w:numId w:val="47"/>
        </w:numPr>
      </w:pPr>
      <w:r>
        <w:t>Technika – 39,7%;</w:t>
      </w:r>
    </w:p>
    <w:p w14:paraId="04A43131" w14:textId="01DEA67B" w:rsidR="00C20E37" w:rsidRDefault="00C20E37" w:rsidP="00E93124">
      <w:pPr>
        <w:pStyle w:val="Akapitzlist"/>
        <w:numPr>
          <w:ilvl w:val="0"/>
          <w:numId w:val="47"/>
        </w:numPr>
      </w:pPr>
      <w:r>
        <w:t>Artystyczne ogólnokształcące – 0,7%.</w:t>
      </w:r>
    </w:p>
    <w:p w14:paraId="55A56F1C" w14:textId="30B5BBC8" w:rsidR="00C20E37" w:rsidRDefault="00C20E37" w:rsidP="00C20E37">
      <w:r>
        <w:t>90036 uczniów – wzrost o 0,3% rok do roku.</w:t>
      </w:r>
    </w:p>
    <w:p w14:paraId="6CDB0078" w14:textId="1FDDADF3" w:rsidR="001B52DC" w:rsidRDefault="00C20E37" w:rsidP="001B52DC">
      <w:pPr>
        <w:pStyle w:val="Nagwek2"/>
      </w:pPr>
      <w:r>
        <w:t>Zdawalność egzaminu maturalnego</w:t>
      </w:r>
    </w:p>
    <w:p w14:paraId="28ADFF18" w14:textId="77777777" w:rsidR="00F4126C" w:rsidRDefault="00F4126C" w:rsidP="001B52DC">
      <w:pPr>
        <w:pStyle w:val="Akapitzlist"/>
        <w:numPr>
          <w:ilvl w:val="0"/>
          <w:numId w:val="42"/>
        </w:numPr>
      </w:pPr>
      <w:r>
        <w:t>W 2018 roku:</w:t>
      </w:r>
    </w:p>
    <w:p w14:paraId="36200D2B" w14:textId="77777777" w:rsidR="00F4126C" w:rsidRDefault="00F4126C" w:rsidP="00F4126C">
      <w:pPr>
        <w:pStyle w:val="Akapitzlist"/>
        <w:numPr>
          <w:ilvl w:val="1"/>
          <w:numId w:val="42"/>
        </w:numPr>
      </w:pPr>
      <w:r>
        <w:t>Polska – 93,9;</w:t>
      </w:r>
    </w:p>
    <w:p w14:paraId="69FD7C5F" w14:textId="77777777" w:rsidR="00F4126C" w:rsidRDefault="00F4126C" w:rsidP="00F4126C">
      <w:pPr>
        <w:pStyle w:val="Akapitzlist"/>
        <w:numPr>
          <w:ilvl w:val="1"/>
          <w:numId w:val="42"/>
        </w:numPr>
      </w:pPr>
      <w:r>
        <w:t>Województwo lubelskie – 88,3.</w:t>
      </w:r>
    </w:p>
    <w:p w14:paraId="25005CF0" w14:textId="2E045E3C" w:rsidR="00C20E37" w:rsidRDefault="00C20E37" w:rsidP="00C20E37">
      <w:pPr>
        <w:pStyle w:val="Nagwek2"/>
      </w:pPr>
      <w:r>
        <w:lastRenderedPageBreak/>
        <w:t>Nauczanie domowe. W roku szkolnym 2025/26</w:t>
      </w:r>
    </w:p>
    <w:p w14:paraId="78A001D4" w14:textId="7C19E887" w:rsidR="00C20E37" w:rsidRPr="00C20E37" w:rsidRDefault="00C20E37" w:rsidP="00C20E37">
      <w:r>
        <w:t>981 uczniów. O 0,2% więcej rok do roku. 95,0% uczniów w szkołach niepublicznych</w:t>
      </w:r>
    </w:p>
    <w:p w14:paraId="7C481647" w14:textId="77777777" w:rsidR="003508D2" w:rsidRDefault="003508D2" w:rsidP="003508D2">
      <w:pPr>
        <w:pStyle w:val="Nagwek2"/>
      </w:pPr>
      <w:r>
        <w:t>Dolny pasek w infografice</w:t>
      </w:r>
    </w:p>
    <w:p w14:paraId="748B9A6D" w14:textId="529B8799" w:rsidR="003508D2" w:rsidRDefault="003508D2" w:rsidP="00AC1434">
      <w:r>
        <w:t xml:space="preserve">Dane: </w:t>
      </w:r>
      <w:r w:rsidR="00AC1434">
        <w:t>Przeliczenia na podstawie danych GUS oraz</w:t>
      </w:r>
      <w:r w:rsidR="00AC1434">
        <w:t xml:space="preserve"> </w:t>
      </w:r>
      <w:r w:rsidR="00AC1434">
        <w:t>Ministerstwa Edukacji Narodowej</w:t>
      </w:r>
    </w:p>
    <w:p w14:paraId="2AB03286" w14:textId="77777777" w:rsidR="003508D2" w:rsidRDefault="003508D2" w:rsidP="003508D2">
      <w:r>
        <w:t>Opracowanie: Lubelski Ośrodek Badań Regionalnych</w:t>
      </w:r>
    </w:p>
    <w:p w14:paraId="448EF9F3" w14:textId="77777777" w:rsidR="003508D2" w:rsidRDefault="003508D2" w:rsidP="003508D2">
      <w:r>
        <w:t>Prosimy o podanie źródła przy publikowaniu danych Urzędu Statystycznego w Lublinie</w:t>
      </w:r>
    </w:p>
    <w:p w14:paraId="3C17ACC1" w14:textId="77777777"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14:paraId="734B3AE8" w14:textId="77777777"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281FCB79" w14:textId="77777777" w:rsidR="003508D2" w:rsidRDefault="00E63377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6" w:history="1">
        <w:r w:rsidRPr="00E84A02">
          <w:rPr>
            <w:rStyle w:val="Hipercze"/>
          </w:rPr>
          <w:t>https://x.com/Lublin_STAT</w:t>
        </w:r>
      </w:hyperlink>
      <w:r>
        <w:t xml:space="preserve"> </w:t>
      </w:r>
    </w:p>
    <w:p w14:paraId="66CD97BA" w14:textId="32789A46" w:rsidR="003508D2" w:rsidRDefault="003508D2" w:rsidP="003508D2">
      <w:r>
        <w:t xml:space="preserve">Link na stronę internetową Urzędu Statystycznego w Lublinie </w:t>
      </w:r>
      <w:hyperlink r:id="rId7" w:history="1">
        <w:r w:rsidR="00AC1434" w:rsidRPr="001C1079">
          <w:rPr>
            <w:rStyle w:val="Hipercze"/>
          </w:rPr>
          <w:t>https://lublin.new.stat.gov.pl/</w:t>
        </w:r>
      </w:hyperlink>
      <w:r>
        <w:t xml:space="preserve"> </w:t>
      </w:r>
    </w:p>
    <w:p w14:paraId="7842B24D" w14:textId="77777777" w:rsidR="003508D2" w:rsidRPr="00E877BA" w:rsidRDefault="003508D2" w:rsidP="003508D2"/>
    <w:p w14:paraId="31BF3E37" w14:textId="77777777"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30825"/>
    <w:multiLevelType w:val="hybridMultilevel"/>
    <w:tmpl w:val="5A36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80636"/>
    <w:multiLevelType w:val="hybridMultilevel"/>
    <w:tmpl w:val="E070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75FDE"/>
    <w:multiLevelType w:val="hybridMultilevel"/>
    <w:tmpl w:val="35126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D119F"/>
    <w:multiLevelType w:val="hybridMultilevel"/>
    <w:tmpl w:val="87E61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85131F"/>
    <w:multiLevelType w:val="hybridMultilevel"/>
    <w:tmpl w:val="871C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00369"/>
    <w:multiLevelType w:val="hybridMultilevel"/>
    <w:tmpl w:val="19DC6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310CF1"/>
    <w:multiLevelType w:val="hybridMultilevel"/>
    <w:tmpl w:val="70061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500B75"/>
    <w:multiLevelType w:val="hybridMultilevel"/>
    <w:tmpl w:val="9618B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A4275"/>
    <w:multiLevelType w:val="hybridMultilevel"/>
    <w:tmpl w:val="86304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51E33"/>
    <w:multiLevelType w:val="hybridMultilevel"/>
    <w:tmpl w:val="74F08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51C34"/>
    <w:multiLevelType w:val="hybridMultilevel"/>
    <w:tmpl w:val="6C520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9D1E08"/>
    <w:multiLevelType w:val="hybridMultilevel"/>
    <w:tmpl w:val="B54E1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C4A39"/>
    <w:multiLevelType w:val="hybridMultilevel"/>
    <w:tmpl w:val="6BEE2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9"/>
  </w:num>
  <w:num w:numId="3">
    <w:abstractNumId w:val="35"/>
  </w:num>
  <w:num w:numId="4">
    <w:abstractNumId w:val="14"/>
  </w:num>
  <w:num w:numId="5">
    <w:abstractNumId w:val="38"/>
  </w:num>
  <w:num w:numId="6">
    <w:abstractNumId w:val="8"/>
  </w:num>
  <w:num w:numId="7">
    <w:abstractNumId w:val="41"/>
  </w:num>
  <w:num w:numId="8">
    <w:abstractNumId w:val="9"/>
  </w:num>
  <w:num w:numId="9">
    <w:abstractNumId w:val="34"/>
  </w:num>
  <w:num w:numId="10">
    <w:abstractNumId w:val="4"/>
  </w:num>
  <w:num w:numId="11">
    <w:abstractNumId w:val="11"/>
  </w:num>
  <w:num w:numId="12">
    <w:abstractNumId w:val="26"/>
  </w:num>
  <w:num w:numId="13">
    <w:abstractNumId w:val="31"/>
  </w:num>
  <w:num w:numId="14">
    <w:abstractNumId w:val="44"/>
  </w:num>
  <w:num w:numId="15">
    <w:abstractNumId w:val="33"/>
  </w:num>
  <w:num w:numId="16">
    <w:abstractNumId w:val="21"/>
  </w:num>
  <w:num w:numId="17">
    <w:abstractNumId w:val="43"/>
  </w:num>
  <w:num w:numId="18">
    <w:abstractNumId w:val="10"/>
  </w:num>
  <w:num w:numId="19">
    <w:abstractNumId w:val="12"/>
  </w:num>
  <w:num w:numId="20">
    <w:abstractNumId w:val="40"/>
  </w:num>
  <w:num w:numId="21">
    <w:abstractNumId w:val="16"/>
  </w:num>
  <w:num w:numId="22">
    <w:abstractNumId w:val="5"/>
  </w:num>
  <w:num w:numId="23">
    <w:abstractNumId w:val="42"/>
  </w:num>
  <w:num w:numId="24">
    <w:abstractNumId w:val="18"/>
  </w:num>
  <w:num w:numId="25">
    <w:abstractNumId w:val="28"/>
  </w:num>
  <w:num w:numId="26">
    <w:abstractNumId w:val="17"/>
  </w:num>
  <w:num w:numId="27">
    <w:abstractNumId w:val="0"/>
  </w:num>
  <w:num w:numId="28">
    <w:abstractNumId w:val="29"/>
  </w:num>
  <w:num w:numId="29">
    <w:abstractNumId w:val="32"/>
  </w:num>
  <w:num w:numId="30">
    <w:abstractNumId w:val="22"/>
  </w:num>
  <w:num w:numId="31">
    <w:abstractNumId w:val="19"/>
  </w:num>
  <w:num w:numId="32">
    <w:abstractNumId w:val="20"/>
  </w:num>
  <w:num w:numId="33">
    <w:abstractNumId w:val="1"/>
  </w:num>
  <w:num w:numId="34">
    <w:abstractNumId w:val="3"/>
  </w:num>
  <w:num w:numId="35">
    <w:abstractNumId w:val="24"/>
  </w:num>
  <w:num w:numId="36">
    <w:abstractNumId w:val="30"/>
  </w:num>
  <w:num w:numId="37">
    <w:abstractNumId w:val="25"/>
  </w:num>
  <w:num w:numId="38">
    <w:abstractNumId w:val="33"/>
  </w:num>
  <w:num w:numId="39">
    <w:abstractNumId w:val="36"/>
  </w:num>
  <w:num w:numId="40">
    <w:abstractNumId w:val="15"/>
  </w:num>
  <w:num w:numId="41">
    <w:abstractNumId w:val="27"/>
  </w:num>
  <w:num w:numId="42">
    <w:abstractNumId w:val="13"/>
  </w:num>
  <w:num w:numId="43">
    <w:abstractNumId w:val="6"/>
  </w:num>
  <w:num w:numId="44">
    <w:abstractNumId w:val="23"/>
  </w:num>
  <w:num w:numId="45">
    <w:abstractNumId w:val="37"/>
  </w:num>
  <w:num w:numId="46">
    <w:abstractNumId w:val="2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1176C"/>
    <w:rsid w:val="00023D0C"/>
    <w:rsid w:val="00026D41"/>
    <w:rsid w:val="0006739A"/>
    <w:rsid w:val="00070422"/>
    <w:rsid w:val="000D04A8"/>
    <w:rsid w:val="000D40EE"/>
    <w:rsid w:val="000E3905"/>
    <w:rsid w:val="000F13A7"/>
    <w:rsid w:val="000F4299"/>
    <w:rsid w:val="001617A3"/>
    <w:rsid w:val="00174881"/>
    <w:rsid w:val="00181769"/>
    <w:rsid w:val="001975F9"/>
    <w:rsid w:val="001A5B8E"/>
    <w:rsid w:val="001B52DC"/>
    <w:rsid w:val="001D587B"/>
    <w:rsid w:val="00267137"/>
    <w:rsid w:val="00303C89"/>
    <w:rsid w:val="003253E2"/>
    <w:rsid w:val="00325E9B"/>
    <w:rsid w:val="003508D2"/>
    <w:rsid w:val="00372624"/>
    <w:rsid w:val="003838AA"/>
    <w:rsid w:val="00411894"/>
    <w:rsid w:val="00447BB7"/>
    <w:rsid w:val="00537BCB"/>
    <w:rsid w:val="00557C7D"/>
    <w:rsid w:val="0056753D"/>
    <w:rsid w:val="00582893"/>
    <w:rsid w:val="005D7340"/>
    <w:rsid w:val="0060617C"/>
    <w:rsid w:val="006E1DC5"/>
    <w:rsid w:val="006E6F6C"/>
    <w:rsid w:val="00705B1D"/>
    <w:rsid w:val="00725CD7"/>
    <w:rsid w:val="007F2283"/>
    <w:rsid w:val="0080607A"/>
    <w:rsid w:val="00807D8A"/>
    <w:rsid w:val="00811AF4"/>
    <w:rsid w:val="00815241"/>
    <w:rsid w:val="00852444"/>
    <w:rsid w:val="00880D54"/>
    <w:rsid w:val="00884F04"/>
    <w:rsid w:val="008928A9"/>
    <w:rsid w:val="008C65BF"/>
    <w:rsid w:val="008E6E1A"/>
    <w:rsid w:val="00900CDE"/>
    <w:rsid w:val="00935B03"/>
    <w:rsid w:val="009774E3"/>
    <w:rsid w:val="00993A0E"/>
    <w:rsid w:val="009C44A9"/>
    <w:rsid w:val="009F204C"/>
    <w:rsid w:val="00A0138B"/>
    <w:rsid w:val="00A33AB4"/>
    <w:rsid w:val="00A461BC"/>
    <w:rsid w:val="00A90EAB"/>
    <w:rsid w:val="00AC1434"/>
    <w:rsid w:val="00AF766F"/>
    <w:rsid w:val="00B073CC"/>
    <w:rsid w:val="00B73717"/>
    <w:rsid w:val="00B82378"/>
    <w:rsid w:val="00C20E37"/>
    <w:rsid w:val="00C21A15"/>
    <w:rsid w:val="00C55CAE"/>
    <w:rsid w:val="00C67AA2"/>
    <w:rsid w:val="00CA5A50"/>
    <w:rsid w:val="00CB17E0"/>
    <w:rsid w:val="00D36211"/>
    <w:rsid w:val="00D51F61"/>
    <w:rsid w:val="00D67B7C"/>
    <w:rsid w:val="00D8619A"/>
    <w:rsid w:val="00DD1887"/>
    <w:rsid w:val="00E02D2F"/>
    <w:rsid w:val="00E11839"/>
    <w:rsid w:val="00E166AD"/>
    <w:rsid w:val="00E3557C"/>
    <w:rsid w:val="00E50B3A"/>
    <w:rsid w:val="00E63377"/>
    <w:rsid w:val="00E93124"/>
    <w:rsid w:val="00EA2598"/>
    <w:rsid w:val="00EC1F5C"/>
    <w:rsid w:val="00EE2E76"/>
    <w:rsid w:val="00EF5235"/>
    <w:rsid w:val="00F25891"/>
    <w:rsid w:val="00F4126C"/>
    <w:rsid w:val="00F45DCD"/>
    <w:rsid w:val="00F83CFB"/>
    <w:rsid w:val="00F931C4"/>
    <w:rsid w:val="00FE2EC8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0A6E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new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261</Words>
  <Characters>1569</Characters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Początek Roku Szkolnego — 1 września 2025 roku (infografika) – opis alternatywny</vt:lpstr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Początek Roku Szkolnego 2026 - infografika. Opis alternatywny infografiki</dc:title>
  <dc:subject/>
  <dc:creator>Urząd Statystyczny w Lublinie</dc:creator>
  <cp:keywords/>
  <dc:description/>
  <dcterms:created xsi:type="dcterms:W3CDTF">2023-06-14T09:24:00Z</dcterms:created>
  <dcterms:modified xsi:type="dcterms:W3CDTF">2026-09-01T06:48:00Z</dcterms:modified>
</cp:coreProperties>
</file>