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42D90" w14:textId="77777777" w:rsidR="00393761" w:rsidRPr="0015338E" w:rsidRDefault="0015338E" w:rsidP="003C0C8B">
      <w:pPr>
        <w:pStyle w:val="Nagwek1"/>
        <w:rPr>
          <w:lang w:val="pl-PL"/>
        </w:rPr>
      </w:pPr>
      <w:r w:rsidRPr="000F761C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D589F72" wp14:editId="2BE9C284">
                <wp:simplePos x="0" y="0"/>
                <wp:positionH relativeFrom="margin">
                  <wp:posOffset>-6985</wp:posOffset>
                </wp:positionH>
                <wp:positionV relativeFrom="paragraph">
                  <wp:posOffset>770890</wp:posOffset>
                </wp:positionV>
                <wp:extent cx="2244725" cy="1209675"/>
                <wp:effectExtent l="0" t="0" r="3175" b="9525"/>
                <wp:wrapSquare wrapText="bothSides"/>
                <wp:docPr id="6" name="Pole tekstowe 2" descr="Ikona strzałki skierowanej grotem w górę, oznacza wzrost wydatków na świadczenia ochrony socjalnej w porównaniu z rokiem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12096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ACD90" w14:textId="77777777" w:rsidR="00313F5C" w:rsidRPr="0015338E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15338E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313F5C" w:rsidRPr="0015338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15338E" w:rsidRPr="0015338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313F5C" w:rsidRPr="0015338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15338E" w:rsidRPr="0015338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Pr="0015338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B1CE02F" w14:textId="77777777" w:rsidR="005C0CAC" w:rsidRPr="0015338E" w:rsidRDefault="0015338E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15338E">
                              <w:t>Wzrost wydatków na</w:t>
                            </w:r>
                            <w:r w:rsidR="0036314B">
                              <w:t xml:space="preserve"> </w:t>
                            </w:r>
                            <w:r w:rsidRPr="0015338E">
                              <w:t>świadczenia ochrony s</w:t>
                            </w:r>
                            <w:r>
                              <w:t>ocjalnej w</w:t>
                            </w:r>
                            <w:r w:rsidR="0036314B">
                              <w:t xml:space="preserve"> </w:t>
                            </w:r>
                            <w:r>
                              <w:t>porównaniu z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589F72" id="Pole tekstowe 2" o:spid="_x0000_s1026" alt="Ikona strzałki skierowanej grotem w górę, oznacza wzrost wydatków na świadczenia ochrony socjalnej w porównaniu z rokiem 2022" style="position:absolute;margin-left:-.55pt;margin-top:60.7pt;width:176.75pt;height:95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" fillcolor="#001d77" stroked="f">
                <v:stroke joinstyle="miter"/>
                <v:textbox>
                  <w:txbxContent>
                    <w:p w14:paraId="2E2ACD90" w14:textId="77777777" w:rsidR="00313F5C" w:rsidRPr="0015338E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15338E">
                        <w:rPr>
                          <w:rStyle w:val="WartowskanikaZnak"/>
                        </w:rPr>
                        <w:t xml:space="preserve"> </w:t>
                      </w:r>
                      <w:r w:rsidR="00313F5C" w:rsidRPr="0015338E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15338E" w:rsidRPr="0015338E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313F5C" w:rsidRPr="0015338E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15338E" w:rsidRPr="0015338E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Pr="0015338E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B1CE02F" w14:textId="77777777" w:rsidR="005C0CAC" w:rsidRPr="0015338E" w:rsidRDefault="0015338E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15338E">
                        <w:t>Wzrost wydatków na</w:t>
                      </w:r>
                      <w:r w:rsidR="0036314B">
                        <w:t xml:space="preserve"> </w:t>
                      </w:r>
                      <w:r w:rsidRPr="0015338E">
                        <w:t>świadczenia ochrony s</w:t>
                      </w:r>
                      <w:r>
                        <w:t>ocjalnej w</w:t>
                      </w:r>
                      <w:r w:rsidR="0036314B">
                        <w:t xml:space="preserve"> </w:t>
                      </w:r>
                      <w:r>
                        <w:t>porównaniu z 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15338E">
        <w:rPr>
          <w:lang w:val="pl-PL"/>
        </w:rPr>
        <w:t>Świadczenia ochrony socjalnej w 2023 r</w:t>
      </w:r>
      <w:r>
        <w:rPr>
          <w:lang w:val="pl-PL"/>
        </w:rPr>
        <w:t>.</w:t>
      </w:r>
    </w:p>
    <w:p w14:paraId="0E74BA6B" w14:textId="578AD4DE" w:rsidR="006D7409" w:rsidRPr="00026F6B" w:rsidRDefault="0015338E" w:rsidP="00756297">
      <w:pPr>
        <w:pStyle w:val="Lead"/>
        <w:spacing w:after="720"/>
      </w:pPr>
      <w:r w:rsidRPr="00026F6B">
        <w:t>Wydatki na świadczenia ochrony socjalnej w</w:t>
      </w:r>
      <w:r w:rsidR="00C60262">
        <w:t> </w:t>
      </w:r>
      <w:r>
        <w:t>Polsce w 2023 r. obliczone zgodnie z</w:t>
      </w:r>
      <w:r w:rsidR="00893DC8">
        <w:t> </w:t>
      </w:r>
      <w:r>
        <w:t>metodologią Europejskiego Systemu Zintegrowanych Statystyk Ochrony Socjalnej (ESSPROS) wyniosły 757,2 mld zł. W stosunku do</w:t>
      </w:r>
      <w:r w:rsidR="00716B1A">
        <w:t> </w:t>
      </w:r>
      <w:r w:rsidRPr="00026F6B">
        <w:t>2022 r. wydatki wzrosły o 18,6%.</w:t>
      </w:r>
    </w:p>
    <w:p w14:paraId="2F204AD4" w14:textId="77777777" w:rsidR="0015338E" w:rsidRDefault="003060F9" w:rsidP="0015338E">
      <w:pPr>
        <w:pStyle w:val="Nagwek2"/>
        <w:rPr>
          <w:lang w:val="pl-PL"/>
        </w:rPr>
      </w:pPr>
      <w:r w:rsidRPr="000F761C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1D7FD39" wp14:editId="161A4130">
                <wp:simplePos x="0" y="0"/>
                <wp:positionH relativeFrom="column">
                  <wp:posOffset>5343525</wp:posOffset>
                </wp:positionH>
                <wp:positionV relativeFrom="paragraph">
                  <wp:posOffset>60960</wp:posOffset>
                </wp:positionV>
                <wp:extent cx="1725295" cy="1581150"/>
                <wp:effectExtent l="0" t="0" r="0" b="0"/>
                <wp:wrapTight wrapText="bothSides">
                  <wp:wrapPolygon edited="0">
                    <wp:start x="715" y="0"/>
                    <wp:lineTo x="715" y="21340"/>
                    <wp:lineTo x="20749" y="21340"/>
                    <wp:lineTo x="20749" y="0"/>
                    <wp:lineTo x="715" y="0"/>
                  </wp:wrapPolygon>
                </wp:wrapTight>
                <wp:docPr id="4" name="Pole tekstowe 4" descr="W 2023 r. największą kwotę wydatkowano na świadczenia w funkcji Podeszły wiek (46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25DAA" w14:textId="77777777" w:rsidR="000D4F03" w:rsidRPr="003B58A9" w:rsidRDefault="00B80F4D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W 2023 r.</w:t>
                            </w:r>
                            <w:r w:rsidR="008875C7">
                              <w:rPr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lang w:val="pl-PL"/>
                              </w:rPr>
                              <w:t>n</w:t>
                            </w:r>
                            <w:r w:rsidR="003B58A9" w:rsidRPr="003B58A9">
                              <w:rPr>
                                <w:lang w:val="pl-PL"/>
                              </w:rPr>
                              <w:t xml:space="preserve">ajwiększą </w:t>
                            </w:r>
                            <w:r w:rsidR="00803AE1" w:rsidRPr="00803AE1">
                              <w:rPr>
                                <w:lang w:val="pl-PL"/>
                              </w:rPr>
                              <w:t xml:space="preserve">kwotę wydatkowano </w:t>
                            </w:r>
                            <w:r w:rsidR="003B58A9" w:rsidRPr="00803AE1">
                              <w:rPr>
                                <w:lang w:val="pl-PL"/>
                              </w:rPr>
                              <w:t>na</w:t>
                            </w:r>
                            <w:r w:rsidR="003B58A9" w:rsidRPr="003B58A9">
                              <w:rPr>
                                <w:lang w:val="pl-PL"/>
                              </w:rPr>
                              <w:t xml:space="preserve"> świadczenia </w:t>
                            </w:r>
                            <w:r w:rsidR="003B58A9">
                              <w:rPr>
                                <w:lang w:val="pl-PL"/>
                              </w:rPr>
                              <w:t>w funkcji Podeszły wiek (4</w:t>
                            </w:r>
                            <w:r w:rsidR="001F321F">
                              <w:rPr>
                                <w:lang w:val="pl-PL"/>
                              </w:rPr>
                              <w:t>6,3%</w:t>
                            </w:r>
                            <w:r w:rsidR="008875C7">
                              <w:rPr>
                                <w:lang w:val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7FD3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W 2023 r. największą kwotę wydatkowano na świadczenia w funkcji Podeszły wiek (46,3%)" style="position:absolute;margin-left:420.75pt;margin-top:4.8pt;width:135.85pt;height:124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" filled="f" stroked="f">
                <v:textbox>
                  <w:txbxContent>
                    <w:p w14:paraId="3FB25DAA" w14:textId="77777777" w:rsidR="000D4F03" w:rsidRPr="003B58A9" w:rsidRDefault="00B80F4D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W 2023 r.</w:t>
                      </w:r>
                      <w:r w:rsidR="008875C7">
                        <w:rPr>
                          <w:lang w:val="pl-PL"/>
                        </w:rPr>
                        <w:t xml:space="preserve"> </w:t>
                      </w:r>
                      <w:r>
                        <w:rPr>
                          <w:lang w:val="pl-PL"/>
                        </w:rPr>
                        <w:t>n</w:t>
                      </w:r>
                      <w:r w:rsidR="003B58A9" w:rsidRPr="003B58A9">
                        <w:rPr>
                          <w:lang w:val="pl-PL"/>
                        </w:rPr>
                        <w:t xml:space="preserve">ajwiększą </w:t>
                      </w:r>
                      <w:r w:rsidR="00803AE1" w:rsidRPr="00803AE1">
                        <w:rPr>
                          <w:lang w:val="pl-PL"/>
                        </w:rPr>
                        <w:t xml:space="preserve">kwotę wydatkowano </w:t>
                      </w:r>
                      <w:r w:rsidR="003B58A9" w:rsidRPr="00803AE1">
                        <w:rPr>
                          <w:lang w:val="pl-PL"/>
                        </w:rPr>
                        <w:t>na</w:t>
                      </w:r>
                      <w:r w:rsidR="003B58A9" w:rsidRPr="003B58A9">
                        <w:rPr>
                          <w:lang w:val="pl-PL"/>
                        </w:rPr>
                        <w:t xml:space="preserve"> świadczenia </w:t>
                      </w:r>
                      <w:r w:rsidR="003B58A9">
                        <w:rPr>
                          <w:lang w:val="pl-PL"/>
                        </w:rPr>
                        <w:t>w funkcji Podeszły wiek (4</w:t>
                      </w:r>
                      <w:r w:rsidR="001F321F">
                        <w:rPr>
                          <w:lang w:val="pl-PL"/>
                        </w:rPr>
                        <w:t>6,3%</w:t>
                      </w:r>
                      <w:r w:rsidR="008875C7">
                        <w:rPr>
                          <w:lang w:val="pl-PL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5338E">
        <w:rPr>
          <w:lang w:val="pl-PL"/>
        </w:rPr>
        <w:t>Wyda</w:t>
      </w:r>
      <w:r w:rsidR="0015338E" w:rsidRPr="0015338E">
        <w:rPr>
          <w:lang w:val="pl-PL"/>
        </w:rPr>
        <w:t xml:space="preserve">tki na świadczenia </w:t>
      </w:r>
      <w:r w:rsidR="006A0F94">
        <w:rPr>
          <w:lang w:val="pl-PL"/>
        </w:rPr>
        <w:t xml:space="preserve">ochrony socjalnej </w:t>
      </w:r>
      <w:r w:rsidR="0015338E">
        <w:rPr>
          <w:lang w:val="pl-PL"/>
        </w:rPr>
        <w:t>według funkcji w 2023 r.</w:t>
      </w:r>
    </w:p>
    <w:p w14:paraId="04E36416" w14:textId="77777777" w:rsidR="0015338E" w:rsidRPr="00803AE1" w:rsidRDefault="0015338E" w:rsidP="0015338E">
      <w:pPr>
        <w:rPr>
          <w:color w:val="000000" w:themeColor="text1"/>
          <w:lang w:eastAsia="pl-PL"/>
        </w:rPr>
      </w:pPr>
      <w:r w:rsidRPr="00803AE1">
        <w:rPr>
          <w:color w:val="000000" w:themeColor="text1"/>
          <w:lang w:eastAsia="pl-PL"/>
        </w:rPr>
        <w:t xml:space="preserve">Największy udział w wydatkach na świadczenia </w:t>
      </w:r>
      <w:r w:rsidR="003B58A9" w:rsidRPr="00803AE1">
        <w:rPr>
          <w:color w:val="000000" w:themeColor="text1"/>
          <w:lang w:eastAsia="pl-PL"/>
        </w:rPr>
        <w:t>o</w:t>
      </w:r>
      <w:r w:rsidRPr="00803AE1">
        <w:rPr>
          <w:color w:val="000000" w:themeColor="text1"/>
          <w:lang w:eastAsia="pl-PL"/>
        </w:rPr>
        <w:t>chrony socjalnej miała funkcja Podeszły wiek (46,3%), a następnie: Zdrowie (27,0%), Rodzina/dzieci (13,7%), Utrata bliskiej osoby (6,3%), Niepełnosprawność (4,4%), Wykluczenie społeczne (1,4%), Bezrobocie (0,8%) i</w:t>
      </w:r>
      <w:r w:rsidR="00C63BBE" w:rsidRPr="00803AE1">
        <w:rPr>
          <w:color w:val="000000" w:themeColor="text1"/>
          <w:lang w:eastAsia="pl-PL"/>
        </w:rPr>
        <w:t> </w:t>
      </w:r>
      <w:r w:rsidRPr="00803AE1">
        <w:rPr>
          <w:color w:val="000000" w:themeColor="text1"/>
          <w:lang w:eastAsia="pl-PL"/>
        </w:rPr>
        <w:t>Mieszkalnictwo (0,1%).</w:t>
      </w:r>
    </w:p>
    <w:p w14:paraId="228354E5" w14:textId="77777777" w:rsidR="0015338E" w:rsidRPr="00DF7A92" w:rsidRDefault="0015338E" w:rsidP="007277B5">
      <w:pPr>
        <w:pStyle w:val="Tytuwykresu"/>
        <w:rPr>
          <w:lang w:val="pl-PL"/>
        </w:rPr>
      </w:pPr>
      <w:r w:rsidRPr="00DF7A92">
        <w:rPr>
          <w:lang w:val="pl-PL"/>
        </w:rPr>
        <w:t>Wykres 1. Wydatki na świadczenia ochrony socjalnej według funkcji w 2023 r.</w:t>
      </w:r>
    </w:p>
    <w:p w14:paraId="235C91CF" w14:textId="77777777" w:rsidR="004A6598" w:rsidRDefault="002D55DB" w:rsidP="00DD6C67">
      <w:pPr>
        <w:pStyle w:val="Tablicanotka"/>
        <w:rPr>
          <w:shd w:val="clear" w:color="auto" w:fill="FFFFFF"/>
          <w:lang w:val="pl-PL"/>
        </w:rPr>
      </w:pPr>
      <w:r w:rsidRPr="000F761C">
        <w:rPr>
          <w:noProof/>
          <w:spacing w:val="-2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8437AE0" wp14:editId="1FCD8BD7">
                <wp:simplePos x="0" y="0"/>
                <wp:positionH relativeFrom="column">
                  <wp:posOffset>5334000</wp:posOffset>
                </wp:positionH>
                <wp:positionV relativeFrom="paragraph">
                  <wp:posOffset>3239135</wp:posOffset>
                </wp:positionV>
                <wp:extent cx="172529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2" name="Pole tekstowe 2" descr="Świadczenia przekazane w formie pieniężnej stanowiły 71,4% ogólnej kwoty wydatków na świadczenia ochrony socj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F7939" w14:textId="77777777" w:rsidR="00D616D2" w:rsidRPr="001B1BFF" w:rsidRDefault="00B21BCB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Świadczenia przekazane w</w:t>
                            </w:r>
                            <w:r w:rsidR="00C60262">
                              <w:rPr>
                                <w:lang w:val="pl-PL"/>
                              </w:rPr>
                              <w:t> </w:t>
                            </w:r>
                            <w:r>
                              <w:rPr>
                                <w:lang w:val="pl-PL"/>
                              </w:rPr>
                              <w:t xml:space="preserve">formie pieniężnej stanowiły </w:t>
                            </w:r>
                            <w:r w:rsidR="008965FD">
                              <w:rPr>
                                <w:lang w:val="pl-PL"/>
                              </w:rPr>
                              <w:t>71,4</w:t>
                            </w:r>
                            <w:r>
                              <w:rPr>
                                <w:lang w:val="pl-PL"/>
                              </w:rPr>
                              <w:t>% ogólnej kwoty wydatków na świadczenia ochrony socjalnej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37AE0" id="_x0000_s1028" type="#_x0000_t202" alt="Świadczenia przekazane w formie pieniężnej stanowiły 71,4% ogólnej kwoty wydatków na świadczenia ochrony socjalnej" style="position:absolute;margin-left:420pt;margin-top:255.05pt;width:135.85pt;height:79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" filled="f" stroked="f">
                <v:textbox>
                  <w:txbxContent>
                    <w:p w14:paraId="3BDF7939" w14:textId="77777777" w:rsidR="00D616D2" w:rsidRPr="001B1BFF" w:rsidRDefault="00B21BCB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Świadczenia przekazane w</w:t>
                      </w:r>
                      <w:r w:rsidR="00C60262">
                        <w:rPr>
                          <w:lang w:val="pl-PL"/>
                        </w:rPr>
                        <w:t> </w:t>
                      </w:r>
                      <w:r>
                        <w:rPr>
                          <w:lang w:val="pl-PL"/>
                        </w:rPr>
                        <w:t xml:space="preserve">formie pieniężnej stanowiły </w:t>
                      </w:r>
                      <w:r w:rsidR="008965FD">
                        <w:rPr>
                          <w:lang w:val="pl-PL"/>
                        </w:rPr>
                        <w:t>71,4</w:t>
                      </w:r>
                      <w:r>
                        <w:rPr>
                          <w:lang w:val="pl-PL"/>
                        </w:rPr>
                        <w:t>% ogólnej kwoty wydatków na świadczenia ochrony socjalnej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5338E">
        <w:rPr>
          <w:rFonts w:eastAsia="Times New Roman" w:cs="Times New Roman"/>
          <w:b/>
          <w:bCs/>
          <w:noProof/>
          <w:szCs w:val="19"/>
          <w:lang w:val="pl-PL" w:eastAsia="pl-PL"/>
        </w:rPr>
        <w:drawing>
          <wp:anchor distT="0" distB="0" distL="114300" distR="114300" simplePos="0" relativeHeight="251774976" behindDoc="0" locked="0" layoutInCell="1" allowOverlap="1" wp14:anchorId="2B7A6DE1" wp14:editId="239DE112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4993318" cy="3067050"/>
            <wp:effectExtent l="0" t="0" r="0" b="0"/>
            <wp:wrapTopAndBottom/>
            <wp:docPr id="3" name="Obraz 3" descr="Wykres słupkowy przedstawia wydatki na świadczenia ochrony socjalnej według funkcji w 2023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słupkowy przedstawia wydatki na świadczenia ochrony socjalnej według funkcji w 2023 r.; dane w pliku Excel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318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28A04" w14:textId="782A5ECB" w:rsidR="00F51BAF" w:rsidRPr="00E47012" w:rsidRDefault="0015338E" w:rsidP="00E35D8D">
      <w:pPr>
        <w:spacing w:after="2040"/>
        <w:rPr>
          <w:shd w:val="clear" w:color="auto" w:fill="FFFFFF"/>
        </w:rPr>
      </w:pPr>
      <w:r w:rsidRPr="0015338E">
        <w:rPr>
          <w:shd w:val="clear" w:color="auto" w:fill="FFFFFF"/>
        </w:rPr>
        <w:t>W 2023 r. największą część w</w:t>
      </w:r>
      <w:r>
        <w:rPr>
          <w:shd w:val="clear" w:color="auto" w:fill="FFFFFF"/>
        </w:rPr>
        <w:t xml:space="preserve">ydatków przeznaczono na świadczenia przyznane niezależnie od uzyskiwanych dochodów (98,5%). </w:t>
      </w:r>
      <w:r w:rsidRPr="00E47012">
        <w:rPr>
          <w:shd w:val="clear" w:color="auto" w:fill="FFFFFF"/>
        </w:rPr>
        <w:t>Pozostałe środki wydatkowano</w:t>
      </w:r>
      <w:r w:rsidR="00E47012" w:rsidRPr="00E47012">
        <w:rPr>
          <w:shd w:val="clear" w:color="auto" w:fill="FFFFFF"/>
        </w:rPr>
        <w:t xml:space="preserve"> z uwzględ</w:t>
      </w:r>
      <w:r>
        <w:rPr>
          <w:shd w:val="clear" w:color="auto" w:fill="FFFFFF"/>
        </w:rPr>
        <w:t>nieniem kryterium dochodowego beneficjentów. Wydatki na świadczenia pieniężne stanowiły 71,4% ogólnej kwoty wydatków na świadczenia ochrony socjalnej, a pozostałą część – wydatki na świadczenia rzeczowe.</w:t>
      </w:r>
    </w:p>
    <w:p w14:paraId="468590CC" w14:textId="77777777" w:rsidR="00E47012" w:rsidRPr="00ED3305" w:rsidRDefault="00E47012" w:rsidP="00E47012">
      <w:pPr>
        <w:keepNext/>
        <w:rPr>
          <w:b/>
          <w:bCs/>
        </w:rPr>
      </w:pPr>
      <w:r w:rsidRPr="00DF7A92">
        <w:rPr>
          <w:rStyle w:val="TytutablicyZnak"/>
          <w:rFonts w:eastAsiaTheme="minorHAnsi"/>
          <w:lang w:val="pl-PL"/>
        </w:rPr>
        <w:lastRenderedPageBreak/>
        <w:t>Tablica 1. Wydatki na świadczenia ochrony socjalnej według funkcji</w:t>
      </w:r>
      <w:r w:rsidR="00157E1D">
        <w:rPr>
          <w:rStyle w:val="TytutablicyZnak"/>
          <w:rFonts w:eastAsiaTheme="minorHAnsi"/>
          <w:lang w:val="pl-PL"/>
        </w:rPr>
        <w:t xml:space="preserve"> oraz rodzaju</w:t>
      </w:r>
      <w:r w:rsidR="008B3302">
        <w:rPr>
          <w:rStyle w:val="TytutablicyZnak"/>
          <w:rFonts w:eastAsiaTheme="minorHAnsi"/>
          <w:lang w:val="pl-PL"/>
        </w:rPr>
        <w:t xml:space="preserve"> w 2023 r.</w:t>
      </w:r>
    </w:p>
    <w:tbl>
      <w:tblPr>
        <w:tblStyle w:val="Tabela-Siatka"/>
        <w:tblpPr w:leftFromText="141" w:rightFromText="141" w:vertAnchor="text" w:tblpXSpec="center" w:tblpY="1"/>
        <w:tblOverlap w:val="never"/>
        <w:tblW w:w="4380" w:type="pct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6" w:space="0" w:color="001D77"/>
          <w:insideV w:val="single" w:sz="6" w:space="0" w:color="001D77"/>
        </w:tblBorders>
        <w:tblLayout w:type="fixed"/>
        <w:tblLook w:val="04A0" w:firstRow="1" w:lastRow="0" w:firstColumn="1" w:lastColumn="0" w:noHBand="0" w:noVBand="1"/>
        <w:tblCaption w:val="Wydatki na świadczenia ochrony socjalnej według funkcji oraz rodzaju w 2023 r."/>
      </w:tblPr>
      <w:tblGrid>
        <w:gridCol w:w="4229"/>
        <w:gridCol w:w="1420"/>
        <w:gridCol w:w="1418"/>
      </w:tblGrid>
      <w:tr w:rsidR="00521CF3" w:rsidRPr="00760895" w14:paraId="3BA1E3CA" w14:textId="77777777" w:rsidTr="00AF3207">
        <w:trPr>
          <w:trHeight w:val="361"/>
          <w:tblHeader/>
        </w:trPr>
        <w:tc>
          <w:tcPr>
            <w:tcW w:w="2992" w:type="pct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0D10B7AE" w14:textId="77777777" w:rsidR="00521CF3" w:rsidRPr="00760895" w:rsidRDefault="00521CF3" w:rsidP="00212EF0">
            <w:pPr>
              <w:pStyle w:val="Tablicaboczek"/>
              <w:jc w:val="center"/>
              <w:rPr>
                <w:rFonts w:eastAsiaTheme="majorEastAsia"/>
              </w:rPr>
            </w:pPr>
            <w:bookmarkStart w:id="0" w:name="_Hlk238025480"/>
            <w:bookmarkStart w:id="1" w:name="_Hlk207715334"/>
            <w:r>
              <w:rPr>
                <w:rFonts w:eastAsiaTheme="majorEastAsia"/>
              </w:rPr>
              <w:t>Wyszczególnienie</w:t>
            </w:r>
          </w:p>
        </w:tc>
        <w:tc>
          <w:tcPr>
            <w:tcW w:w="1005" w:type="pct"/>
            <w:vAlign w:val="center"/>
          </w:tcPr>
          <w:p w14:paraId="55635252" w14:textId="77777777" w:rsidR="00521CF3" w:rsidRPr="00760895" w:rsidRDefault="00521CF3" w:rsidP="00AF3207">
            <w:pPr>
              <w:pStyle w:val="Tablicadanerodek"/>
              <w:jc w:val="center"/>
            </w:pPr>
            <w:r>
              <w:t>Pieniężne</w:t>
            </w:r>
          </w:p>
        </w:tc>
        <w:tc>
          <w:tcPr>
            <w:tcW w:w="1003" w:type="pct"/>
          </w:tcPr>
          <w:p w14:paraId="5E59F1E6" w14:textId="77777777" w:rsidR="00521CF3" w:rsidRDefault="00521CF3" w:rsidP="00AF3207">
            <w:pPr>
              <w:pStyle w:val="Tablicadanerodek"/>
              <w:jc w:val="center"/>
            </w:pPr>
            <w:r>
              <w:t>Rzeczowe</w:t>
            </w:r>
          </w:p>
        </w:tc>
      </w:tr>
      <w:tr w:rsidR="00521CF3" w14:paraId="6CCB0A2B" w14:textId="77777777" w:rsidTr="00AF3207">
        <w:trPr>
          <w:trHeight w:val="361"/>
          <w:tblHeader/>
        </w:trPr>
        <w:tc>
          <w:tcPr>
            <w:tcW w:w="2992" w:type="pct"/>
            <w:vMerge/>
            <w:noWrap/>
            <w:tcMar>
              <w:left w:w="0" w:type="dxa"/>
              <w:right w:w="0" w:type="dxa"/>
            </w:tcMar>
            <w:vAlign w:val="center"/>
          </w:tcPr>
          <w:p w14:paraId="4CAC910D" w14:textId="77777777" w:rsidR="00521CF3" w:rsidRDefault="00521CF3" w:rsidP="00AF3207">
            <w:pPr>
              <w:pStyle w:val="Tablicaboczek"/>
              <w:rPr>
                <w:rFonts w:eastAsiaTheme="majorEastAsia"/>
              </w:rPr>
            </w:pPr>
          </w:p>
        </w:tc>
        <w:tc>
          <w:tcPr>
            <w:tcW w:w="2008" w:type="pct"/>
            <w:gridSpan w:val="2"/>
            <w:vAlign w:val="center"/>
          </w:tcPr>
          <w:p w14:paraId="1345834E" w14:textId="77777777" w:rsidR="00521CF3" w:rsidRDefault="00521CF3" w:rsidP="00AF3207">
            <w:pPr>
              <w:pStyle w:val="Tablicadanerodek"/>
              <w:jc w:val="center"/>
            </w:pPr>
            <w:r>
              <w:t>w mld zł</w:t>
            </w:r>
          </w:p>
        </w:tc>
      </w:tr>
      <w:tr w:rsidR="00521CF3" w14:paraId="1C07A30C" w14:textId="77777777" w:rsidTr="00AF3207">
        <w:trPr>
          <w:trHeight w:val="361"/>
          <w:tblHeader/>
        </w:trPr>
        <w:tc>
          <w:tcPr>
            <w:tcW w:w="2992" w:type="pct"/>
            <w:noWrap/>
            <w:tcMar>
              <w:left w:w="0" w:type="dxa"/>
              <w:right w:w="0" w:type="dxa"/>
            </w:tcMar>
            <w:vAlign w:val="center"/>
          </w:tcPr>
          <w:p w14:paraId="445214B9" w14:textId="77777777" w:rsidR="00521CF3" w:rsidRDefault="00521CF3" w:rsidP="00AF3207">
            <w:pPr>
              <w:pStyle w:val="Tablicaboczek"/>
              <w:rPr>
                <w:rFonts w:eastAsiaTheme="majorEastAsia"/>
              </w:rPr>
            </w:pPr>
            <w:r>
              <w:rPr>
                <w:rFonts w:eastAsiaTheme="majorEastAsia"/>
              </w:rPr>
              <w:t>Ogółem</w:t>
            </w:r>
          </w:p>
        </w:tc>
        <w:tc>
          <w:tcPr>
            <w:tcW w:w="1004" w:type="pct"/>
            <w:vAlign w:val="center"/>
          </w:tcPr>
          <w:p w14:paraId="1BF1D5DA" w14:textId="77777777" w:rsidR="00521CF3" w:rsidRDefault="00521CF3" w:rsidP="00AF3207">
            <w:pPr>
              <w:pStyle w:val="Tablicadanerodek"/>
            </w:pPr>
            <w:r>
              <w:t>540,6</w:t>
            </w:r>
          </w:p>
        </w:tc>
        <w:tc>
          <w:tcPr>
            <w:tcW w:w="1004" w:type="pct"/>
            <w:vAlign w:val="center"/>
          </w:tcPr>
          <w:p w14:paraId="27A5BB1A" w14:textId="77777777" w:rsidR="00521CF3" w:rsidRDefault="00521CF3" w:rsidP="00AF3207">
            <w:pPr>
              <w:pStyle w:val="Tablicadanerodek"/>
            </w:pPr>
            <w:r>
              <w:t>216,6</w:t>
            </w:r>
          </w:p>
        </w:tc>
      </w:tr>
      <w:tr w:rsidR="00521CF3" w:rsidRPr="00760895" w14:paraId="7D1DA5D0" w14:textId="77777777" w:rsidTr="00AF3207">
        <w:trPr>
          <w:trHeight w:val="361"/>
          <w:tblHeader/>
        </w:trPr>
        <w:tc>
          <w:tcPr>
            <w:tcW w:w="2992" w:type="pct"/>
            <w:noWrap/>
            <w:tcMar>
              <w:left w:w="0" w:type="dxa"/>
              <w:right w:w="0" w:type="dxa"/>
            </w:tcMar>
            <w:vAlign w:val="center"/>
          </w:tcPr>
          <w:p w14:paraId="6C06CB96" w14:textId="77777777" w:rsidR="00521CF3" w:rsidRPr="00760895" w:rsidRDefault="00521CF3" w:rsidP="00AF3207">
            <w:pPr>
              <w:pStyle w:val="Tablicaboczek"/>
              <w:rPr>
                <w:rFonts w:eastAsiaTheme="majorEastAsia"/>
              </w:rPr>
            </w:pPr>
            <w:r w:rsidRPr="00760895">
              <w:rPr>
                <w:rFonts w:eastAsiaTheme="majorEastAsia"/>
              </w:rPr>
              <w:t>Podeszły wiek</w:t>
            </w:r>
          </w:p>
        </w:tc>
        <w:tc>
          <w:tcPr>
            <w:tcW w:w="1005" w:type="pct"/>
            <w:vAlign w:val="center"/>
          </w:tcPr>
          <w:p w14:paraId="5BBD3D97" w14:textId="77777777" w:rsidR="00521CF3" w:rsidRPr="00760895" w:rsidRDefault="00521CF3" w:rsidP="00AF3207">
            <w:pPr>
              <w:pStyle w:val="Tablicadanerodek"/>
            </w:pPr>
            <w:r w:rsidRPr="00B6230F">
              <w:t>349,1</w:t>
            </w:r>
          </w:p>
        </w:tc>
        <w:tc>
          <w:tcPr>
            <w:tcW w:w="1003" w:type="pct"/>
            <w:vAlign w:val="center"/>
          </w:tcPr>
          <w:p w14:paraId="05F0ACB1" w14:textId="77777777" w:rsidR="00521CF3" w:rsidRPr="00B6230F" w:rsidRDefault="00521CF3" w:rsidP="00AF3207">
            <w:pPr>
              <w:pStyle w:val="Tablicadanerodek"/>
            </w:pPr>
            <w:r w:rsidRPr="00B6230F">
              <w:t>1,8</w:t>
            </w:r>
          </w:p>
        </w:tc>
      </w:tr>
      <w:tr w:rsidR="00521CF3" w:rsidRPr="00760895" w14:paraId="688EDF53" w14:textId="77777777" w:rsidTr="00AF3207">
        <w:trPr>
          <w:trHeight w:val="361"/>
          <w:tblHeader/>
        </w:trPr>
        <w:tc>
          <w:tcPr>
            <w:tcW w:w="2992" w:type="pct"/>
            <w:noWrap/>
            <w:tcMar>
              <w:left w:w="0" w:type="dxa"/>
              <w:right w:w="0" w:type="dxa"/>
            </w:tcMar>
            <w:vAlign w:val="center"/>
          </w:tcPr>
          <w:p w14:paraId="756F2082" w14:textId="77777777" w:rsidR="00521CF3" w:rsidRPr="00760895" w:rsidRDefault="00521CF3" w:rsidP="00AF3207">
            <w:pPr>
              <w:pStyle w:val="Tablicaboczek"/>
              <w:rPr>
                <w:rFonts w:eastAsiaTheme="majorEastAsia"/>
              </w:rPr>
            </w:pPr>
            <w:r w:rsidRPr="00760895">
              <w:rPr>
                <w:rFonts w:eastAsiaTheme="majorEastAsia"/>
              </w:rPr>
              <w:t>Zdrowie</w:t>
            </w:r>
          </w:p>
        </w:tc>
        <w:tc>
          <w:tcPr>
            <w:tcW w:w="1005" w:type="pct"/>
            <w:vAlign w:val="center"/>
          </w:tcPr>
          <w:p w14:paraId="433F167C" w14:textId="77777777" w:rsidR="00521CF3" w:rsidRPr="00760895" w:rsidRDefault="00521CF3" w:rsidP="00AF3207">
            <w:pPr>
              <w:pStyle w:val="Tablicadanerodek"/>
            </w:pPr>
            <w:r w:rsidRPr="008639EF">
              <w:t>32,8</w:t>
            </w:r>
          </w:p>
        </w:tc>
        <w:tc>
          <w:tcPr>
            <w:tcW w:w="1003" w:type="pct"/>
            <w:vAlign w:val="center"/>
          </w:tcPr>
          <w:p w14:paraId="664E653E" w14:textId="77777777" w:rsidR="00521CF3" w:rsidRPr="008639EF" w:rsidRDefault="00521CF3" w:rsidP="00AF3207">
            <w:pPr>
              <w:pStyle w:val="Tablicadanerodek"/>
            </w:pPr>
            <w:r w:rsidRPr="008639EF">
              <w:t>172,0</w:t>
            </w:r>
          </w:p>
        </w:tc>
      </w:tr>
      <w:tr w:rsidR="00521CF3" w:rsidRPr="00760895" w14:paraId="7878CEB2" w14:textId="77777777" w:rsidTr="00AF3207">
        <w:trPr>
          <w:trHeight w:val="361"/>
          <w:tblHeader/>
        </w:trPr>
        <w:tc>
          <w:tcPr>
            <w:tcW w:w="2992" w:type="pct"/>
            <w:noWrap/>
            <w:tcMar>
              <w:left w:w="0" w:type="dxa"/>
              <w:right w:w="0" w:type="dxa"/>
            </w:tcMar>
            <w:vAlign w:val="center"/>
          </w:tcPr>
          <w:p w14:paraId="4C1A7142" w14:textId="77777777" w:rsidR="00521CF3" w:rsidRPr="00760895" w:rsidRDefault="00521CF3" w:rsidP="00AF3207">
            <w:pPr>
              <w:pStyle w:val="Tablicaboczek"/>
              <w:rPr>
                <w:rFonts w:eastAsiaTheme="majorEastAsia"/>
              </w:rPr>
            </w:pPr>
            <w:r w:rsidRPr="00760895">
              <w:rPr>
                <w:rFonts w:eastAsiaTheme="majorEastAsia"/>
              </w:rPr>
              <w:t>Rodzina/dzieci</w:t>
            </w:r>
          </w:p>
        </w:tc>
        <w:tc>
          <w:tcPr>
            <w:tcW w:w="1005" w:type="pct"/>
            <w:vAlign w:val="center"/>
          </w:tcPr>
          <w:p w14:paraId="2D77BF5A" w14:textId="77777777" w:rsidR="00521CF3" w:rsidRPr="00760895" w:rsidRDefault="00521CF3" w:rsidP="00AF3207">
            <w:pPr>
              <w:pStyle w:val="Tablicadanerodek"/>
            </w:pPr>
            <w:r w:rsidRPr="004E0C20">
              <w:t>74,4</w:t>
            </w:r>
          </w:p>
        </w:tc>
        <w:tc>
          <w:tcPr>
            <w:tcW w:w="1003" w:type="pct"/>
            <w:vAlign w:val="center"/>
          </w:tcPr>
          <w:p w14:paraId="65F4B962" w14:textId="77777777" w:rsidR="00521CF3" w:rsidRPr="004E0C20" w:rsidRDefault="00521CF3" w:rsidP="00AF3207">
            <w:pPr>
              <w:pStyle w:val="Tablicadanerodek"/>
            </w:pPr>
            <w:r w:rsidRPr="004E0C20">
              <w:t>29,0</w:t>
            </w:r>
          </w:p>
        </w:tc>
      </w:tr>
      <w:tr w:rsidR="00521CF3" w:rsidRPr="00760895" w14:paraId="3AC438EA" w14:textId="77777777" w:rsidTr="00AF3207">
        <w:trPr>
          <w:trHeight w:val="361"/>
          <w:tblHeader/>
        </w:trPr>
        <w:tc>
          <w:tcPr>
            <w:tcW w:w="2992" w:type="pct"/>
            <w:noWrap/>
            <w:tcMar>
              <w:left w:w="0" w:type="dxa"/>
              <w:right w:w="0" w:type="dxa"/>
            </w:tcMar>
            <w:vAlign w:val="center"/>
          </w:tcPr>
          <w:p w14:paraId="4D9E8AA9" w14:textId="77777777" w:rsidR="00521CF3" w:rsidRPr="00760895" w:rsidRDefault="00521CF3" w:rsidP="00AF3207">
            <w:pPr>
              <w:pStyle w:val="Tablicaboczek"/>
              <w:rPr>
                <w:rFonts w:eastAsiaTheme="majorEastAsia"/>
              </w:rPr>
            </w:pPr>
            <w:r w:rsidRPr="00760895">
              <w:rPr>
                <w:rFonts w:eastAsiaTheme="majorEastAsia"/>
              </w:rPr>
              <w:t>Utrata bliskiej osoby</w:t>
            </w:r>
          </w:p>
        </w:tc>
        <w:tc>
          <w:tcPr>
            <w:tcW w:w="1005" w:type="pct"/>
            <w:vAlign w:val="center"/>
          </w:tcPr>
          <w:p w14:paraId="563A42F2" w14:textId="77777777" w:rsidR="00521CF3" w:rsidRPr="00760895" w:rsidRDefault="00521CF3" w:rsidP="00AF3207">
            <w:pPr>
              <w:pStyle w:val="Tablicadanerodek"/>
            </w:pPr>
            <w:r w:rsidRPr="00EC7D9D">
              <w:t>47,7</w:t>
            </w:r>
          </w:p>
        </w:tc>
        <w:tc>
          <w:tcPr>
            <w:tcW w:w="1003" w:type="pct"/>
            <w:vAlign w:val="center"/>
          </w:tcPr>
          <w:p w14:paraId="142717AE" w14:textId="77777777" w:rsidR="00521CF3" w:rsidRPr="00C03467" w:rsidRDefault="00521CF3" w:rsidP="00AF3207">
            <w:pPr>
              <w:pStyle w:val="Tablicadanerodek"/>
            </w:pPr>
            <w:r w:rsidRPr="00C03467">
              <w:t>–</w:t>
            </w:r>
          </w:p>
        </w:tc>
      </w:tr>
      <w:tr w:rsidR="00521CF3" w:rsidRPr="00760895" w14:paraId="18C66BC7" w14:textId="77777777" w:rsidTr="00AF3207">
        <w:trPr>
          <w:trHeight w:val="361"/>
          <w:tblHeader/>
        </w:trPr>
        <w:tc>
          <w:tcPr>
            <w:tcW w:w="2992" w:type="pct"/>
            <w:noWrap/>
            <w:tcMar>
              <w:left w:w="0" w:type="dxa"/>
              <w:right w:w="0" w:type="dxa"/>
            </w:tcMar>
            <w:vAlign w:val="center"/>
          </w:tcPr>
          <w:p w14:paraId="14C84685" w14:textId="77777777" w:rsidR="00521CF3" w:rsidRPr="00760895" w:rsidRDefault="00521CF3" w:rsidP="00AF3207">
            <w:pPr>
              <w:pStyle w:val="Tablicaboczek"/>
              <w:rPr>
                <w:rFonts w:eastAsiaTheme="majorEastAsia"/>
              </w:rPr>
            </w:pPr>
            <w:r w:rsidRPr="00760895">
              <w:rPr>
                <w:rFonts w:eastAsiaTheme="majorEastAsia"/>
              </w:rPr>
              <w:t>Niepełnosprawność</w:t>
            </w:r>
          </w:p>
        </w:tc>
        <w:tc>
          <w:tcPr>
            <w:tcW w:w="1005" w:type="pct"/>
            <w:vAlign w:val="center"/>
          </w:tcPr>
          <w:p w14:paraId="62462A2A" w14:textId="77777777" w:rsidR="00521CF3" w:rsidRPr="00760895" w:rsidRDefault="00521CF3" w:rsidP="00AF3207">
            <w:pPr>
              <w:pStyle w:val="Tablicadanerodek"/>
            </w:pPr>
            <w:r w:rsidRPr="00103B5B">
              <w:t>29,5</w:t>
            </w:r>
          </w:p>
        </w:tc>
        <w:tc>
          <w:tcPr>
            <w:tcW w:w="1003" w:type="pct"/>
            <w:vAlign w:val="center"/>
          </w:tcPr>
          <w:p w14:paraId="38CC82E5" w14:textId="77777777" w:rsidR="00521CF3" w:rsidRPr="00103B5B" w:rsidRDefault="00521CF3" w:rsidP="00AF3207">
            <w:pPr>
              <w:pStyle w:val="Tablicadanerodek"/>
            </w:pPr>
            <w:r w:rsidRPr="00103B5B">
              <w:t>3,5</w:t>
            </w:r>
          </w:p>
        </w:tc>
      </w:tr>
      <w:tr w:rsidR="00521CF3" w:rsidRPr="00760895" w14:paraId="667EB970" w14:textId="77777777" w:rsidTr="00AF3207">
        <w:trPr>
          <w:trHeight w:val="361"/>
          <w:tblHeader/>
        </w:trPr>
        <w:tc>
          <w:tcPr>
            <w:tcW w:w="2992" w:type="pct"/>
            <w:noWrap/>
            <w:tcMar>
              <w:left w:w="0" w:type="dxa"/>
              <w:right w:w="0" w:type="dxa"/>
            </w:tcMar>
            <w:vAlign w:val="center"/>
          </w:tcPr>
          <w:p w14:paraId="0F2169F1" w14:textId="77777777" w:rsidR="00521CF3" w:rsidRPr="00760895" w:rsidRDefault="00521CF3" w:rsidP="00AF3207">
            <w:pPr>
              <w:pStyle w:val="Tablicaboczek"/>
              <w:rPr>
                <w:rFonts w:eastAsiaTheme="majorEastAsia"/>
              </w:rPr>
            </w:pPr>
            <w:r w:rsidRPr="00760895">
              <w:rPr>
                <w:rFonts w:eastAsiaTheme="majorEastAsia"/>
              </w:rPr>
              <w:t>Wykluczenie społeczne</w:t>
            </w:r>
          </w:p>
        </w:tc>
        <w:tc>
          <w:tcPr>
            <w:tcW w:w="1005" w:type="pct"/>
            <w:vAlign w:val="center"/>
          </w:tcPr>
          <w:p w14:paraId="0FEA0251" w14:textId="77777777" w:rsidR="00521CF3" w:rsidRPr="00760895" w:rsidRDefault="00521CF3" w:rsidP="00AF3207">
            <w:pPr>
              <w:pStyle w:val="Tablicadanerodek"/>
            </w:pPr>
            <w:r w:rsidRPr="00BC2B80">
              <w:t>2,5</w:t>
            </w:r>
          </w:p>
        </w:tc>
        <w:tc>
          <w:tcPr>
            <w:tcW w:w="1003" w:type="pct"/>
            <w:vAlign w:val="center"/>
          </w:tcPr>
          <w:p w14:paraId="1F67A702" w14:textId="77777777" w:rsidR="00521CF3" w:rsidRPr="00BC2B80" w:rsidRDefault="00521CF3" w:rsidP="00AF3207">
            <w:pPr>
              <w:pStyle w:val="Tablicadanerodek"/>
            </w:pPr>
            <w:r w:rsidRPr="00BC2B80">
              <w:t>7,8</w:t>
            </w:r>
          </w:p>
        </w:tc>
      </w:tr>
      <w:tr w:rsidR="00521CF3" w:rsidRPr="00760895" w14:paraId="107FD86A" w14:textId="77777777" w:rsidTr="00AF3207">
        <w:trPr>
          <w:trHeight w:val="364"/>
          <w:tblHeader/>
        </w:trPr>
        <w:tc>
          <w:tcPr>
            <w:tcW w:w="2992" w:type="pct"/>
            <w:noWrap/>
            <w:tcMar>
              <w:left w:w="0" w:type="dxa"/>
              <w:right w:w="0" w:type="dxa"/>
            </w:tcMar>
            <w:vAlign w:val="center"/>
          </w:tcPr>
          <w:p w14:paraId="269CE2FE" w14:textId="77777777" w:rsidR="00521CF3" w:rsidRPr="00760895" w:rsidRDefault="00521CF3" w:rsidP="00AF3207">
            <w:pPr>
              <w:pStyle w:val="Tablicaboczek"/>
              <w:rPr>
                <w:rFonts w:eastAsiaTheme="majorEastAsia"/>
              </w:rPr>
            </w:pPr>
            <w:r w:rsidRPr="00760895">
              <w:rPr>
                <w:rFonts w:eastAsiaTheme="majorEastAsia"/>
              </w:rPr>
              <w:t>Bezrobocie</w:t>
            </w:r>
          </w:p>
        </w:tc>
        <w:tc>
          <w:tcPr>
            <w:tcW w:w="1005" w:type="pct"/>
            <w:vAlign w:val="center"/>
          </w:tcPr>
          <w:p w14:paraId="6BBCF3ED" w14:textId="77777777" w:rsidR="00521CF3" w:rsidRPr="00760895" w:rsidRDefault="00521CF3" w:rsidP="00AF3207">
            <w:pPr>
              <w:pStyle w:val="Tablicadanerodek"/>
            </w:pPr>
            <w:r w:rsidRPr="003F70D5">
              <w:t>4,5</w:t>
            </w:r>
          </w:p>
        </w:tc>
        <w:tc>
          <w:tcPr>
            <w:tcW w:w="1003" w:type="pct"/>
            <w:vAlign w:val="center"/>
          </w:tcPr>
          <w:p w14:paraId="4AE6BA24" w14:textId="77777777" w:rsidR="00521CF3" w:rsidRPr="003F70D5" w:rsidRDefault="00521CF3" w:rsidP="00AF3207">
            <w:pPr>
              <w:pStyle w:val="Tablicadanerodek"/>
            </w:pPr>
            <w:r w:rsidRPr="003F70D5">
              <w:t>1,7</w:t>
            </w:r>
          </w:p>
        </w:tc>
      </w:tr>
      <w:tr w:rsidR="00521CF3" w14:paraId="37708C74" w14:textId="77777777" w:rsidTr="00AF3207">
        <w:trPr>
          <w:trHeight w:val="364"/>
          <w:tblHeader/>
        </w:trPr>
        <w:tc>
          <w:tcPr>
            <w:tcW w:w="2992" w:type="pct"/>
            <w:noWrap/>
            <w:tcMar>
              <w:left w:w="0" w:type="dxa"/>
              <w:right w:w="0" w:type="dxa"/>
            </w:tcMar>
            <w:vAlign w:val="center"/>
          </w:tcPr>
          <w:p w14:paraId="139E0C1D" w14:textId="77777777" w:rsidR="00521CF3" w:rsidRPr="00760895" w:rsidRDefault="00521CF3" w:rsidP="00AF3207">
            <w:pPr>
              <w:pStyle w:val="Tablicaboczek"/>
              <w:rPr>
                <w:rFonts w:eastAsiaTheme="majorEastAsia"/>
              </w:rPr>
            </w:pPr>
            <w:r w:rsidRPr="00760895">
              <w:rPr>
                <w:rFonts w:eastAsiaTheme="majorEastAsia"/>
              </w:rPr>
              <w:t>Mieszkalnictwo</w:t>
            </w:r>
          </w:p>
        </w:tc>
        <w:tc>
          <w:tcPr>
            <w:tcW w:w="1005" w:type="pct"/>
            <w:vAlign w:val="center"/>
          </w:tcPr>
          <w:p w14:paraId="31437174" w14:textId="77777777" w:rsidR="00521CF3" w:rsidRDefault="00521CF3" w:rsidP="00AF3207">
            <w:pPr>
              <w:pStyle w:val="Tablicadanerodek"/>
            </w:pPr>
            <w:r w:rsidRPr="00C03467">
              <w:t>–</w:t>
            </w:r>
          </w:p>
        </w:tc>
        <w:tc>
          <w:tcPr>
            <w:tcW w:w="1003" w:type="pct"/>
            <w:vAlign w:val="center"/>
          </w:tcPr>
          <w:p w14:paraId="03643C78" w14:textId="77777777" w:rsidR="00521CF3" w:rsidRPr="00400436" w:rsidRDefault="00521CF3" w:rsidP="00AF3207">
            <w:pPr>
              <w:pStyle w:val="Tablicadanerodek"/>
            </w:pPr>
            <w:r w:rsidRPr="00400436">
              <w:t>0,9</w:t>
            </w:r>
          </w:p>
        </w:tc>
      </w:tr>
    </w:tbl>
    <w:p w14:paraId="73C91534" w14:textId="77777777" w:rsidR="00164FC5" w:rsidRPr="001F040D" w:rsidRDefault="00183BBA">
      <w:pPr>
        <w:pStyle w:val="Tablicanotka"/>
        <w:rPr>
          <w:lang w:val="pl-PL"/>
        </w:rPr>
      </w:pPr>
      <w:r w:rsidRPr="001F040D">
        <w:rPr>
          <w:lang w:val="pl-PL"/>
        </w:rPr>
        <w:t>Kreska (–) oznacza, że zjawisko nie wystąpiło.</w:t>
      </w:r>
    </w:p>
    <w:bookmarkEnd w:id="0"/>
    <w:bookmarkEnd w:id="1"/>
    <w:p w14:paraId="043F6EA5" w14:textId="7D069669" w:rsidR="00C845EC" w:rsidRDefault="00B75800" w:rsidP="00C845EC">
      <w:pPr>
        <w:pStyle w:val="Nagwek2"/>
        <w:rPr>
          <w:lang w:val="pl-PL"/>
        </w:rPr>
      </w:pPr>
      <w:r w:rsidRPr="000F761C">
        <w:rPr>
          <w:noProof/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3BE7700D" wp14:editId="391C72AF">
                <wp:simplePos x="0" y="0"/>
                <wp:positionH relativeFrom="page">
                  <wp:align>right</wp:align>
                </wp:positionH>
                <wp:positionV relativeFrom="paragraph">
                  <wp:posOffset>323215</wp:posOffset>
                </wp:positionV>
                <wp:extent cx="1725295" cy="907415"/>
                <wp:effectExtent l="0" t="0" r="0" b="0"/>
                <wp:wrapTight wrapText="bothSides">
                  <wp:wrapPolygon edited="0">
                    <wp:start x="715" y="0"/>
                    <wp:lineTo x="715" y="20859"/>
                    <wp:lineTo x="20749" y="20859"/>
                    <wp:lineTo x="20749" y="0"/>
                    <wp:lineTo x="715" y="0"/>
                  </wp:wrapPolygon>
                </wp:wrapTight>
                <wp:docPr id="15" name="Pole tekstowe 15" descr="Polska przeznaczyła na świadczenia ochrony socjalnej 22,5% PK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E7CB0" w14:textId="77777777" w:rsidR="000E7E84" w:rsidRPr="001B1BFF" w:rsidRDefault="002D4CB8" w:rsidP="000E7E84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Polska przeznaczyła na świadczenia ochrony socjalnej 22,5% PKB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7700D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9" type="#_x0000_t202" alt="Polska przeznaczyła na świadczenia ochrony socjalnej 22,5% PKB" style="position:absolute;margin-left:84.65pt;margin-top:25.45pt;width:135.85pt;height:71.45pt;z-index:-25154252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" filled="f" stroked="f">
                <v:textbox>
                  <w:txbxContent>
                    <w:p w14:paraId="622E7CB0" w14:textId="77777777" w:rsidR="000E7E84" w:rsidRPr="001B1BFF" w:rsidRDefault="002D4CB8" w:rsidP="000E7E84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Polska przeznaczyła na świadczenia ochrony socjalnej 22,5% PKB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845EC">
        <w:rPr>
          <w:lang w:val="pl-PL"/>
        </w:rPr>
        <w:t>Wyda</w:t>
      </w:r>
      <w:r w:rsidR="00C845EC" w:rsidRPr="0015338E">
        <w:rPr>
          <w:lang w:val="pl-PL"/>
        </w:rPr>
        <w:t xml:space="preserve">tki na świadczenia </w:t>
      </w:r>
      <w:r w:rsidR="00C845EC">
        <w:rPr>
          <w:lang w:val="pl-PL"/>
        </w:rPr>
        <w:t>ochrony socjalnej w Europie w 2023 r.</w:t>
      </w:r>
    </w:p>
    <w:p w14:paraId="10846212" w14:textId="04138CA0" w:rsidR="00C845EC" w:rsidRPr="00C845EC" w:rsidRDefault="00545A97" w:rsidP="00C845EC">
      <w:pPr>
        <w:rPr>
          <w:lang w:eastAsia="pl-PL"/>
        </w:rPr>
      </w:pPr>
      <w:r w:rsidRPr="009B749A">
        <w:rPr>
          <w:lang w:eastAsia="pl-PL"/>
        </w:rPr>
        <w:t xml:space="preserve">Najwyższy udział wydatków na świadczenia ochrony socjalnej w PKB </w:t>
      </w:r>
      <w:r>
        <w:rPr>
          <w:lang w:eastAsia="pl-PL"/>
        </w:rPr>
        <w:t xml:space="preserve">w 2023 r. </w:t>
      </w:r>
      <w:r w:rsidRPr="009B749A">
        <w:rPr>
          <w:lang w:eastAsia="pl-PL"/>
        </w:rPr>
        <w:t>wystąpił we Francji (33,8%), a najniższy w Turcji (10,0%).</w:t>
      </w:r>
      <w:r>
        <w:rPr>
          <w:lang w:eastAsia="pl-PL"/>
        </w:rPr>
        <w:t xml:space="preserve"> Polska przeznaczyła na świadczenia ochrony socjalnej 22,5% PKB (w 2022 r. – 20,6%). Zbliżony udział odnotowano w Luksemburgu (22,5%) i</w:t>
      </w:r>
      <w:r w:rsidR="00212EF0">
        <w:rPr>
          <w:lang w:eastAsia="pl-PL"/>
        </w:rPr>
        <w:t> </w:t>
      </w:r>
      <w:r>
        <w:rPr>
          <w:lang w:eastAsia="pl-PL"/>
        </w:rPr>
        <w:t xml:space="preserve">Słowenii (23,1%). </w:t>
      </w:r>
    </w:p>
    <w:p w14:paraId="41B313DF" w14:textId="1083200C" w:rsidR="00B16871" w:rsidRPr="00DF7A92" w:rsidRDefault="009B749A" w:rsidP="007277B5">
      <w:pPr>
        <w:pStyle w:val="Tytuwykresu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779072" behindDoc="0" locked="0" layoutInCell="1" allowOverlap="1" wp14:anchorId="18EC4995" wp14:editId="3BCF8CD4">
            <wp:simplePos x="0" y="0"/>
            <wp:positionH relativeFrom="column">
              <wp:posOffset>0</wp:posOffset>
            </wp:positionH>
            <wp:positionV relativeFrom="paragraph">
              <wp:posOffset>495935</wp:posOffset>
            </wp:positionV>
            <wp:extent cx="4919980" cy="2237740"/>
            <wp:effectExtent l="0" t="0" r="0" b="0"/>
            <wp:wrapTopAndBottom/>
            <wp:docPr id="17" name="Obraz 17" descr="Wykres przedstawia wydatki na świadczenia pieniężne i rzeczowe w Polsce i w Europie w 2023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98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45EC" w:rsidRPr="00DF7A92">
        <w:rPr>
          <w:lang w:val="pl-PL"/>
        </w:rPr>
        <w:t>Wykres 2. Wydatki na świadczenia pieniężne i rzeczowe w 2023 r.</w:t>
      </w:r>
    </w:p>
    <w:p w14:paraId="0E0E28DB" w14:textId="77777777" w:rsidR="0007410F" w:rsidRPr="00ED179B" w:rsidRDefault="0007410F" w:rsidP="004D3EB9">
      <w:pPr>
        <w:pStyle w:val="Tablicanotka"/>
        <w:spacing w:before="240"/>
        <w:rPr>
          <w:shd w:val="clear" w:color="auto" w:fill="FFFFFF"/>
          <w:lang w:val="pl-PL"/>
        </w:rPr>
      </w:pPr>
      <w:r w:rsidRPr="00793E2C">
        <w:rPr>
          <w:shd w:val="clear" w:color="auto" w:fill="FFFFFF"/>
          <w:lang w:val="pl-PL"/>
        </w:rPr>
        <w:t>Źródło: Eurostat</w:t>
      </w:r>
      <w:r>
        <w:rPr>
          <w:shd w:val="clear" w:color="auto" w:fill="FFFFFF"/>
          <w:lang w:val="pl-PL"/>
        </w:rPr>
        <w:t>.</w:t>
      </w:r>
    </w:p>
    <w:p w14:paraId="5042210A" w14:textId="52777F7D" w:rsidR="0072722A" w:rsidRDefault="00D90D3F" w:rsidP="008F1F6A">
      <w:pPr>
        <w:spacing w:before="360" w:after="1200"/>
      </w:pPr>
      <w:r>
        <w:t>W 2023 r. wydatki na świadczenia pieniężne w Polsce stanowiły 71,</w:t>
      </w:r>
      <w:r w:rsidR="0007410F">
        <w:t>4</w:t>
      </w:r>
      <w:r>
        <w:t xml:space="preserve">% wydatków na świadczenia ochrony socjalnej, tj. więcej niż średnio w Unii Europejskiej (64,8%). </w:t>
      </w:r>
    </w:p>
    <w:p w14:paraId="13FA616A" w14:textId="5A1A1668" w:rsidR="00C845EC" w:rsidRPr="00DF7A92" w:rsidRDefault="00056CD9" w:rsidP="007277B5">
      <w:pPr>
        <w:pStyle w:val="Tytuwykresu"/>
        <w:rPr>
          <w:lang w:val="pl-PL"/>
        </w:rPr>
      </w:pPr>
      <w:r>
        <w:rPr>
          <w:shd w:val="clear" w:color="auto" w:fill="FFFFFF"/>
          <w:lang w:val="pl-PL"/>
        </w:rPr>
        <w:lastRenderedPageBreak/>
        <w:drawing>
          <wp:anchor distT="0" distB="0" distL="114300" distR="114300" simplePos="0" relativeHeight="251780096" behindDoc="0" locked="0" layoutInCell="1" allowOverlap="1" wp14:anchorId="3FA40F5C" wp14:editId="75E5FC4C">
            <wp:simplePos x="0" y="0"/>
            <wp:positionH relativeFrom="column">
              <wp:posOffset>0</wp:posOffset>
            </wp:positionH>
            <wp:positionV relativeFrom="paragraph">
              <wp:posOffset>183548</wp:posOffset>
            </wp:positionV>
            <wp:extent cx="5114925" cy="3115310"/>
            <wp:effectExtent l="0" t="0" r="9525" b="8890"/>
            <wp:wrapTopAndBottom/>
            <wp:docPr id="19" name="Obraz 19" descr="Mapa przedstawia udział wydatków na świadczenia ochrony socjalnej w % PKB w krajach Europy w 2023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11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5138B" w:rsidRPr="000F761C">
        <w:rPr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245A8798" wp14:editId="01B0A80C">
                <wp:simplePos x="0" y="0"/>
                <wp:positionH relativeFrom="column">
                  <wp:posOffset>5217160</wp:posOffset>
                </wp:positionH>
                <wp:positionV relativeFrom="paragraph">
                  <wp:posOffset>0</wp:posOffset>
                </wp:positionV>
                <wp:extent cx="1725295" cy="907415"/>
                <wp:effectExtent l="0" t="0" r="0" b="0"/>
                <wp:wrapTight wrapText="bothSides">
                  <wp:wrapPolygon edited="0">
                    <wp:start x="715" y="0"/>
                    <wp:lineTo x="715" y="20859"/>
                    <wp:lineTo x="20749" y="20859"/>
                    <wp:lineTo x="20749" y="0"/>
                    <wp:lineTo x="715" y="0"/>
                  </wp:wrapPolygon>
                </wp:wrapTight>
                <wp:docPr id="13" name="Pole tekstowe 13" descr="Najwyższy udział wydatków na świadczenia ochrony socjalnej w PKB wystąpił we Francji (33,8%), a najniższy w Turcji (10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090C1" w14:textId="77777777" w:rsidR="00D5138B" w:rsidRPr="001B1BFF" w:rsidRDefault="00D5138B" w:rsidP="00D5138B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D5138B">
                              <w:rPr>
                                <w:lang w:val="pl-PL"/>
                              </w:rPr>
                              <w:t>Najwyższy udział wydatków na świadczenia ochrony socjalnej w PKB wystąpił we</w:t>
                            </w:r>
                            <w:r w:rsidR="007002E8">
                              <w:rPr>
                                <w:lang w:val="pl-PL"/>
                              </w:rPr>
                              <w:t> </w:t>
                            </w:r>
                            <w:r w:rsidRPr="00D5138B">
                              <w:rPr>
                                <w:lang w:val="pl-PL"/>
                              </w:rPr>
                              <w:t>Francji (33,8%), a</w:t>
                            </w:r>
                            <w:r w:rsidR="007002E8">
                              <w:rPr>
                                <w:lang w:val="pl-PL"/>
                              </w:rPr>
                              <w:t> </w:t>
                            </w:r>
                            <w:r w:rsidRPr="00D5138B">
                              <w:rPr>
                                <w:lang w:val="pl-PL"/>
                              </w:rPr>
                              <w:t>najniższy w</w:t>
                            </w:r>
                            <w:r w:rsidR="007002E8">
                              <w:rPr>
                                <w:lang w:val="pl-PL"/>
                              </w:rPr>
                              <w:t> </w:t>
                            </w:r>
                            <w:r w:rsidRPr="00D5138B">
                              <w:rPr>
                                <w:lang w:val="pl-PL"/>
                              </w:rPr>
                              <w:t>Turcji (10,0%)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A8798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0" type="#_x0000_t202" alt="Najwyższy udział wydatków na świadczenia ochrony socjalnej w PKB wystąpił we Francji (33,8%), a najniższy w Turcji (10,0%)" style="position:absolute;margin-left:410.8pt;margin-top:0;width:135.85pt;height:71.4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" filled="f" stroked="f">
                <v:textbox>
                  <w:txbxContent>
                    <w:p w14:paraId="3A1090C1" w14:textId="77777777" w:rsidR="00D5138B" w:rsidRPr="001B1BFF" w:rsidRDefault="00D5138B" w:rsidP="00D5138B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D5138B">
                        <w:rPr>
                          <w:lang w:val="pl-PL"/>
                        </w:rPr>
                        <w:t>Najwyższy udział wydatków na świadczenia ochrony socjalnej w PKB wystąpił we</w:t>
                      </w:r>
                      <w:r w:rsidR="007002E8">
                        <w:rPr>
                          <w:lang w:val="pl-PL"/>
                        </w:rPr>
                        <w:t> </w:t>
                      </w:r>
                      <w:r w:rsidRPr="00D5138B">
                        <w:rPr>
                          <w:lang w:val="pl-PL"/>
                        </w:rPr>
                        <w:t>Francji (33,8%), a</w:t>
                      </w:r>
                      <w:r w:rsidR="007002E8">
                        <w:rPr>
                          <w:lang w:val="pl-PL"/>
                        </w:rPr>
                        <w:t> </w:t>
                      </w:r>
                      <w:r w:rsidRPr="00D5138B">
                        <w:rPr>
                          <w:lang w:val="pl-PL"/>
                        </w:rPr>
                        <w:t>najniższy w</w:t>
                      </w:r>
                      <w:r w:rsidR="007002E8">
                        <w:rPr>
                          <w:lang w:val="pl-PL"/>
                        </w:rPr>
                        <w:t> </w:t>
                      </w:r>
                      <w:r w:rsidRPr="00D5138B">
                        <w:rPr>
                          <w:lang w:val="pl-PL"/>
                        </w:rPr>
                        <w:t>Turcji (10,0%)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845EC" w:rsidRPr="00DF7A92">
        <w:rPr>
          <w:lang w:val="pl-PL"/>
        </w:rPr>
        <w:t>Mapa 1. Udział wydatków na świadczenia ochrony socjalnej w krajach Europy w 2023 r.</w:t>
      </w:r>
      <w:r w:rsidR="00D5138B" w:rsidRPr="00D5138B">
        <w:rPr>
          <w:spacing w:val="-2"/>
          <w:lang w:val="pl-PL"/>
        </w:rPr>
        <w:t xml:space="preserve"> </w:t>
      </w:r>
    </w:p>
    <w:p w14:paraId="0777DEC0" w14:textId="0B6FC660" w:rsidR="00A5747D" w:rsidRDefault="009136B3" w:rsidP="00A5747D">
      <w:pPr>
        <w:pStyle w:val="Tablicanotka"/>
        <w:rPr>
          <w:shd w:val="clear" w:color="auto" w:fill="FFFFFF"/>
          <w:lang w:val="pl-PL"/>
        </w:rPr>
      </w:pPr>
      <w:r w:rsidRPr="00793E2C">
        <w:rPr>
          <w:shd w:val="clear" w:color="auto" w:fill="FFFFFF"/>
          <w:lang w:val="pl-PL"/>
        </w:rPr>
        <w:t>Źródło: Eurostat</w:t>
      </w:r>
      <w:r>
        <w:rPr>
          <w:shd w:val="clear" w:color="auto" w:fill="FFFFFF"/>
          <w:lang w:val="pl-PL"/>
        </w:rPr>
        <w:t>.</w:t>
      </w:r>
    </w:p>
    <w:p w14:paraId="1CA92AEB" w14:textId="51788ACB" w:rsidR="00A5747D" w:rsidRDefault="000B33D3" w:rsidP="00893DC8">
      <w:pPr>
        <w:suppressAutoHyphens w:val="0"/>
        <w:spacing w:before="240"/>
        <w:rPr>
          <w:sz w:val="16"/>
          <w:shd w:val="clear" w:color="auto" w:fill="FFFFFF"/>
        </w:rPr>
      </w:pPr>
      <w:r>
        <w:t xml:space="preserve">Udział wydatków na świadczenia zależne od dochodu był w Polsce niższy niż średnio w UE. </w:t>
      </w:r>
      <w:r w:rsidR="00051ED8">
        <w:t>Wydatki na świadczenia pieniężne zależne od dochodu stanowiły 1,3% ogółu wydatków, a na świadczenia rzeczowe zależne od dochodu – 0,2%; w UE było to odpowiednio 6,0% i 4,9%.</w:t>
      </w:r>
      <w:r w:rsidR="00A5747D">
        <w:rPr>
          <w:shd w:val="clear" w:color="auto" w:fill="FFFFFF"/>
        </w:rPr>
        <w:br w:type="page"/>
      </w:r>
    </w:p>
    <w:p w14:paraId="20E03192" w14:textId="77777777" w:rsidR="00A5747D" w:rsidRDefault="00A5747D" w:rsidP="00A5747D">
      <w:pPr>
        <w:pStyle w:val="Nagwek2"/>
        <w:pageBreakBefore/>
        <w:rPr>
          <w:shd w:val="clear" w:color="auto" w:fill="FFFFFF"/>
          <w:lang w:val="pl-PL"/>
        </w:rPr>
      </w:pPr>
      <w:r w:rsidRPr="00E02E1F">
        <w:rPr>
          <w:shd w:val="clear" w:color="auto" w:fill="FFFFFF"/>
          <w:lang w:val="pl-PL"/>
        </w:rPr>
        <w:lastRenderedPageBreak/>
        <w:t xml:space="preserve">Uwagi </w:t>
      </w:r>
      <w:r>
        <w:rPr>
          <w:shd w:val="clear" w:color="auto" w:fill="FFFFFF"/>
          <w:lang w:val="pl-PL"/>
        </w:rPr>
        <w:t>metodologiczne</w:t>
      </w:r>
    </w:p>
    <w:p w14:paraId="53DA6A5B" w14:textId="77777777" w:rsidR="00A5747D" w:rsidRDefault="00A5747D" w:rsidP="00A5747D">
      <w:r w:rsidRPr="00E02E1F">
        <w:rPr>
          <w:b/>
          <w:lang w:eastAsia="pl-PL"/>
        </w:rPr>
        <w:t xml:space="preserve">Europejski System Zintegrowanych Statystyk Ochrony Socjalnej (ESSPROS) </w:t>
      </w:r>
      <w:r w:rsidRPr="00E02E1F">
        <w:rPr>
          <w:lang w:eastAsia="pl-PL"/>
        </w:rPr>
        <w:t xml:space="preserve">został opracowany przez Eurostat </w:t>
      </w:r>
      <w:r>
        <w:rPr>
          <w:lang w:eastAsia="pl-PL"/>
        </w:rPr>
        <w:t>jako jednolita metodologia</w:t>
      </w:r>
      <w:r w:rsidRPr="00E02E1F">
        <w:rPr>
          <w:lang w:eastAsia="pl-PL"/>
        </w:rPr>
        <w:t xml:space="preserve"> statystycznej obserwacji ochrony socjalnej. Podstawowym celem metodologii ESSPROS jest zapewnienie kompleksowego i</w:t>
      </w:r>
      <w:r>
        <w:rPr>
          <w:lang w:eastAsia="pl-PL"/>
        </w:rPr>
        <w:t> </w:t>
      </w:r>
      <w:r w:rsidRPr="00E02E1F">
        <w:rPr>
          <w:lang w:eastAsia="pl-PL"/>
        </w:rPr>
        <w:t>spójnego opisu ochrony socjalnej w państwach członkowskich Unii Europejskiej poprzez obliczenie wartości pełnego zakresu świadczeń i ich finansowania, tak by umożliwić międzynarodową porównywalność</w:t>
      </w:r>
      <w:r>
        <w:rPr>
          <w:lang w:eastAsia="pl-PL"/>
        </w:rPr>
        <w:t xml:space="preserve"> danych</w:t>
      </w:r>
      <w:r w:rsidRPr="00E02E1F">
        <w:rPr>
          <w:lang w:eastAsia="pl-PL"/>
        </w:rPr>
        <w:t>.</w:t>
      </w:r>
      <w:r>
        <w:rPr>
          <w:lang w:eastAsia="pl-PL"/>
        </w:rPr>
        <w:t xml:space="preserve"> </w:t>
      </w:r>
      <w:r w:rsidRPr="009E5391">
        <w:t>Świadczenia ochrony socjalnej w systemie E</w:t>
      </w:r>
      <w:r>
        <w:t>S</w:t>
      </w:r>
      <w:r w:rsidRPr="009E5391">
        <w:t>SPROS grupowane są według ośmiu funkcji: Zdrowie, Niepełnosprawność, Podeszły wiek, Utrata bliskiej osoby, Rodzina/dzieci, Bezrobocie, Mieszkalnictwo, Wykluczenie społeczne</w:t>
      </w:r>
      <w:r>
        <w:t xml:space="preserve">. </w:t>
      </w:r>
    </w:p>
    <w:p w14:paraId="7D2F075C" w14:textId="77777777" w:rsidR="00A5747D" w:rsidRPr="00E02E1F" w:rsidRDefault="00A5747D" w:rsidP="00A5747D">
      <w:pPr>
        <w:rPr>
          <w:lang w:eastAsia="pl-PL"/>
        </w:rPr>
      </w:pPr>
      <w:r w:rsidRPr="00E02E1F">
        <w:rPr>
          <w:b/>
          <w:lang w:eastAsia="pl-PL"/>
        </w:rPr>
        <w:t>Zakres świadczeń</w:t>
      </w:r>
      <w:r w:rsidRPr="00E02E1F">
        <w:rPr>
          <w:lang w:eastAsia="pl-PL"/>
        </w:rPr>
        <w:t xml:space="preserve"> przyznawanych z tytułu ochrony socjalnej w Polsce został ustalony </w:t>
      </w:r>
      <w:r>
        <w:rPr>
          <w:lang w:eastAsia="pl-PL"/>
        </w:rPr>
        <w:t>w ramach realizacji badania w Programie badań statystycznych statystyki publicznej pt. „</w:t>
      </w:r>
      <w:r w:rsidRPr="00A75B27">
        <w:rPr>
          <w:lang w:eastAsia="pl-PL"/>
        </w:rPr>
        <w:t>Rachunki ochrony socjalnej: Satelitarny rachunek ochrony socjalnej, Europejski system zintegrowanych statystyk na temat ochrony socjalnej (ESSPROS)</w:t>
      </w:r>
      <w:r>
        <w:rPr>
          <w:lang w:eastAsia="pl-PL"/>
        </w:rPr>
        <w:t>”</w:t>
      </w:r>
      <w:bookmarkStart w:id="2" w:name="_Hlk206494741"/>
      <w:r>
        <w:rPr>
          <w:lang w:eastAsia="pl-PL"/>
        </w:rPr>
        <w:t>.</w:t>
      </w:r>
    </w:p>
    <w:bookmarkEnd w:id="2"/>
    <w:p w14:paraId="103A609E" w14:textId="77777777" w:rsidR="00A5747D" w:rsidRPr="00E02E1F" w:rsidRDefault="00A5747D" w:rsidP="00A5747D">
      <w:pPr>
        <w:rPr>
          <w:lang w:eastAsia="pl-PL"/>
        </w:rPr>
      </w:pPr>
      <w:r w:rsidRPr="00E02E1F">
        <w:rPr>
          <w:lang w:eastAsia="pl-PL"/>
        </w:rPr>
        <w:t>Według metodologii ES</w:t>
      </w:r>
      <w:r>
        <w:rPr>
          <w:lang w:eastAsia="pl-PL"/>
        </w:rPr>
        <w:t>S</w:t>
      </w:r>
      <w:r w:rsidRPr="00E02E1F">
        <w:rPr>
          <w:lang w:eastAsia="pl-PL"/>
        </w:rPr>
        <w:t xml:space="preserve">PROS wyróżnia się cztery kategorie wydatków: </w:t>
      </w:r>
      <w:r w:rsidRPr="00E02E1F">
        <w:rPr>
          <w:b/>
          <w:lang w:eastAsia="pl-PL"/>
        </w:rPr>
        <w:t>świadczenia ochrony socjalnej</w:t>
      </w:r>
      <w:r w:rsidRPr="00E02E1F">
        <w:rPr>
          <w:lang w:eastAsia="pl-PL"/>
        </w:rPr>
        <w:t xml:space="preserve">, </w:t>
      </w:r>
      <w:r w:rsidRPr="00E02E1F">
        <w:rPr>
          <w:b/>
          <w:lang w:eastAsia="pl-PL"/>
        </w:rPr>
        <w:t>koszty administracyjne</w:t>
      </w:r>
      <w:r w:rsidRPr="00E02E1F">
        <w:rPr>
          <w:lang w:eastAsia="pl-PL"/>
        </w:rPr>
        <w:t xml:space="preserve"> związane z realizacją świadczeń, </w:t>
      </w:r>
      <w:r w:rsidRPr="00E02E1F">
        <w:rPr>
          <w:b/>
          <w:lang w:eastAsia="pl-PL"/>
        </w:rPr>
        <w:t xml:space="preserve">transfery do innych systemów </w:t>
      </w:r>
      <w:r w:rsidRPr="00E02E1F">
        <w:rPr>
          <w:lang w:eastAsia="pl-PL"/>
        </w:rPr>
        <w:t xml:space="preserve">oraz </w:t>
      </w:r>
      <w:r w:rsidRPr="00E02E1F">
        <w:rPr>
          <w:b/>
          <w:lang w:eastAsia="pl-PL"/>
        </w:rPr>
        <w:t>pozostałe wydatki</w:t>
      </w:r>
      <w:r w:rsidRPr="00E02E1F">
        <w:rPr>
          <w:lang w:eastAsia="pl-PL"/>
        </w:rPr>
        <w:t>.</w:t>
      </w:r>
    </w:p>
    <w:p w14:paraId="2A993B2E" w14:textId="001B81E3" w:rsidR="00A5747D" w:rsidRDefault="00A5747D" w:rsidP="00E7442D">
      <w:pPr>
        <w:spacing w:before="0" w:after="4920"/>
      </w:pPr>
      <w:r w:rsidRPr="00E02E1F">
        <w:rPr>
          <w:b/>
          <w:lang w:eastAsia="pl-PL"/>
        </w:rPr>
        <w:t>Świadczenia ochrony socjalnej</w:t>
      </w:r>
      <w:r w:rsidRPr="00E02E1F">
        <w:rPr>
          <w:lang w:eastAsia="pl-PL"/>
        </w:rPr>
        <w:t xml:space="preserve"> dzielą się na transfery pieniężne i rzeczowe, przekazywane gospodarstwom domowym i osobom fizycznym w celu zwolnienia ich z ciężaru określonego rodzaju ryzyka lub zaspokojenia określonej potrzeby. </w:t>
      </w:r>
      <w:r w:rsidRPr="000B0C85">
        <w:t xml:space="preserve">Świadczenia pieniężne nie wymagają udokumentowania rzeczywistych wydatków. Świadczenia rzeczowe realizowane </w:t>
      </w:r>
      <w:r>
        <w:t xml:space="preserve">są </w:t>
      </w:r>
      <w:r w:rsidRPr="000B0C85">
        <w:t>w formie towarów i usług. Mogą one być udzielane bezpośrednio lub jako zwrot kosztów i wymagają udokumentowania.</w:t>
      </w:r>
      <w:r>
        <w:t xml:space="preserve"> Ze względu na kryterium dochodowe wyróżnia się świadczenia zależne od dochodu i niezależne od dochodu</w:t>
      </w:r>
      <w:r w:rsidRPr="000B0C85">
        <w:t>.</w:t>
      </w:r>
    </w:p>
    <w:p w14:paraId="53802CE0" w14:textId="77777777" w:rsidR="00A5747D" w:rsidRPr="00C248C7" w:rsidRDefault="00A5747D" w:rsidP="00A5747D">
      <w:pPr>
        <w:rPr>
          <w:lang w:eastAsia="pl-PL"/>
        </w:rPr>
      </w:pPr>
      <w:r w:rsidRPr="00C248C7">
        <w:rPr>
          <w:lang w:eastAsia="pl-PL"/>
        </w:rPr>
        <w:t>Ze względu na zaokrąglenia danych, w niektórych przypadkach sumy składników mogą się nieznacznie różnić od podanych wielkości „ogółem”.</w:t>
      </w:r>
    </w:p>
    <w:p w14:paraId="77466D0E" w14:textId="77777777" w:rsidR="00D94466" w:rsidRPr="00A5747D" w:rsidRDefault="00D94466" w:rsidP="00A5747D">
      <w:pPr>
        <w:rPr>
          <w:shd w:val="clear" w:color="auto" w:fill="FFFFFF"/>
        </w:rPr>
      </w:pPr>
    </w:p>
    <w:p w14:paraId="63D2B090" w14:textId="62D0BBC2" w:rsidR="00694AF0" w:rsidRPr="000F761C" w:rsidRDefault="00051ED8" w:rsidP="00A5747D">
      <w:pPr>
        <w:rPr>
          <w:sz w:val="18"/>
        </w:rPr>
      </w:pPr>
      <w:r w:rsidRPr="00051ED8">
        <w:rPr>
          <w:shd w:val="clear" w:color="auto" w:fill="FFFFFF"/>
        </w:rPr>
        <w:t>W przypadku cytowania tej publikacji prosimy o podanie jej tytułu oraz wskazanie Głównego Urzędu Statystycznego (GUS) jako autora. W sytuacji publikowania własnych obliczeń wykonanych na podstawie danych z tej publikacji, należy dodać zapis: Opracowanie własne na podstawie danych z publikacji GUS pt</w:t>
      </w:r>
      <w:r w:rsidR="008C0796">
        <w:rPr>
          <w:shd w:val="clear" w:color="auto" w:fill="FFFFFF"/>
        </w:rPr>
        <w:t xml:space="preserve">. </w:t>
      </w:r>
      <w:r>
        <w:rPr>
          <w:shd w:val="clear" w:color="auto" w:fill="FFFFFF"/>
        </w:rPr>
        <w:t>„</w:t>
      </w:r>
      <w:r w:rsidR="008C0796">
        <w:rPr>
          <w:shd w:val="clear" w:color="auto" w:fill="FFFFFF"/>
        </w:rPr>
        <w:t>Świadczenia ochrony socjalnej w 2023 r.”</w:t>
      </w:r>
      <w:r w:rsidR="00D51EC1">
        <w:rPr>
          <w:shd w:val="clear" w:color="auto" w:fill="FFFFFF"/>
        </w:rPr>
        <w:t>.</w:t>
      </w:r>
    </w:p>
    <w:p w14:paraId="24CC7588" w14:textId="77777777" w:rsidR="00DA331D" w:rsidRPr="000F761C" w:rsidRDefault="00DA331D" w:rsidP="0030079A">
      <w:pPr>
        <w:rPr>
          <w:sz w:val="18"/>
        </w:rPr>
        <w:sectPr w:rsidR="00DA331D" w:rsidRPr="000F761C" w:rsidSect="002D37F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0F761C" w14:paraId="761284C9" w14:textId="77777777" w:rsidTr="0087504F">
        <w:trPr>
          <w:cantSplit/>
          <w:trHeight w:val="2763"/>
        </w:trPr>
        <w:tc>
          <w:tcPr>
            <w:tcW w:w="4926" w:type="dxa"/>
          </w:tcPr>
          <w:p w14:paraId="52C5A77D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0F761C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0F761C">
              <w:rPr>
                <w:rFonts w:cs="Arial"/>
                <w:sz w:val="20"/>
              </w:rPr>
              <w:t xml:space="preserve"> </w:t>
            </w:r>
          </w:p>
          <w:p w14:paraId="03B75263" w14:textId="77777777" w:rsidR="001F3471" w:rsidRPr="000F761C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Urząd Statystyczny w Krakowie</w:t>
            </w:r>
          </w:p>
          <w:p w14:paraId="2AE049A0" w14:textId="77777777" w:rsidR="001F3471" w:rsidRPr="000F761C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 xml:space="preserve">Dyrektor Agnieszka </w:t>
            </w:r>
            <w:proofErr w:type="spellStart"/>
            <w:r w:rsidRPr="000F761C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797558A9" w14:textId="77777777" w:rsidR="00DE2400" w:rsidRPr="000F761C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0F761C">
              <w:rPr>
                <w:sz w:val="20"/>
              </w:rPr>
              <w:t>Tel:</w:t>
            </w:r>
            <w:r w:rsidRPr="000F761C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="00A46A86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0F761C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5D74DEC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0F761C">
              <w:rPr>
                <w:rFonts w:cs="Arial"/>
                <w:sz w:val="20"/>
                <w:szCs w:val="20"/>
              </w:rPr>
              <w:t>Rozpowszechnianie:</w:t>
            </w:r>
          </w:p>
          <w:p w14:paraId="4FD51A65" w14:textId="77777777" w:rsidR="0087504F" w:rsidRPr="000F761C" w:rsidRDefault="0087504F" w:rsidP="00AF597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 xml:space="preserve">Wydział </w:t>
            </w:r>
            <w:r w:rsidR="00AF597F">
              <w:rPr>
                <w:b/>
                <w:sz w:val="20"/>
                <w:szCs w:val="20"/>
              </w:rPr>
              <w:t>Prasowy</w:t>
            </w:r>
            <w:r w:rsidRPr="000F761C">
              <w:rPr>
                <w:b/>
                <w:sz w:val="20"/>
                <w:szCs w:val="20"/>
              </w:rPr>
              <w:t xml:space="preserve"> </w:t>
            </w:r>
          </w:p>
          <w:p w14:paraId="3D626F5B" w14:textId="77777777" w:rsidR="0087504F" w:rsidRPr="000F761C" w:rsidRDefault="0087504F" w:rsidP="0087504F">
            <w:pPr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komórkowy: 695 255 032</w:t>
            </w:r>
          </w:p>
          <w:p w14:paraId="0456C7A9" w14:textId="77777777" w:rsidR="00925120" w:rsidRPr="000F761C" w:rsidRDefault="0087504F" w:rsidP="00925120">
            <w:pPr>
              <w:spacing w:after="0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stacjonarne: 22 608 38 04, 22 449 41 45,</w:t>
            </w:r>
            <w:r w:rsidR="00925120" w:rsidRPr="000F761C">
              <w:rPr>
                <w:sz w:val="20"/>
                <w:szCs w:val="20"/>
              </w:rPr>
              <w:t xml:space="preserve"> </w:t>
            </w:r>
          </w:p>
          <w:p w14:paraId="10364A75" w14:textId="77777777" w:rsidR="0087504F" w:rsidRPr="000F761C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22 608 30 09</w:t>
            </w:r>
          </w:p>
          <w:p w14:paraId="0DD3167D" w14:textId="77777777" w:rsidR="0087504F" w:rsidRPr="000F761C" w:rsidRDefault="0087504F" w:rsidP="00FB1E83">
            <w:pPr>
              <w:spacing w:before="0"/>
              <w:rPr>
                <w:b/>
              </w:rPr>
            </w:pPr>
            <w:r w:rsidRPr="000F761C">
              <w:rPr>
                <w:b/>
                <w:sz w:val="20"/>
                <w:szCs w:val="20"/>
              </w:rPr>
              <w:t>e-mail:</w:t>
            </w:r>
            <w:r w:rsidRPr="000F761C">
              <w:rPr>
                <w:sz w:val="20"/>
                <w:szCs w:val="20"/>
              </w:rPr>
              <w:t xml:space="preserve"> </w:t>
            </w:r>
            <w:hyperlink r:id="rId20" w:tooltip="adres mailowy Wydziału Prasowego" w:history="1">
              <w:r w:rsidRPr="000F761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5B6AE9" w:rsidRPr="000F761C" w14:paraId="08CE8497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3F7D08E2" w14:textId="77777777" w:rsidR="005B6AE9" w:rsidRPr="000F761C" w:rsidRDefault="005B6AE9" w:rsidP="00FB1E83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ACA954D" w14:textId="77777777" w:rsidR="005B6AE9" w:rsidRPr="002E37B8" w:rsidRDefault="00682813" w:rsidP="00747B8C">
            <w:pPr>
              <w:ind w:firstLine="680"/>
              <w:rPr>
                <w:color w:val="0000FF"/>
                <w:sz w:val="18"/>
                <w:u w:val="single"/>
              </w:rPr>
            </w:pPr>
            <w:hyperlink r:id="rId21" w:tooltip="strona internetowa" w:history="1">
              <w:r w:rsidR="005B6AE9" w:rsidRPr="002E37B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6D4FBD38" wp14:editId="61CD7F6A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2E37B8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5B6AE9" w:rsidRPr="000F761C" w14:paraId="07836335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75C1519F" w14:textId="77777777" w:rsidR="005B6AE9" w:rsidRPr="000F761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4652684" w14:textId="77777777" w:rsidR="005B6AE9" w:rsidRPr="002E37B8" w:rsidRDefault="00682813" w:rsidP="00747B8C">
            <w:pPr>
              <w:ind w:firstLine="680"/>
              <w:rPr>
                <w:sz w:val="18"/>
                <w:u w:val="single"/>
              </w:rPr>
            </w:pPr>
            <w:hyperlink r:id="rId23" w:tooltip="X" w:history="1">
              <w:r w:rsidR="003402BB" w:rsidRPr="002E37B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8832" behindDoc="0" locked="0" layoutInCell="1" allowOverlap="1" wp14:anchorId="500C71D6" wp14:editId="0877F510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36830</wp:posOffset>
                    </wp:positionV>
                    <wp:extent cx="251460" cy="251460"/>
                    <wp:effectExtent l="0" t="0" r="0" b="0"/>
                    <wp:wrapNone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2E37B8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 w:rsidR="005B6AE9" w:rsidRPr="002E37B8">
              <w:rPr>
                <w:noProof/>
                <w:sz w:val="20"/>
                <w:u w:val="single"/>
                <w:lang w:eastAsia="pl-PL"/>
              </w:rPr>
              <w:t xml:space="preserve"> </w:t>
            </w:r>
          </w:p>
        </w:tc>
      </w:tr>
      <w:tr w:rsidR="005B6AE9" w:rsidRPr="000F761C" w14:paraId="29516080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5681A625" w14:textId="77777777" w:rsidR="005B6AE9" w:rsidRPr="000F761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6CFB4A1" w14:textId="77777777" w:rsidR="005B6AE9" w:rsidRPr="002E37B8" w:rsidRDefault="005B6AE9" w:rsidP="00747B8C">
            <w:pPr>
              <w:ind w:firstLine="680"/>
              <w:rPr>
                <w:sz w:val="18"/>
                <w:u w:val="single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D0123E0" wp14:editId="562197E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 " w:history="1">
              <w:r w:rsidRPr="002E37B8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Pr="002E37B8">
              <w:rPr>
                <w:noProof/>
                <w:color w:val="0000FF"/>
                <w:sz w:val="20"/>
                <w:u w:val="single"/>
                <w:lang w:eastAsia="pl-PL"/>
              </w:rPr>
              <w:t xml:space="preserve"> </w:t>
            </w:r>
          </w:p>
        </w:tc>
      </w:tr>
      <w:tr w:rsidR="005B6AE9" w:rsidRPr="000F761C" w14:paraId="4556C91F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31EFEA70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C019FA8" w14:textId="77777777" w:rsidR="005B6AE9" w:rsidRPr="00E34EBA" w:rsidRDefault="00682813" w:rsidP="00531873">
            <w:pPr>
              <w:ind w:firstLine="680"/>
              <w:rPr>
                <w:noProof/>
                <w:sz w:val="20"/>
                <w:u w:val="single"/>
                <w:lang w:eastAsia="pl-PL"/>
              </w:rPr>
            </w:pPr>
            <w:hyperlink r:id="rId27" w:tooltip="instagram" w:history="1">
              <w:r w:rsidR="005B6AE9" w:rsidRPr="00E34EBA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4736" behindDoc="0" locked="0" layoutInCell="1" allowOverlap="1" wp14:anchorId="7E85C520" wp14:editId="057E3771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34EBA" w:rsidRPr="00E34EBA">
                <w:rPr>
                  <w:rStyle w:val="Hipercze"/>
                  <w:rFonts w:cstheme="minorBidi"/>
                </w:rPr>
                <w:t>@</w:t>
              </w:r>
              <w:r w:rsidR="005B6AE9" w:rsidRPr="00E34EBA">
                <w:rPr>
                  <w:rStyle w:val="Hipercze"/>
                  <w:rFonts w:cstheme="minorBidi"/>
                  <w:sz w:val="20"/>
                </w:rPr>
                <w:t>gus_stat</w:t>
              </w:r>
            </w:hyperlink>
          </w:p>
        </w:tc>
      </w:tr>
      <w:tr w:rsidR="005B6AE9" w:rsidRPr="000F761C" w14:paraId="346742EE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2D6E82FA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3A38D10" w14:textId="77777777" w:rsidR="005B6AE9" w:rsidRPr="00E34EBA" w:rsidRDefault="00682813" w:rsidP="00531873">
            <w:pPr>
              <w:ind w:firstLine="680"/>
              <w:rPr>
                <w:noProof/>
                <w:sz w:val="20"/>
                <w:u w:val="single"/>
                <w:lang w:eastAsia="pl-PL"/>
              </w:rPr>
            </w:pPr>
            <w:hyperlink r:id="rId29" w:tooltip="youtube" w:history="1">
              <w:r w:rsidR="005B6AE9" w:rsidRPr="00E34EBA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5760" behindDoc="0" locked="0" layoutInCell="1" allowOverlap="1" wp14:anchorId="2B070E47" wp14:editId="4656A82A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youtub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34EBA" w:rsidRPr="00E34EBA">
                <w:rPr>
                  <w:rStyle w:val="Hipercze"/>
                  <w:rFonts w:cstheme="minorBidi"/>
                </w:rPr>
                <w:t>@</w:t>
              </w:r>
              <w:r w:rsidR="00E34EBA" w:rsidRPr="00E34EBA">
                <w:rPr>
                  <w:rStyle w:val="Hipercze"/>
                  <w:sz w:val="20"/>
                </w:rPr>
                <w:t>Głó</w:t>
              </w:r>
              <w:r w:rsidR="005B6AE9" w:rsidRPr="00E34EBA">
                <w:rPr>
                  <w:rStyle w:val="Hipercze"/>
                  <w:rFonts w:cstheme="minorBidi"/>
                  <w:sz w:val="20"/>
                </w:rPr>
                <w:t>wny</w:t>
              </w:r>
              <w:r w:rsidR="00E34EBA" w:rsidRPr="00E34EBA">
                <w:rPr>
                  <w:rStyle w:val="Hipercze"/>
                  <w:rFonts w:cstheme="minorBidi"/>
                  <w:sz w:val="20"/>
                </w:rPr>
                <w:t>UrządStatystycznyGUS</w:t>
              </w:r>
            </w:hyperlink>
          </w:p>
        </w:tc>
      </w:tr>
      <w:tr w:rsidR="005B6AE9" w:rsidRPr="000F761C" w14:paraId="3B5D6D7B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87F6D10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B87FF64" w14:textId="77777777" w:rsidR="005B6AE9" w:rsidRPr="00E34EBA" w:rsidRDefault="00682813" w:rsidP="00531873">
            <w:pPr>
              <w:ind w:firstLine="680"/>
              <w:rPr>
                <w:noProof/>
                <w:color w:val="0000FF"/>
                <w:sz w:val="20"/>
                <w:u w:val="single"/>
                <w:lang w:eastAsia="pl-PL"/>
              </w:rPr>
            </w:pPr>
            <w:hyperlink r:id="rId31" w:tooltip="linkedin" w:history="1">
              <w:r w:rsidR="00E34EBA" w:rsidRPr="00E34EBA">
                <w:rPr>
                  <w:rStyle w:val="Hipercze"/>
                  <w:rFonts w:cstheme="minorBidi"/>
                </w:rPr>
                <w:t>@Główny Urząd Statystyczny</w:t>
              </w:r>
            </w:hyperlink>
            <w:r w:rsidR="005B6AE9" w:rsidRPr="00E34EBA">
              <w:rPr>
                <w:noProof/>
                <w:color w:val="0000FF"/>
                <w:sz w:val="20"/>
                <w:u w:val="single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5AEE2FA2" wp14:editId="522A930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641D16" w14:paraId="7CDEFDE2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3DCC79" w14:textId="77777777" w:rsidR="00641D16" w:rsidRPr="00F15DB1" w:rsidRDefault="00641D16" w:rsidP="00641D16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0F761C">
              <w:rPr>
                <w:b/>
              </w:rPr>
              <w:t>Powiązane opracowania</w:t>
            </w:r>
          </w:p>
          <w:p w14:paraId="7FD9E7B0" w14:textId="77777777" w:rsidR="00644AEF" w:rsidRDefault="00682813" w:rsidP="00644AEF">
            <w:pPr>
              <w:spacing w:line="240" w:lineRule="exact"/>
              <w:rPr>
                <w:rFonts w:cs="Times New Roman"/>
              </w:rPr>
            </w:pPr>
            <w:hyperlink r:id="rId33" w:history="1">
              <w:r w:rsidR="00644AEF" w:rsidRPr="00644AEF">
                <w:rPr>
                  <w:rStyle w:val="Hipercze"/>
                </w:rPr>
                <w:t>S</w:t>
              </w:r>
              <w:r w:rsidR="00644AEF" w:rsidRPr="00644AEF">
                <w:rPr>
                  <w:rStyle w:val="Hipercze"/>
                  <w:rFonts w:cstheme="minorBidi"/>
                </w:rPr>
                <w:t>atelitarny rachunek ochrony socjalnej</w:t>
              </w:r>
            </w:hyperlink>
          </w:p>
          <w:p w14:paraId="659A51CE" w14:textId="77777777" w:rsidR="00644AEF" w:rsidRDefault="00682813" w:rsidP="00644AEF">
            <w:pPr>
              <w:spacing w:line="240" w:lineRule="exact"/>
              <w:rPr>
                <w:rFonts w:cs="Times New Roman"/>
              </w:rPr>
            </w:pPr>
            <w:hyperlink r:id="rId34" w:history="1">
              <w:r w:rsidR="00644AEF" w:rsidRPr="00644AEF">
                <w:rPr>
                  <w:rStyle w:val="Hipercze"/>
                </w:rPr>
                <w:t xml:space="preserve">Informacja sygnalna „Świadczenia </w:t>
              </w:r>
              <w:r w:rsidR="00973605">
                <w:rPr>
                  <w:rStyle w:val="Hipercze"/>
                </w:rPr>
                <w:t>ochrony socjalnej</w:t>
              </w:r>
              <w:r w:rsidR="00644AEF" w:rsidRPr="00644AEF">
                <w:rPr>
                  <w:rStyle w:val="Hipercze"/>
                </w:rPr>
                <w:t xml:space="preserve"> w 2022 r.”</w:t>
              </w:r>
            </w:hyperlink>
          </w:p>
          <w:p w14:paraId="6C414A3D" w14:textId="77777777" w:rsidR="00644AEF" w:rsidRDefault="00682813" w:rsidP="00644AEF">
            <w:pPr>
              <w:spacing w:line="240" w:lineRule="exact"/>
              <w:rPr>
                <w:rFonts w:cs="Times New Roman"/>
              </w:rPr>
            </w:pPr>
            <w:hyperlink r:id="rId35" w:history="1">
              <w:r w:rsidR="00644AEF" w:rsidRPr="00644AEF">
                <w:rPr>
                  <w:rStyle w:val="Hipercze"/>
                </w:rPr>
                <w:t>I</w:t>
              </w:r>
              <w:r w:rsidR="00644AEF" w:rsidRPr="00644AEF">
                <w:rPr>
                  <w:rStyle w:val="Hipercze"/>
                  <w:rFonts w:cstheme="minorBidi"/>
                </w:rPr>
                <w:t>nfografika „Europejski System Zintegrowanych Statystyk Ochrony Socjalnej w 2022 r.”</w:t>
              </w:r>
            </w:hyperlink>
          </w:p>
          <w:p w14:paraId="1FC9F069" w14:textId="77777777" w:rsidR="00644AEF" w:rsidRPr="00644AEF" w:rsidRDefault="00682813" w:rsidP="00E35D8D">
            <w:pPr>
              <w:spacing w:line="240" w:lineRule="exact"/>
              <w:rPr>
                <w:rStyle w:val="Hipercze"/>
              </w:rPr>
            </w:pPr>
            <w:hyperlink r:id="rId36" w:history="1">
              <w:r w:rsidR="00644AEF" w:rsidRPr="00644AEF">
                <w:rPr>
                  <w:rStyle w:val="Hipercze"/>
                </w:rPr>
                <w:t>D</w:t>
              </w:r>
              <w:r w:rsidR="00644AEF" w:rsidRPr="00644AEF">
                <w:rPr>
                  <w:rStyle w:val="Hipercze"/>
                  <w:rFonts w:cstheme="minorBidi"/>
                </w:rPr>
                <w:t>ashboard „Świadczenia ochrony socjalnej”</w:t>
              </w:r>
            </w:hyperlink>
          </w:p>
          <w:p w14:paraId="2118B580" w14:textId="77777777" w:rsidR="00DF25CA" w:rsidRPr="000F761C" w:rsidRDefault="00DF25CA" w:rsidP="00DF25CA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0F761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BF7C2AC" w14:textId="77777777" w:rsidR="00DF25CA" w:rsidRPr="00DF25CA" w:rsidRDefault="00DF25CA" w:rsidP="00DF25CA">
            <w:pPr>
              <w:spacing w:line="240" w:lineRule="exact"/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"https://ec.europa.eu/eurostat/data/database" \o "Bank Danych Lokalnych"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Pr="00DF25CA">
              <w:rPr>
                <w:rStyle w:val="Hipercze"/>
              </w:rPr>
              <w:t>B</w:t>
            </w:r>
            <w:r w:rsidRPr="00DF25CA">
              <w:rPr>
                <w:rStyle w:val="Hipercze"/>
                <w:rFonts w:cstheme="minorBidi"/>
              </w:rPr>
              <w:t>az</w:t>
            </w:r>
            <w:r w:rsidRPr="00E35D8D">
              <w:rPr>
                <w:rStyle w:val="Hipercze"/>
                <w:rFonts w:cstheme="minorBidi"/>
              </w:rPr>
              <w:t>y danych Eurostatu</w:t>
            </w:r>
          </w:p>
          <w:p w14:paraId="7AF40BC9" w14:textId="77777777" w:rsidR="00641D16" w:rsidRPr="000F761C" w:rsidRDefault="00DF25CA" w:rsidP="00DF25CA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641D16" w:rsidRPr="000F761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F750CE9" w14:textId="77777777" w:rsidR="00641D16" w:rsidRPr="00791EF8" w:rsidRDefault="00641D16" w:rsidP="00641D16">
            <w:pPr>
              <w:rPr>
                <w:rStyle w:val="Hipercze"/>
              </w:rPr>
            </w:pPr>
            <w:r w:rsidRPr="000F761C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"https://stat.gov.pl/metainformacje/slownik-pojec/pojecia-stosowane-w-statystyce-publicznej/2118,pojecie.html" \o "Pomoc społeczna"</w:instrText>
            </w:r>
            <w:r w:rsidRPr="000F761C">
              <w:rPr>
                <w:rFonts w:cs="Times New Roman"/>
              </w:rPr>
            </w:r>
            <w:r w:rsidRPr="000F761C">
              <w:rPr>
                <w:rFonts w:cs="Times New Roman"/>
              </w:rPr>
              <w:fldChar w:fldCharType="separate"/>
            </w:r>
            <w:r w:rsidRPr="00791EF8">
              <w:rPr>
                <w:rStyle w:val="Hipercze"/>
              </w:rPr>
              <w:t>Pomoc społeczna</w:t>
            </w:r>
          </w:p>
          <w:p w14:paraId="487D4041" w14:textId="77777777" w:rsidR="00641D16" w:rsidRPr="00791EF8" w:rsidRDefault="00641D16" w:rsidP="00641D16">
            <w:pPr>
              <w:rPr>
                <w:rStyle w:val="Hipercze"/>
              </w:rPr>
            </w:pPr>
            <w:r w:rsidRPr="000F761C">
              <w:rPr>
                <w:rFonts w:cs="Times New Roman"/>
              </w:rPr>
              <w:fldChar w:fldCharType="end"/>
            </w:r>
            <w:r w:rsidRPr="000F761C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"https://stat.gov.pl/metainformacje/slownik-pojec/pojecia-stosowane-w-statystyce-publicznej/4551,pojecie.html" \o "Ochrona socjalna"</w:instrText>
            </w:r>
            <w:r w:rsidRPr="000F761C">
              <w:rPr>
                <w:rFonts w:cs="Times New Roman"/>
              </w:rPr>
            </w:r>
            <w:r w:rsidRPr="000F761C">
              <w:rPr>
                <w:rFonts w:cs="Times New Roman"/>
              </w:rPr>
              <w:fldChar w:fldCharType="separate"/>
            </w:r>
            <w:r w:rsidRPr="00791EF8">
              <w:rPr>
                <w:rStyle w:val="Hipercze"/>
              </w:rPr>
              <w:t>Ochrona socjalna</w:t>
            </w:r>
          </w:p>
          <w:p w14:paraId="0816CFF7" w14:textId="77777777" w:rsidR="00641D16" w:rsidRDefault="00641D16" w:rsidP="00641D16">
            <w:pPr>
              <w:rPr>
                <w:rStyle w:val="Hipercze"/>
              </w:rPr>
            </w:pPr>
            <w:r w:rsidRPr="000F761C">
              <w:rPr>
                <w:rFonts w:cs="Times New Roman"/>
              </w:rPr>
              <w:fldChar w:fldCharType="end"/>
            </w:r>
            <w:hyperlink r:id="rId37" w:tooltip="Świadczenia społeczne ochrony socjalnej" w:history="1">
              <w:r w:rsidRPr="009F23DA">
                <w:rPr>
                  <w:rStyle w:val="Hipercze"/>
                </w:rPr>
                <w:t>Świadczenia społeczne ochrony socjalnej</w:t>
              </w:r>
            </w:hyperlink>
          </w:p>
          <w:p w14:paraId="6E34DBBE" w14:textId="77777777" w:rsidR="00531873" w:rsidRPr="00641D16" w:rsidRDefault="00531873" w:rsidP="00AF597F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</w:p>
        </w:tc>
      </w:tr>
    </w:tbl>
    <w:p w14:paraId="11BEBCAB" w14:textId="77777777" w:rsidR="00D261A2" w:rsidRPr="00641D16" w:rsidRDefault="00D261A2" w:rsidP="002D37FA">
      <w:pPr>
        <w:rPr>
          <w:sz w:val="18"/>
        </w:rPr>
      </w:pPr>
    </w:p>
    <w:sectPr w:rsidR="00D261A2" w:rsidRPr="00641D16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BAEDA" w14:textId="77777777" w:rsidR="009A2F3C" w:rsidRDefault="009A2F3C" w:rsidP="000662E2">
      <w:pPr>
        <w:spacing w:after="0" w:line="240" w:lineRule="auto"/>
      </w:pPr>
      <w:r>
        <w:separator/>
      </w:r>
    </w:p>
    <w:p w14:paraId="772FC24D" w14:textId="77777777" w:rsidR="009A2F3C" w:rsidRDefault="009A2F3C"/>
    <w:p w14:paraId="7E3DED65" w14:textId="77777777" w:rsidR="009A2F3C" w:rsidRDefault="009A2F3C"/>
    <w:p w14:paraId="28C92B69" w14:textId="77777777" w:rsidR="009A2F3C" w:rsidRDefault="009A2F3C"/>
    <w:p w14:paraId="48932E64" w14:textId="77777777" w:rsidR="009A2F3C" w:rsidRDefault="009A2F3C"/>
    <w:p w14:paraId="51678499" w14:textId="77777777" w:rsidR="009A2F3C" w:rsidRDefault="009A2F3C"/>
  </w:endnote>
  <w:endnote w:type="continuationSeparator" w:id="0">
    <w:p w14:paraId="1BEA92AE" w14:textId="77777777" w:rsidR="009A2F3C" w:rsidRDefault="009A2F3C" w:rsidP="000662E2">
      <w:pPr>
        <w:spacing w:after="0" w:line="240" w:lineRule="auto"/>
      </w:pPr>
      <w:r>
        <w:continuationSeparator/>
      </w:r>
    </w:p>
    <w:p w14:paraId="1109EBF7" w14:textId="77777777" w:rsidR="009A2F3C" w:rsidRDefault="009A2F3C"/>
    <w:p w14:paraId="44AE1289" w14:textId="77777777" w:rsidR="009A2F3C" w:rsidRDefault="009A2F3C"/>
    <w:p w14:paraId="6509E743" w14:textId="77777777" w:rsidR="009A2F3C" w:rsidRDefault="009A2F3C"/>
    <w:p w14:paraId="47F9D8D8" w14:textId="77777777" w:rsidR="009A2F3C" w:rsidRDefault="009A2F3C"/>
    <w:p w14:paraId="5700B8B3" w14:textId="77777777" w:rsidR="009A2F3C" w:rsidRDefault="009A2F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9F1F353-D2C8-4795-B15D-ABEBCE562B44}"/>
    <w:embedBold r:id="rId2" w:fontKey="{020C31FE-CCA7-4E0A-8831-D7767EB4D15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C465EC8-43F6-4368-9921-6D677B3D2A6B}"/>
    <w:embedBold r:id="rId4" w:fontKey="{E8AF862F-BD42-4A6F-888F-75ACDDD71B8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573A35AF-2597-4469-87C5-8F2699F2F6C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150A312-85B5-4BF3-B74B-113A460B309B}"/>
    <w:embedItalic r:id="rId7" w:fontKey="{BFA7DCC0-A3C3-4FC0-AC78-8AE8D82BABD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96C0001-4D8B-467E-B975-2D9D41B17A8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4EE6A5D-CEF2-4067-AECC-D7559457262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445E2DAF-B650-4186-9F98-E99A1991061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9074784"/>
      <w:docPartObj>
        <w:docPartGallery w:val="Page Numbers (Bottom of Page)"/>
        <w:docPartUnique/>
      </w:docPartObj>
    </w:sdtPr>
    <w:sdtEndPr/>
    <w:sdtContent>
      <w:p w14:paraId="10DDAD97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CD9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342790"/>
      <w:docPartObj>
        <w:docPartGallery w:val="Page Numbers (Bottom of Page)"/>
        <w:docPartUnique/>
      </w:docPartObj>
    </w:sdtPr>
    <w:sdtEndPr/>
    <w:sdtContent>
      <w:p w14:paraId="7A1B84AC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CD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846837"/>
      <w:docPartObj>
        <w:docPartGallery w:val="Page Numbers (Bottom of Page)"/>
        <w:docPartUnique/>
      </w:docPartObj>
    </w:sdtPr>
    <w:sdtEndPr/>
    <w:sdtContent>
      <w:p w14:paraId="7633DCBB" w14:textId="77777777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056CD9">
          <w:rPr>
            <w:noProof/>
          </w:rPr>
          <w:t>5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8EEAC" w14:textId="77777777" w:rsidR="009A2F3C" w:rsidRDefault="009A2F3C" w:rsidP="000662E2">
      <w:pPr>
        <w:spacing w:after="0" w:line="240" w:lineRule="auto"/>
      </w:pPr>
      <w:r>
        <w:separator/>
      </w:r>
    </w:p>
  </w:footnote>
  <w:footnote w:type="continuationSeparator" w:id="0">
    <w:p w14:paraId="68E6C277" w14:textId="77777777" w:rsidR="009A2F3C" w:rsidRDefault="009A2F3C" w:rsidP="000662E2">
      <w:pPr>
        <w:spacing w:after="0" w:line="240" w:lineRule="auto"/>
      </w:pPr>
      <w:r>
        <w:continuationSeparator/>
      </w:r>
    </w:p>
    <w:p w14:paraId="77BF4038" w14:textId="77777777" w:rsidR="009A2F3C" w:rsidRDefault="009A2F3C"/>
  </w:footnote>
  <w:footnote w:type="continuationNotice" w:id="1">
    <w:p w14:paraId="15A9E64D" w14:textId="77777777" w:rsidR="009A2F3C" w:rsidRDefault="009A2F3C">
      <w:pPr>
        <w:spacing w:before="0" w:after="0" w:line="240" w:lineRule="auto"/>
      </w:pPr>
    </w:p>
    <w:p w14:paraId="31F4C78E" w14:textId="77777777" w:rsidR="009A2F3C" w:rsidRDefault="009A2F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CAEC5" w14:textId="77777777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E7C454A" wp14:editId="607AFF79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C1427" w14:textId="77777777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9A7ABC2" wp14:editId="6075136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6766622" wp14:editId="0738E8AB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14.09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DE67B" w14:textId="77777777" w:rsidR="00F37172" w:rsidRPr="00A01B40" w:rsidRDefault="00711F05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09242F">
                            <w:t>4</w:t>
                          </w:r>
                          <w:r>
                            <w:t>.09.2026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76662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: 14.09.2026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" filled="f" stroked="f">
              <v:textbox>
                <w:txbxContent>
                  <w:p w14:paraId="67FDE67B" w14:textId="77777777" w:rsidR="00F37172" w:rsidRPr="00A01B40" w:rsidRDefault="00711F05" w:rsidP="00F049AB">
                    <w:pPr>
                      <w:pStyle w:val="Datainformacjisygnalnej"/>
                    </w:pPr>
                    <w:r>
                      <w:t>1</w:t>
                    </w:r>
                    <w:r w:rsidR="0009242F">
                      <w:t>4</w:t>
                    </w:r>
                    <w:r>
                      <w:t>.09.2026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2D429215" wp14:editId="6DEAFEAD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B3924E3" wp14:editId="0A4903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EC593C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3924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umEAYAANc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tVG0&#10;QpBU36zY+vYDR5wZbqZosrcFF/KSCPmBcKAAAjiAYCrfw0deMrgb4a7TKw9tGP963/dKHjiSsOuh&#10;LZA7l574+5pw6qHy9xrYkymOgE2IpL6I4iSAC27vrOyd+rp6zQAgMFYhOr1U8rLsljln1WfgoV4o&#10;r7BF6gx8w/iWMFjMxWsJ17AFTNaMXlzoNTBAAaWX9ccm62iWDWT+afeZ8Aap5dKTQLJ8xzoi6IE9&#10;Cag+yKoO1eziWrK8UNRKjUxT1/YC2KMaSi3TVdFT7WstdeDjn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wBQLphAG&#10;AADXKwAADgAAAAAAAAAAAAAAAAAuAgAAZHJzL2Uyb0RvYy54bWxQSwECLQAUAAYACAAAACEAME8M&#10;9d4AAAAKAQAADwAAAAAAAAAAAAAAAABqCAAAZHJzL2Rvd25yZXYueG1sUEsFBgAAAAAEAAQA8wAA&#10;AH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EC593C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68CBC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46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647" type="#_x0000_t75" style="width:123pt;height:122.4pt;visibility:visible;mso-wrap-style:square" o:bullet="t">
        <v:imagedata r:id="rId2" o:title=""/>
      </v:shape>
    </w:pict>
  </w:numPicBullet>
  <w:numPicBullet w:numPicBulletId="2">
    <w:pict>
      <v:shape id="_x0000_i1648" type="#_x0000_t75" style="width:22.2pt;height:22.2pt;visibility:visible;mso-wrap-style:square" o:bullet="t">
        <v:imagedata r:id="rId3" o:title=""/>
      </v:shape>
    </w:pict>
  </w:numPicBullet>
  <w:numPicBullet w:numPicBulletId="3">
    <w:pict>
      <v:shape id="_x0000_i1649" type="#_x0000_t75" style="width:22.2pt;height:22.2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9710138">
    <w:abstractNumId w:val="4"/>
  </w:num>
  <w:num w:numId="2" w16cid:durableId="1816333591">
    <w:abstractNumId w:val="1"/>
  </w:num>
  <w:num w:numId="3" w16cid:durableId="1767337607">
    <w:abstractNumId w:val="2"/>
  </w:num>
  <w:num w:numId="4" w16cid:durableId="153060443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768329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4785992">
    <w:abstractNumId w:val="0"/>
  </w:num>
  <w:num w:numId="7" w16cid:durableId="784887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635"/>
    <w:rsid w:val="0000709F"/>
    <w:rsid w:val="000108B8"/>
    <w:rsid w:val="000140A5"/>
    <w:rsid w:val="000152F5"/>
    <w:rsid w:val="0001706A"/>
    <w:rsid w:val="000252BD"/>
    <w:rsid w:val="00026F6B"/>
    <w:rsid w:val="000428E9"/>
    <w:rsid w:val="00045508"/>
    <w:rsid w:val="0004582E"/>
    <w:rsid w:val="000470AA"/>
    <w:rsid w:val="00051ED8"/>
    <w:rsid w:val="00056CD9"/>
    <w:rsid w:val="000572A8"/>
    <w:rsid w:val="00057CA1"/>
    <w:rsid w:val="000647A9"/>
    <w:rsid w:val="000662E2"/>
    <w:rsid w:val="00066883"/>
    <w:rsid w:val="00071B39"/>
    <w:rsid w:val="0007410F"/>
    <w:rsid w:val="00074DD8"/>
    <w:rsid w:val="00075759"/>
    <w:rsid w:val="00075BD4"/>
    <w:rsid w:val="000806F7"/>
    <w:rsid w:val="0009242F"/>
    <w:rsid w:val="00097840"/>
    <w:rsid w:val="000A7C20"/>
    <w:rsid w:val="000B0727"/>
    <w:rsid w:val="000B16BC"/>
    <w:rsid w:val="000B1C91"/>
    <w:rsid w:val="000B2B2B"/>
    <w:rsid w:val="000B33D3"/>
    <w:rsid w:val="000C135D"/>
    <w:rsid w:val="000C1368"/>
    <w:rsid w:val="000D1D43"/>
    <w:rsid w:val="000D225C"/>
    <w:rsid w:val="000D2A5C"/>
    <w:rsid w:val="000D39F0"/>
    <w:rsid w:val="000D4F03"/>
    <w:rsid w:val="000D77CA"/>
    <w:rsid w:val="000E0918"/>
    <w:rsid w:val="000E7594"/>
    <w:rsid w:val="000E79A9"/>
    <w:rsid w:val="000E7E84"/>
    <w:rsid w:val="000F761C"/>
    <w:rsid w:val="001011C3"/>
    <w:rsid w:val="00106DA3"/>
    <w:rsid w:val="00110214"/>
    <w:rsid w:val="00110D87"/>
    <w:rsid w:val="00111CF4"/>
    <w:rsid w:val="00112399"/>
    <w:rsid w:val="00114DB9"/>
    <w:rsid w:val="00114FE6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36C"/>
    <w:rsid w:val="001448A7"/>
    <w:rsid w:val="001452C5"/>
    <w:rsid w:val="00146621"/>
    <w:rsid w:val="001478EF"/>
    <w:rsid w:val="00152C02"/>
    <w:rsid w:val="0015338E"/>
    <w:rsid w:val="00157E1D"/>
    <w:rsid w:val="001617E3"/>
    <w:rsid w:val="00162325"/>
    <w:rsid w:val="00164FC5"/>
    <w:rsid w:val="00171E3A"/>
    <w:rsid w:val="00183BBA"/>
    <w:rsid w:val="001951DA"/>
    <w:rsid w:val="00197A7A"/>
    <w:rsid w:val="001A0754"/>
    <w:rsid w:val="001A3C1E"/>
    <w:rsid w:val="001A5959"/>
    <w:rsid w:val="001B053D"/>
    <w:rsid w:val="001B1476"/>
    <w:rsid w:val="001B1BFF"/>
    <w:rsid w:val="001B22E0"/>
    <w:rsid w:val="001C3269"/>
    <w:rsid w:val="001C4259"/>
    <w:rsid w:val="001D19B6"/>
    <w:rsid w:val="001D1DB4"/>
    <w:rsid w:val="001D23F1"/>
    <w:rsid w:val="001D25F9"/>
    <w:rsid w:val="001D61ED"/>
    <w:rsid w:val="001D700A"/>
    <w:rsid w:val="001E5B2D"/>
    <w:rsid w:val="001F040D"/>
    <w:rsid w:val="001F13DB"/>
    <w:rsid w:val="001F321F"/>
    <w:rsid w:val="001F3471"/>
    <w:rsid w:val="0020156C"/>
    <w:rsid w:val="00212EF0"/>
    <w:rsid w:val="002158C5"/>
    <w:rsid w:val="00216634"/>
    <w:rsid w:val="00217A35"/>
    <w:rsid w:val="00242D31"/>
    <w:rsid w:val="00253AB6"/>
    <w:rsid w:val="00254329"/>
    <w:rsid w:val="0025481E"/>
    <w:rsid w:val="002574F9"/>
    <w:rsid w:val="00262B61"/>
    <w:rsid w:val="00262CC6"/>
    <w:rsid w:val="0026320E"/>
    <w:rsid w:val="00263BA9"/>
    <w:rsid w:val="00263E08"/>
    <w:rsid w:val="002733B9"/>
    <w:rsid w:val="00275820"/>
    <w:rsid w:val="002762FD"/>
    <w:rsid w:val="00276811"/>
    <w:rsid w:val="00282699"/>
    <w:rsid w:val="002921F7"/>
    <w:rsid w:val="002926DF"/>
    <w:rsid w:val="00292DF8"/>
    <w:rsid w:val="00296697"/>
    <w:rsid w:val="002A1AF6"/>
    <w:rsid w:val="002A21E1"/>
    <w:rsid w:val="002B0472"/>
    <w:rsid w:val="002B1133"/>
    <w:rsid w:val="002B6B12"/>
    <w:rsid w:val="002C21F0"/>
    <w:rsid w:val="002C4F9E"/>
    <w:rsid w:val="002D01DF"/>
    <w:rsid w:val="002D37FA"/>
    <w:rsid w:val="002D48A4"/>
    <w:rsid w:val="002D4CB8"/>
    <w:rsid w:val="002D55DB"/>
    <w:rsid w:val="002E3124"/>
    <w:rsid w:val="002E37B8"/>
    <w:rsid w:val="002E3EB3"/>
    <w:rsid w:val="002E6140"/>
    <w:rsid w:val="002E6985"/>
    <w:rsid w:val="002E71B6"/>
    <w:rsid w:val="002F296B"/>
    <w:rsid w:val="002F35F6"/>
    <w:rsid w:val="002F72D5"/>
    <w:rsid w:val="002F77C8"/>
    <w:rsid w:val="002F7CBF"/>
    <w:rsid w:val="0030079A"/>
    <w:rsid w:val="00304F22"/>
    <w:rsid w:val="003060F9"/>
    <w:rsid w:val="00306469"/>
    <w:rsid w:val="00306C7C"/>
    <w:rsid w:val="00313F5C"/>
    <w:rsid w:val="00314F86"/>
    <w:rsid w:val="00316617"/>
    <w:rsid w:val="00317F4D"/>
    <w:rsid w:val="00322EDD"/>
    <w:rsid w:val="003309FA"/>
    <w:rsid w:val="00331135"/>
    <w:rsid w:val="00332320"/>
    <w:rsid w:val="003402BB"/>
    <w:rsid w:val="00340F5D"/>
    <w:rsid w:val="0034393A"/>
    <w:rsid w:val="003460F2"/>
    <w:rsid w:val="00347D72"/>
    <w:rsid w:val="00353F45"/>
    <w:rsid w:val="00355030"/>
    <w:rsid w:val="00357611"/>
    <w:rsid w:val="00362C3A"/>
    <w:rsid w:val="0036314B"/>
    <w:rsid w:val="0036432A"/>
    <w:rsid w:val="00364AF9"/>
    <w:rsid w:val="00367237"/>
    <w:rsid w:val="0037077F"/>
    <w:rsid w:val="00372411"/>
    <w:rsid w:val="00373882"/>
    <w:rsid w:val="003843DB"/>
    <w:rsid w:val="00385856"/>
    <w:rsid w:val="003873BA"/>
    <w:rsid w:val="003877B8"/>
    <w:rsid w:val="00393761"/>
    <w:rsid w:val="003937A5"/>
    <w:rsid w:val="00393ED2"/>
    <w:rsid w:val="00394E26"/>
    <w:rsid w:val="00395354"/>
    <w:rsid w:val="00396691"/>
    <w:rsid w:val="00397D18"/>
    <w:rsid w:val="003A053D"/>
    <w:rsid w:val="003A1B36"/>
    <w:rsid w:val="003A3D81"/>
    <w:rsid w:val="003B1454"/>
    <w:rsid w:val="003B18B6"/>
    <w:rsid w:val="003B58A9"/>
    <w:rsid w:val="003C0C8B"/>
    <w:rsid w:val="003C161B"/>
    <w:rsid w:val="003C59E0"/>
    <w:rsid w:val="003C6A24"/>
    <w:rsid w:val="003C6C8D"/>
    <w:rsid w:val="003D0569"/>
    <w:rsid w:val="003D0A8D"/>
    <w:rsid w:val="003D2656"/>
    <w:rsid w:val="003D4F95"/>
    <w:rsid w:val="003D5A53"/>
    <w:rsid w:val="003D5E7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03B8C"/>
    <w:rsid w:val="00404D17"/>
    <w:rsid w:val="004154C5"/>
    <w:rsid w:val="00416EAF"/>
    <w:rsid w:val="004212E7"/>
    <w:rsid w:val="00422456"/>
    <w:rsid w:val="00423C88"/>
    <w:rsid w:val="0042446D"/>
    <w:rsid w:val="00427BF8"/>
    <w:rsid w:val="00431C02"/>
    <w:rsid w:val="004350AB"/>
    <w:rsid w:val="00437395"/>
    <w:rsid w:val="004411D1"/>
    <w:rsid w:val="0044247E"/>
    <w:rsid w:val="00445047"/>
    <w:rsid w:val="00446749"/>
    <w:rsid w:val="00453EB7"/>
    <w:rsid w:val="00463E39"/>
    <w:rsid w:val="004657FC"/>
    <w:rsid w:val="00466849"/>
    <w:rsid w:val="004733F6"/>
    <w:rsid w:val="00474E69"/>
    <w:rsid w:val="00483642"/>
    <w:rsid w:val="00483E9F"/>
    <w:rsid w:val="00484DDF"/>
    <w:rsid w:val="00485A2C"/>
    <w:rsid w:val="004925F8"/>
    <w:rsid w:val="0049621B"/>
    <w:rsid w:val="004A1D19"/>
    <w:rsid w:val="004A6598"/>
    <w:rsid w:val="004B4292"/>
    <w:rsid w:val="004C1895"/>
    <w:rsid w:val="004C6D40"/>
    <w:rsid w:val="004D3EB9"/>
    <w:rsid w:val="004D5710"/>
    <w:rsid w:val="004E6AA8"/>
    <w:rsid w:val="004E7C93"/>
    <w:rsid w:val="004F02BE"/>
    <w:rsid w:val="004F0C3C"/>
    <w:rsid w:val="004F2280"/>
    <w:rsid w:val="004F23BB"/>
    <w:rsid w:val="004F29C2"/>
    <w:rsid w:val="004F3B91"/>
    <w:rsid w:val="004F4035"/>
    <w:rsid w:val="004F63FC"/>
    <w:rsid w:val="00503641"/>
    <w:rsid w:val="00505A92"/>
    <w:rsid w:val="00515224"/>
    <w:rsid w:val="005203F1"/>
    <w:rsid w:val="00521BC3"/>
    <w:rsid w:val="00521CF3"/>
    <w:rsid w:val="0052473A"/>
    <w:rsid w:val="00531873"/>
    <w:rsid w:val="00532824"/>
    <w:rsid w:val="00533632"/>
    <w:rsid w:val="00534013"/>
    <w:rsid w:val="00540C5C"/>
    <w:rsid w:val="00541E6E"/>
    <w:rsid w:val="0054251F"/>
    <w:rsid w:val="00545A97"/>
    <w:rsid w:val="005502DC"/>
    <w:rsid w:val="005520D8"/>
    <w:rsid w:val="00553507"/>
    <w:rsid w:val="00555CFB"/>
    <w:rsid w:val="00556ADB"/>
    <w:rsid w:val="00556CF1"/>
    <w:rsid w:val="005614A9"/>
    <w:rsid w:val="005762A7"/>
    <w:rsid w:val="005846C4"/>
    <w:rsid w:val="005877AB"/>
    <w:rsid w:val="00587CEE"/>
    <w:rsid w:val="005916D7"/>
    <w:rsid w:val="0059427F"/>
    <w:rsid w:val="00596B64"/>
    <w:rsid w:val="005A4910"/>
    <w:rsid w:val="005A59A7"/>
    <w:rsid w:val="005A698C"/>
    <w:rsid w:val="005B6AE9"/>
    <w:rsid w:val="005B7EBC"/>
    <w:rsid w:val="005C0654"/>
    <w:rsid w:val="005C0CAC"/>
    <w:rsid w:val="005D062E"/>
    <w:rsid w:val="005D06BB"/>
    <w:rsid w:val="005D2F6B"/>
    <w:rsid w:val="005D334E"/>
    <w:rsid w:val="005D4048"/>
    <w:rsid w:val="005D7EA4"/>
    <w:rsid w:val="005E0799"/>
    <w:rsid w:val="005E10F9"/>
    <w:rsid w:val="005E1200"/>
    <w:rsid w:val="005F1DC5"/>
    <w:rsid w:val="005F2A9E"/>
    <w:rsid w:val="005F3139"/>
    <w:rsid w:val="005F45EE"/>
    <w:rsid w:val="005F5A80"/>
    <w:rsid w:val="005F7611"/>
    <w:rsid w:val="00602393"/>
    <w:rsid w:val="006044FF"/>
    <w:rsid w:val="00607CC5"/>
    <w:rsid w:val="0061179B"/>
    <w:rsid w:val="006125F9"/>
    <w:rsid w:val="006152C2"/>
    <w:rsid w:val="00617893"/>
    <w:rsid w:val="006323CA"/>
    <w:rsid w:val="00633014"/>
    <w:rsid w:val="0063437B"/>
    <w:rsid w:val="0063660D"/>
    <w:rsid w:val="0064017E"/>
    <w:rsid w:val="00641D16"/>
    <w:rsid w:val="00644AEF"/>
    <w:rsid w:val="00654BB6"/>
    <w:rsid w:val="006673CA"/>
    <w:rsid w:val="00673C26"/>
    <w:rsid w:val="00674DE5"/>
    <w:rsid w:val="00677ACA"/>
    <w:rsid w:val="006812AF"/>
    <w:rsid w:val="00682813"/>
    <w:rsid w:val="0068327D"/>
    <w:rsid w:val="00683DF1"/>
    <w:rsid w:val="00687DD4"/>
    <w:rsid w:val="00691534"/>
    <w:rsid w:val="00693880"/>
    <w:rsid w:val="00694AF0"/>
    <w:rsid w:val="00696DF1"/>
    <w:rsid w:val="006A0F94"/>
    <w:rsid w:val="006A4686"/>
    <w:rsid w:val="006A7CDD"/>
    <w:rsid w:val="006B0E9E"/>
    <w:rsid w:val="006B486D"/>
    <w:rsid w:val="006B5AE4"/>
    <w:rsid w:val="006C3657"/>
    <w:rsid w:val="006C6A6E"/>
    <w:rsid w:val="006D08CE"/>
    <w:rsid w:val="006D1507"/>
    <w:rsid w:val="006D1608"/>
    <w:rsid w:val="006D4054"/>
    <w:rsid w:val="006D4349"/>
    <w:rsid w:val="006D7409"/>
    <w:rsid w:val="006E02EC"/>
    <w:rsid w:val="006E3C4F"/>
    <w:rsid w:val="006E6BAC"/>
    <w:rsid w:val="006E6F41"/>
    <w:rsid w:val="006E73E6"/>
    <w:rsid w:val="006F5D78"/>
    <w:rsid w:val="006F67D7"/>
    <w:rsid w:val="006F6B9F"/>
    <w:rsid w:val="007002E8"/>
    <w:rsid w:val="007066AB"/>
    <w:rsid w:val="007102D5"/>
    <w:rsid w:val="00710E54"/>
    <w:rsid w:val="00711F05"/>
    <w:rsid w:val="00716853"/>
    <w:rsid w:val="00716B1A"/>
    <w:rsid w:val="007177F8"/>
    <w:rsid w:val="007211B1"/>
    <w:rsid w:val="0072722A"/>
    <w:rsid w:val="007277B5"/>
    <w:rsid w:val="007277DA"/>
    <w:rsid w:val="00731D27"/>
    <w:rsid w:val="00732220"/>
    <w:rsid w:val="007341AF"/>
    <w:rsid w:val="007357EB"/>
    <w:rsid w:val="00746187"/>
    <w:rsid w:val="00756297"/>
    <w:rsid w:val="0076254F"/>
    <w:rsid w:val="00775CF4"/>
    <w:rsid w:val="0077705F"/>
    <w:rsid w:val="007800CF"/>
    <w:rsid w:val="007801F5"/>
    <w:rsid w:val="00783CA4"/>
    <w:rsid w:val="007842FB"/>
    <w:rsid w:val="00786124"/>
    <w:rsid w:val="00786578"/>
    <w:rsid w:val="007904D5"/>
    <w:rsid w:val="0079514B"/>
    <w:rsid w:val="00795252"/>
    <w:rsid w:val="007A2DC1"/>
    <w:rsid w:val="007B078A"/>
    <w:rsid w:val="007D0869"/>
    <w:rsid w:val="007D14C4"/>
    <w:rsid w:val="007D3319"/>
    <w:rsid w:val="007D335D"/>
    <w:rsid w:val="007D605C"/>
    <w:rsid w:val="007E3314"/>
    <w:rsid w:val="007E3514"/>
    <w:rsid w:val="007E3DCE"/>
    <w:rsid w:val="007E4B03"/>
    <w:rsid w:val="007E5A69"/>
    <w:rsid w:val="007E7FBF"/>
    <w:rsid w:val="007F324B"/>
    <w:rsid w:val="007F6493"/>
    <w:rsid w:val="00803AE1"/>
    <w:rsid w:val="008049D7"/>
    <w:rsid w:val="0080553C"/>
    <w:rsid w:val="00805B46"/>
    <w:rsid w:val="00805DB4"/>
    <w:rsid w:val="008070EF"/>
    <w:rsid w:val="00815D44"/>
    <w:rsid w:val="00823593"/>
    <w:rsid w:val="008240DE"/>
    <w:rsid w:val="00825DC2"/>
    <w:rsid w:val="00834AD3"/>
    <w:rsid w:val="008353DB"/>
    <w:rsid w:val="008427CC"/>
    <w:rsid w:val="00842D11"/>
    <w:rsid w:val="00843795"/>
    <w:rsid w:val="00847F0F"/>
    <w:rsid w:val="00852448"/>
    <w:rsid w:val="00852466"/>
    <w:rsid w:val="00854061"/>
    <w:rsid w:val="00861BB5"/>
    <w:rsid w:val="00865043"/>
    <w:rsid w:val="00871DC0"/>
    <w:rsid w:val="0087504F"/>
    <w:rsid w:val="00877F6C"/>
    <w:rsid w:val="0088258A"/>
    <w:rsid w:val="00886332"/>
    <w:rsid w:val="008875C7"/>
    <w:rsid w:val="008914F2"/>
    <w:rsid w:val="008925F0"/>
    <w:rsid w:val="00893669"/>
    <w:rsid w:val="008938CA"/>
    <w:rsid w:val="00893DC8"/>
    <w:rsid w:val="0089448A"/>
    <w:rsid w:val="008965FD"/>
    <w:rsid w:val="00897877"/>
    <w:rsid w:val="008A15CA"/>
    <w:rsid w:val="008A26D9"/>
    <w:rsid w:val="008A7B5B"/>
    <w:rsid w:val="008B12D2"/>
    <w:rsid w:val="008B2046"/>
    <w:rsid w:val="008B3302"/>
    <w:rsid w:val="008B3D95"/>
    <w:rsid w:val="008C0796"/>
    <w:rsid w:val="008C0C29"/>
    <w:rsid w:val="008C4EDC"/>
    <w:rsid w:val="008D02DA"/>
    <w:rsid w:val="008D06B5"/>
    <w:rsid w:val="008D76BC"/>
    <w:rsid w:val="008E0120"/>
    <w:rsid w:val="008E63E1"/>
    <w:rsid w:val="008E7D50"/>
    <w:rsid w:val="008E7DBA"/>
    <w:rsid w:val="008F0829"/>
    <w:rsid w:val="008F1F6A"/>
    <w:rsid w:val="008F3638"/>
    <w:rsid w:val="008F4441"/>
    <w:rsid w:val="008F6B20"/>
    <w:rsid w:val="008F6F31"/>
    <w:rsid w:val="008F74DF"/>
    <w:rsid w:val="00902274"/>
    <w:rsid w:val="00904ADE"/>
    <w:rsid w:val="0090723A"/>
    <w:rsid w:val="00910E79"/>
    <w:rsid w:val="009127BA"/>
    <w:rsid w:val="009136B3"/>
    <w:rsid w:val="009137FF"/>
    <w:rsid w:val="00913D7D"/>
    <w:rsid w:val="00920AAE"/>
    <w:rsid w:val="009227A6"/>
    <w:rsid w:val="00925120"/>
    <w:rsid w:val="00933EC1"/>
    <w:rsid w:val="00934A04"/>
    <w:rsid w:val="009446AD"/>
    <w:rsid w:val="009530DB"/>
    <w:rsid w:val="00953676"/>
    <w:rsid w:val="00955AD7"/>
    <w:rsid w:val="00956F30"/>
    <w:rsid w:val="00965C7D"/>
    <w:rsid w:val="009664F7"/>
    <w:rsid w:val="00966C9A"/>
    <w:rsid w:val="00967527"/>
    <w:rsid w:val="009705EE"/>
    <w:rsid w:val="0097085D"/>
    <w:rsid w:val="00973605"/>
    <w:rsid w:val="0097456C"/>
    <w:rsid w:val="00977927"/>
    <w:rsid w:val="0098135C"/>
    <w:rsid w:val="0098156A"/>
    <w:rsid w:val="00991BAC"/>
    <w:rsid w:val="00994CD3"/>
    <w:rsid w:val="009A2F3C"/>
    <w:rsid w:val="009A4A5A"/>
    <w:rsid w:val="009A6EA0"/>
    <w:rsid w:val="009A6F0B"/>
    <w:rsid w:val="009B2A4A"/>
    <w:rsid w:val="009B749A"/>
    <w:rsid w:val="009C1335"/>
    <w:rsid w:val="009C1AB2"/>
    <w:rsid w:val="009C7251"/>
    <w:rsid w:val="009D0892"/>
    <w:rsid w:val="009D33A2"/>
    <w:rsid w:val="009E2E91"/>
    <w:rsid w:val="009F0A4F"/>
    <w:rsid w:val="009F6276"/>
    <w:rsid w:val="009F7006"/>
    <w:rsid w:val="00A00582"/>
    <w:rsid w:val="00A01B40"/>
    <w:rsid w:val="00A024B8"/>
    <w:rsid w:val="00A03BEC"/>
    <w:rsid w:val="00A139F5"/>
    <w:rsid w:val="00A14D2F"/>
    <w:rsid w:val="00A24304"/>
    <w:rsid w:val="00A32E16"/>
    <w:rsid w:val="00A365F4"/>
    <w:rsid w:val="00A40D86"/>
    <w:rsid w:val="00A415D2"/>
    <w:rsid w:val="00A427AF"/>
    <w:rsid w:val="00A460CD"/>
    <w:rsid w:val="00A46A86"/>
    <w:rsid w:val="00A47D80"/>
    <w:rsid w:val="00A502B1"/>
    <w:rsid w:val="00A53132"/>
    <w:rsid w:val="00A563F2"/>
    <w:rsid w:val="00A566E8"/>
    <w:rsid w:val="00A5747D"/>
    <w:rsid w:val="00A57AA6"/>
    <w:rsid w:val="00A61BBA"/>
    <w:rsid w:val="00A65C31"/>
    <w:rsid w:val="00A66347"/>
    <w:rsid w:val="00A7038E"/>
    <w:rsid w:val="00A75A99"/>
    <w:rsid w:val="00A810F9"/>
    <w:rsid w:val="00A82D31"/>
    <w:rsid w:val="00A85E7E"/>
    <w:rsid w:val="00A86ECC"/>
    <w:rsid w:val="00A86FCC"/>
    <w:rsid w:val="00A87D95"/>
    <w:rsid w:val="00A90A6D"/>
    <w:rsid w:val="00A92B87"/>
    <w:rsid w:val="00A971E5"/>
    <w:rsid w:val="00A97C2F"/>
    <w:rsid w:val="00AA710D"/>
    <w:rsid w:val="00AB1F20"/>
    <w:rsid w:val="00AB64F3"/>
    <w:rsid w:val="00AB6D25"/>
    <w:rsid w:val="00AB7FD5"/>
    <w:rsid w:val="00AC0B07"/>
    <w:rsid w:val="00AC188D"/>
    <w:rsid w:val="00AC61E2"/>
    <w:rsid w:val="00AC7964"/>
    <w:rsid w:val="00AD0E56"/>
    <w:rsid w:val="00AD4BFC"/>
    <w:rsid w:val="00AE229B"/>
    <w:rsid w:val="00AE2D4B"/>
    <w:rsid w:val="00AE4F99"/>
    <w:rsid w:val="00AF18A6"/>
    <w:rsid w:val="00AF597F"/>
    <w:rsid w:val="00B11B69"/>
    <w:rsid w:val="00B14952"/>
    <w:rsid w:val="00B16871"/>
    <w:rsid w:val="00B17CEE"/>
    <w:rsid w:val="00B21BCB"/>
    <w:rsid w:val="00B25B45"/>
    <w:rsid w:val="00B26A16"/>
    <w:rsid w:val="00B31E5A"/>
    <w:rsid w:val="00B47359"/>
    <w:rsid w:val="00B51743"/>
    <w:rsid w:val="00B62B37"/>
    <w:rsid w:val="00B653AB"/>
    <w:rsid w:val="00B65F9E"/>
    <w:rsid w:val="00B66B19"/>
    <w:rsid w:val="00B73268"/>
    <w:rsid w:val="00B7386E"/>
    <w:rsid w:val="00B74B06"/>
    <w:rsid w:val="00B75800"/>
    <w:rsid w:val="00B80F4D"/>
    <w:rsid w:val="00B84955"/>
    <w:rsid w:val="00B84C43"/>
    <w:rsid w:val="00B914E9"/>
    <w:rsid w:val="00B956EE"/>
    <w:rsid w:val="00BA2BA1"/>
    <w:rsid w:val="00BA2D1A"/>
    <w:rsid w:val="00BA3447"/>
    <w:rsid w:val="00BA3562"/>
    <w:rsid w:val="00BB08FC"/>
    <w:rsid w:val="00BB12F7"/>
    <w:rsid w:val="00BB4F09"/>
    <w:rsid w:val="00BB54B5"/>
    <w:rsid w:val="00BB5522"/>
    <w:rsid w:val="00BD0EE6"/>
    <w:rsid w:val="00BD4E33"/>
    <w:rsid w:val="00BF7E83"/>
    <w:rsid w:val="00C00903"/>
    <w:rsid w:val="00C019BD"/>
    <w:rsid w:val="00C030DE"/>
    <w:rsid w:val="00C051A8"/>
    <w:rsid w:val="00C22105"/>
    <w:rsid w:val="00C244B6"/>
    <w:rsid w:val="00C248C7"/>
    <w:rsid w:val="00C27BF1"/>
    <w:rsid w:val="00C310E6"/>
    <w:rsid w:val="00C3648F"/>
    <w:rsid w:val="00C3702F"/>
    <w:rsid w:val="00C4500A"/>
    <w:rsid w:val="00C579AF"/>
    <w:rsid w:val="00C60262"/>
    <w:rsid w:val="00C62238"/>
    <w:rsid w:val="00C63BBE"/>
    <w:rsid w:val="00C64A37"/>
    <w:rsid w:val="00C7158E"/>
    <w:rsid w:val="00C7250B"/>
    <w:rsid w:val="00C7346B"/>
    <w:rsid w:val="00C777BB"/>
    <w:rsid w:val="00C77C0E"/>
    <w:rsid w:val="00C845EC"/>
    <w:rsid w:val="00C91687"/>
    <w:rsid w:val="00C924A8"/>
    <w:rsid w:val="00C945FE"/>
    <w:rsid w:val="00C96FAA"/>
    <w:rsid w:val="00C97A04"/>
    <w:rsid w:val="00CA107B"/>
    <w:rsid w:val="00CA1C26"/>
    <w:rsid w:val="00CA2619"/>
    <w:rsid w:val="00CA484D"/>
    <w:rsid w:val="00CA4FB6"/>
    <w:rsid w:val="00CB0110"/>
    <w:rsid w:val="00CB0BC5"/>
    <w:rsid w:val="00CB2F90"/>
    <w:rsid w:val="00CB456F"/>
    <w:rsid w:val="00CB5C7F"/>
    <w:rsid w:val="00CB6AD4"/>
    <w:rsid w:val="00CC3AA2"/>
    <w:rsid w:val="00CC40A9"/>
    <w:rsid w:val="00CC714D"/>
    <w:rsid w:val="00CC739E"/>
    <w:rsid w:val="00CD1EBB"/>
    <w:rsid w:val="00CD28CF"/>
    <w:rsid w:val="00CD58B7"/>
    <w:rsid w:val="00CD7967"/>
    <w:rsid w:val="00CE09C4"/>
    <w:rsid w:val="00CE6A09"/>
    <w:rsid w:val="00CE7A17"/>
    <w:rsid w:val="00CF18EE"/>
    <w:rsid w:val="00CF30BD"/>
    <w:rsid w:val="00CF4099"/>
    <w:rsid w:val="00CF704F"/>
    <w:rsid w:val="00D00796"/>
    <w:rsid w:val="00D1360C"/>
    <w:rsid w:val="00D2021F"/>
    <w:rsid w:val="00D261A2"/>
    <w:rsid w:val="00D5138B"/>
    <w:rsid w:val="00D51EC1"/>
    <w:rsid w:val="00D616D2"/>
    <w:rsid w:val="00D63B5F"/>
    <w:rsid w:val="00D654A9"/>
    <w:rsid w:val="00D65792"/>
    <w:rsid w:val="00D70EF7"/>
    <w:rsid w:val="00D72A11"/>
    <w:rsid w:val="00D80C19"/>
    <w:rsid w:val="00D8397C"/>
    <w:rsid w:val="00D90D3F"/>
    <w:rsid w:val="00D942B1"/>
    <w:rsid w:val="00D94466"/>
    <w:rsid w:val="00D94EED"/>
    <w:rsid w:val="00D96026"/>
    <w:rsid w:val="00D972F6"/>
    <w:rsid w:val="00DA331D"/>
    <w:rsid w:val="00DA712F"/>
    <w:rsid w:val="00DA7C1C"/>
    <w:rsid w:val="00DB147A"/>
    <w:rsid w:val="00DB1B7A"/>
    <w:rsid w:val="00DB6A3B"/>
    <w:rsid w:val="00DB706E"/>
    <w:rsid w:val="00DC6708"/>
    <w:rsid w:val="00DC781E"/>
    <w:rsid w:val="00DD011A"/>
    <w:rsid w:val="00DD23C1"/>
    <w:rsid w:val="00DD6C67"/>
    <w:rsid w:val="00DE2400"/>
    <w:rsid w:val="00DE58F1"/>
    <w:rsid w:val="00DE6B58"/>
    <w:rsid w:val="00DF25CA"/>
    <w:rsid w:val="00DF5E32"/>
    <w:rsid w:val="00DF7A92"/>
    <w:rsid w:val="00E008AF"/>
    <w:rsid w:val="00E00D3B"/>
    <w:rsid w:val="00E01436"/>
    <w:rsid w:val="00E023AA"/>
    <w:rsid w:val="00E03E79"/>
    <w:rsid w:val="00E045BD"/>
    <w:rsid w:val="00E04D6C"/>
    <w:rsid w:val="00E04F75"/>
    <w:rsid w:val="00E0559B"/>
    <w:rsid w:val="00E150EA"/>
    <w:rsid w:val="00E17B77"/>
    <w:rsid w:val="00E22157"/>
    <w:rsid w:val="00E231AB"/>
    <w:rsid w:val="00E23337"/>
    <w:rsid w:val="00E259EA"/>
    <w:rsid w:val="00E25D33"/>
    <w:rsid w:val="00E2752C"/>
    <w:rsid w:val="00E31FDC"/>
    <w:rsid w:val="00E32061"/>
    <w:rsid w:val="00E33F48"/>
    <w:rsid w:val="00E34EBA"/>
    <w:rsid w:val="00E3551E"/>
    <w:rsid w:val="00E35D8D"/>
    <w:rsid w:val="00E42FF9"/>
    <w:rsid w:val="00E44790"/>
    <w:rsid w:val="00E47012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67F31"/>
    <w:rsid w:val="00E7221E"/>
    <w:rsid w:val="00E7442D"/>
    <w:rsid w:val="00E76D26"/>
    <w:rsid w:val="00E76EE5"/>
    <w:rsid w:val="00E77D2D"/>
    <w:rsid w:val="00E95036"/>
    <w:rsid w:val="00E95B8E"/>
    <w:rsid w:val="00E9640A"/>
    <w:rsid w:val="00EA06F6"/>
    <w:rsid w:val="00EA37DC"/>
    <w:rsid w:val="00EB1390"/>
    <w:rsid w:val="00EB2C71"/>
    <w:rsid w:val="00EB3333"/>
    <w:rsid w:val="00EB4340"/>
    <w:rsid w:val="00EB556D"/>
    <w:rsid w:val="00EB5A7D"/>
    <w:rsid w:val="00EC7A89"/>
    <w:rsid w:val="00ED172C"/>
    <w:rsid w:val="00ED179B"/>
    <w:rsid w:val="00ED36B2"/>
    <w:rsid w:val="00ED3CB6"/>
    <w:rsid w:val="00ED55C0"/>
    <w:rsid w:val="00ED682B"/>
    <w:rsid w:val="00EE41D5"/>
    <w:rsid w:val="00EE7316"/>
    <w:rsid w:val="00EF566F"/>
    <w:rsid w:val="00F0166F"/>
    <w:rsid w:val="00F01756"/>
    <w:rsid w:val="00F037A4"/>
    <w:rsid w:val="00F03D62"/>
    <w:rsid w:val="00F049AB"/>
    <w:rsid w:val="00F142DB"/>
    <w:rsid w:val="00F22F72"/>
    <w:rsid w:val="00F27C8F"/>
    <w:rsid w:val="00F32749"/>
    <w:rsid w:val="00F3451A"/>
    <w:rsid w:val="00F357F0"/>
    <w:rsid w:val="00F37172"/>
    <w:rsid w:val="00F37727"/>
    <w:rsid w:val="00F4477E"/>
    <w:rsid w:val="00F46269"/>
    <w:rsid w:val="00F51BAF"/>
    <w:rsid w:val="00F60BA8"/>
    <w:rsid w:val="00F61AFB"/>
    <w:rsid w:val="00F65A5A"/>
    <w:rsid w:val="00F67D8F"/>
    <w:rsid w:val="00F7003E"/>
    <w:rsid w:val="00F802BE"/>
    <w:rsid w:val="00F80E93"/>
    <w:rsid w:val="00F86024"/>
    <w:rsid w:val="00F8611A"/>
    <w:rsid w:val="00FA3E6A"/>
    <w:rsid w:val="00FA5128"/>
    <w:rsid w:val="00FB1E83"/>
    <w:rsid w:val="00FB42D4"/>
    <w:rsid w:val="00FB5906"/>
    <w:rsid w:val="00FB7150"/>
    <w:rsid w:val="00FB762F"/>
    <w:rsid w:val="00FC2AED"/>
    <w:rsid w:val="00FC2EC6"/>
    <w:rsid w:val="00FC5F4F"/>
    <w:rsid w:val="00FD08AE"/>
    <w:rsid w:val="00FD5EA7"/>
    <w:rsid w:val="00FD6C94"/>
    <w:rsid w:val="00FE36CF"/>
    <w:rsid w:val="00FE6BDA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756B15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11F0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1F05"/>
    <w:rPr>
      <w:rFonts w:ascii="Fira Sans" w:hAnsi="Fira Sans"/>
      <w:sz w:val="19"/>
    </w:rPr>
  </w:style>
  <w:style w:type="paragraph" w:styleId="Poprawka">
    <w:name w:val="Revision"/>
    <w:hidden/>
    <w:uiPriority w:val="99"/>
    <w:semiHidden/>
    <w:rsid w:val="0007410F"/>
    <w:pPr>
      <w:spacing w:after="0" w:line="240" w:lineRule="auto"/>
    </w:pPr>
    <w:rPr>
      <w:rFonts w:ascii="Fira Sans" w:hAnsi="Fira Sans"/>
      <w:sz w:val="19"/>
    </w:rPr>
  </w:style>
  <w:style w:type="paragraph" w:customStyle="1" w:styleId="Tekstzeszytu">
    <w:name w:val="Tekst zeszytu"/>
    <w:basedOn w:val="Normalny"/>
    <w:link w:val="TekstzeszytuZnak"/>
    <w:qFormat/>
    <w:rsid w:val="00644AEF"/>
    <w:pPr>
      <w:suppressAutoHyphens w:val="0"/>
      <w:spacing w:line="240" w:lineRule="exact"/>
      <w:jc w:val="both"/>
    </w:pPr>
  </w:style>
  <w:style w:type="character" w:customStyle="1" w:styleId="TekstzeszytuZnak">
    <w:name w:val="Tekst zeszytu Znak"/>
    <w:basedOn w:val="Domylnaczcionkaakapitu"/>
    <w:link w:val="Tekstzeszytu"/>
    <w:rsid w:val="00644AEF"/>
    <w:rPr>
      <w:rFonts w:ascii="Fira Sans" w:hAnsi="Fira Sans"/>
      <w:sz w:val="19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44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www.facebook.com/GlownyUrzadStatystyczny" TargetMode="External"/><Relationship Id="rId39" Type="http://schemas.openxmlformats.org/officeDocument/2006/relationships/footer" Target="footer3.xml"/><Relationship Id="rId21" Type="http://schemas.openxmlformats.org/officeDocument/2006/relationships/hyperlink" Target="https://new.stat.gov.pl/" TargetMode="External"/><Relationship Id="rId34" Type="http://schemas.openxmlformats.org/officeDocument/2006/relationships/hyperlink" Target="https://stat.gov.pl/obszary-tematyczne/warunki-zycia/ubostwo-pomoc-spoleczna/swiadczenia-ochrony-socjalnej-w-2022-r-,29,2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www.youtube.com/@glownyurzadstatystycznygus?app=desktop&amp;si=IgHa1awoYniiJyQI&amp;cbrd=1&amp;ucbcb=1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hyperlink" Target="https://stat.gov.pl/metainformacje/slownik-pojec/pojecia-stosowane-w-statystyce-publicznej/4550,pojecie.html" TargetMode="Externa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https://x.com/GUS_STAT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krakow.stat.gov.pl/osrodki/osrodek-statystyki-pomocy-spolecznej-1064/dashboard/ochrona-socjalna/" TargetMode="External"/><Relationship Id="rId10" Type="http://schemas.openxmlformats.org/officeDocument/2006/relationships/footnotes" Target="footnotes.xml"/><Relationship Id="rId19" Type="http://schemas.openxmlformats.org/officeDocument/2006/relationships/hyperlink" Target="tel:124204050" TargetMode="External"/><Relationship Id="rId31" Type="http://schemas.openxmlformats.org/officeDocument/2006/relationships/hyperlink" Target="https://www.linkedin.com/authwall?trk=bf&amp;trkInfo=AQHf4Mbe_7r_aAAAAZ2Vpc-IborCNrbWoDlIrjvgu0dI3eNY5KU67O0IRJUsUeBlK7W6cqlXIeEdteVHYXLqTjeTf-yR-s3HOjHE3WoJFHVzIwJNNa0GzJlGdSx5MBAB63MagZM=&amp;original_referer=&amp;sessionRedirect=https%3A%2F%2Fwww.linkedin.com%2Fcompany%2Fglownyurzadstatystyczny%2F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hyperlink" Target="https://www.instagram.com/gus_stat/?next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krakow.stat.gov.pl/infografiki/infografiki-us-krakow/europejski-system-zintegrowanych-statystyk-ochrony-socjalnej-w-2022-r-,170,2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1.png"/><Relationship Id="rId33" Type="http://schemas.openxmlformats.org/officeDocument/2006/relationships/hyperlink" Target="https://stat.gov.pl/statystyki-eksperymentalne/jakosc-zycia/satelitarny-rachunek-ochrony-socjalnej,7,1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FD0E09-4549-43FE-9825-6634F0EA457C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C911D08F-8B7C-4893-AC06-25BF181B0F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1062</Words>
  <Characters>6374</Characters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Świadczenia ochrony socjalnej w 2023 r.</vt:lpstr>
    </vt:vector>
  </TitlesOfParts>
  <Company/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Świadczenia ochrony socjalnej w 2023 r.</dc:title>
  <dc:subject/>
  <dc:creator>Główny Urząd Statystyczny</dc:creator>
  <cp:keywords/>
  <dc:description/>
  <cp:lastPrinted>2019-02-21T09:45:00Z</cp:lastPrinted>
  <dcterms:created xsi:type="dcterms:W3CDTF">2026-09-03T09:16:00Z</dcterms:created>
  <dcterms:modified xsi:type="dcterms:W3CDTF">2026-09-10T10:38:00Z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