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39EF1" w14:textId="77777777" w:rsidR="005B4A46" w:rsidRDefault="004D3CC0" w:rsidP="005B4A46">
      <w:pPr>
        <w:spacing w:before="120" w:after="60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</w:rPr>
      </w:pPr>
      <w:r w:rsidRPr="00185238">
        <w:rPr>
          <w:rFonts w:ascii="Fira Sans" w:hAnsi="Fira Sans"/>
          <w:b/>
          <w:bCs/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20160" behindDoc="0" locked="0" layoutInCell="1" allowOverlap="1" wp14:anchorId="122E90D8" wp14:editId="1F775C67">
                <wp:simplePos x="0" y="0"/>
                <wp:positionH relativeFrom="margin">
                  <wp:align>left</wp:align>
                </wp:positionH>
                <wp:positionV relativeFrom="paragraph">
                  <wp:posOffset>989330</wp:posOffset>
                </wp:positionV>
                <wp:extent cx="1924050" cy="1312545"/>
                <wp:effectExtent l="0" t="0" r="0" b="1905"/>
                <wp:wrapSquare wrapText="bothSides"/>
                <wp:docPr id="6" name="Pole tekstowe 2" descr="11,9 pkt&#10;Wzrost wskaźnika zmiany ogólnej sytuacji &#10;w gospodarstwach rolny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312697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C0A04" w14:textId="77777777" w:rsidR="003B61E1" w:rsidRPr="00A813A1" w:rsidRDefault="003B61E1" w:rsidP="004D3CC0">
                            <w:pPr>
                              <w:suppressAutoHyphens/>
                              <w:spacing w:after="0" w:line="240" w:lineRule="auto"/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813A1">
                              <w:rPr>
                                <w:rStyle w:val="IkonawskanikaZnak"/>
                                <w:noProof/>
                                <w:color w:val="FFFFFF" w:themeColor="background1"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0F71B17A" wp14:editId="17B23D8F">
                                  <wp:extent cx="249555" cy="266700"/>
                                  <wp:effectExtent l="0" t="0" r="0" b="0"/>
                                  <wp:docPr id="8" name="Obraz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A813A1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7</w:t>
                            </w:r>
                            <w:r w:rsidRPr="00A813A1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,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5</w:t>
                            </w:r>
                            <w:r w:rsidRPr="00A813A1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pkt</w:t>
                            </w:r>
                          </w:p>
                          <w:p w14:paraId="4C591465" w14:textId="77777777" w:rsidR="003B61E1" w:rsidRPr="009C18E9" w:rsidRDefault="003B61E1" w:rsidP="004D3CC0">
                            <w:pPr>
                              <w:suppressAutoHyphens/>
                              <w:spacing w:after="0" w:line="240" w:lineRule="auto"/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</w:pPr>
                            <w:r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Spadek wskaźnika zmiany ogólnej</w:t>
                            </w:r>
                            <w:r w:rsidR="0068468E"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sytuacji w</w:t>
                            </w:r>
                            <w:r w:rsidR="00B56BF2"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 </w:t>
                            </w:r>
                            <w:r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gospodarstwach</w:t>
                            </w:r>
                            <w:r w:rsidR="0068468E"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rolnych (WZOS) w porównaniu z</w:t>
                            </w:r>
                            <w:r w:rsidR="00B56BF2"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 </w:t>
                            </w:r>
                            <w:r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1.</w:t>
                            </w:r>
                            <w:r w:rsidR="00EC715B"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 </w:t>
                            </w:r>
                            <w:r w:rsidRPr="009C18E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półroczem 2025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2E90D8" id="Pole tekstowe 2" o:spid="_x0000_s1026" alt="11,9 pkt&#10;Wzrost wskaźnika zmiany ogólnej sytuacji &#10;w gospodarstwach rolnych&#10;" style="position:absolute;margin-left:0;margin-top:77.9pt;width:151.5pt;height:103.35pt;z-index:2530201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" fillcolor="#001d77" stroked="f">
                <v:stroke joinstyle="miter"/>
                <v:textbox>
                  <w:txbxContent>
                    <w:p w14:paraId="5A3C0A04" w14:textId="77777777" w:rsidR="003B61E1" w:rsidRPr="00A813A1" w:rsidRDefault="003B61E1" w:rsidP="004D3CC0">
                      <w:pPr>
                        <w:suppressAutoHyphens/>
                        <w:spacing w:after="0" w:line="240" w:lineRule="auto"/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</w:pPr>
                      <w:r w:rsidRPr="00A813A1">
                        <w:rPr>
                          <w:rStyle w:val="IkonawskanikaZnak"/>
                          <w:noProof/>
                          <w:color w:val="FFFFFF" w:themeColor="background1"/>
                          <w:sz w:val="44"/>
                          <w:szCs w:val="44"/>
                        </w:rPr>
                        <w:drawing>
                          <wp:inline distT="0" distB="0" distL="0" distR="0" wp14:anchorId="0F71B17A" wp14:editId="17B23D8F">
                            <wp:extent cx="249555" cy="266700"/>
                            <wp:effectExtent l="0" t="0" r="0" b="0"/>
                            <wp:docPr id="8" name="Obraz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Pr="00A813A1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1</w:t>
                      </w:r>
                      <w:r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7</w:t>
                      </w:r>
                      <w:r w:rsidRPr="00A813A1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5</w:t>
                      </w:r>
                      <w:r w:rsidRPr="00A813A1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pkt</w:t>
                      </w:r>
                    </w:p>
                    <w:p w14:paraId="4C591465" w14:textId="77777777" w:rsidR="003B61E1" w:rsidRPr="009C18E9" w:rsidRDefault="003B61E1" w:rsidP="004D3CC0">
                      <w:pPr>
                        <w:suppressAutoHyphens/>
                        <w:spacing w:after="0" w:line="240" w:lineRule="auto"/>
                        <w:rPr>
                          <w:rFonts w:ascii="Fira Sans" w:hAnsi="Fira Sans"/>
                          <w:sz w:val="20"/>
                          <w:szCs w:val="20"/>
                        </w:rPr>
                      </w:pPr>
                      <w:r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Spadek wskaźnika zmiany ogólnej</w:t>
                      </w:r>
                      <w:r w:rsidR="0068468E"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 xml:space="preserve"> </w:t>
                      </w:r>
                      <w:r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sytuacji w</w:t>
                      </w:r>
                      <w:r w:rsidR="00B56BF2"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 </w:t>
                      </w:r>
                      <w:r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gospodarstwach</w:t>
                      </w:r>
                      <w:r w:rsidR="0068468E"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 xml:space="preserve"> </w:t>
                      </w:r>
                      <w:r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rolnych (WZOS) w porównaniu z</w:t>
                      </w:r>
                      <w:r w:rsidR="00B56BF2"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 </w:t>
                      </w:r>
                      <w:r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1.</w:t>
                      </w:r>
                      <w:r w:rsidR="00EC715B"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 </w:t>
                      </w:r>
                      <w:r w:rsidRPr="009C18E9">
                        <w:rPr>
                          <w:rFonts w:ascii="Fira Sans" w:hAnsi="Fira Sans"/>
                          <w:sz w:val="20"/>
                          <w:szCs w:val="20"/>
                        </w:rPr>
                        <w:t>półroczem 2025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C0FB5" w:rsidRPr="00185238">
        <w:rPr>
          <w:rFonts w:ascii="Fira Sans Extra Condensed SemiB" w:hAnsi="Fira Sans Extra Condensed SemiB"/>
          <w:color w:val="000000" w:themeColor="text1"/>
          <w:sz w:val="40"/>
          <w:szCs w:val="26"/>
        </w:rPr>
        <w:t xml:space="preserve">Koniunktura </w:t>
      </w:r>
      <w:r w:rsidR="00A00D1C" w:rsidRPr="00185238">
        <w:rPr>
          <w:rFonts w:ascii="Fira Sans Extra Condensed SemiB" w:hAnsi="Fira Sans Extra Condensed SemiB"/>
          <w:color w:val="000000" w:themeColor="text1"/>
          <w:sz w:val="40"/>
          <w:szCs w:val="26"/>
        </w:rPr>
        <w:t xml:space="preserve">w gospodarstwach rolnych </w:t>
      </w:r>
      <w:r w:rsidR="005B4A46" w:rsidRPr="00185238">
        <w:rPr>
          <w:rFonts w:ascii="Fira Sans Extra Condensed SemiB" w:hAnsi="Fira Sans Extra Condensed SemiB"/>
          <w:color w:val="000000" w:themeColor="text1"/>
          <w:sz w:val="40"/>
          <w:szCs w:val="26"/>
        </w:rPr>
        <w:t>w</w:t>
      </w:r>
      <w:r w:rsidR="00EC715B">
        <w:rPr>
          <w:rFonts w:ascii="Fira Sans Extra Condensed SemiB" w:hAnsi="Fira Sans Extra Condensed SemiB"/>
          <w:color w:val="000000" w:themeColor="text1"/>
          <w:sz w:val="40"/>
          <w:szCs w:val="26"/>
        </w:rPr>
        <w:t> </w:t>
      </w:r>
      <w:r w:rsidR="005B4A46">
        <w:rPr>
          <w:rFonts w:ascii="Fira Sans Extra Condensed SemiB" w:hAnsi="Fira Sans Extra Condensed SemiB"/>
          <w:color w:val="000000" w:themeColor="text1"/>
          <w:sz w:val="40"/>
          <w:szCs w:val="26"/>
        </w:rPr>
        <w:t>1</w:t>
      </w:r>
      <w:r w:rsidR="007C7D69">
        <w:rPr>
          <w:rFonts w:ascii="Fira Sans Extra Condensed SemiB" w:hAnsi="Fira Sans Extra Condensed SemiB"/>
          <w:color w:val="000000" w:themeColor="text1"/>
          <w:sz w:val="40"/>
          <w:szCs w:val="26"/>
        </w:rPr>
        <w:t>.</w:t>
      </w:r>
      <w:r w:rsidR="00EC715B">
        <w:rPr>
          <w:rFonts w:ascii="Fira Sans Extra Condensed SemiB" w:hAnsi="Fira Sans Extra Condensed SemiB"/>
          <w:color w:val="000000" w:themeColor="text1"/>
          <w:sz w:val="40"/>
          <w:szCs w:val="26"/>
        </w:rPr>
        <w:t> </w:t>
      </w:r>
      <w:r w:rsidR="005B4A46" w:rsidRPr="00185238">
        <w:rPr>
          <w:rFonts w:ascii="Fira Sans Extra Condensed SemiB" w:hAnsi="Fira Sans Extra Condensed SemiB"/>
          <w:color w:val="000000" w:themeColor="text1"/>
          <w:sz w:val="40"/>
          <w:szCs w:val="26"/>
        </w:rPr>
        <w:t>półroczu 202</w:t>
      </w:r>
      <w:r w:rsidR="005B4A46">
        <w:rPr>
          <w:rFonts w:ascii="Fira Sans Extra Condensed SemiB" w:hAnsi="Fira Sans Extra Condensed SemiB"/>
          <w:color w:val="000000" w:themeColor="text1"/>
          <w:sz w:val="40"/>
          <w:szCs w:val="26"/>
        </w:rPr>
        <w:t>6</w:t>
      </w:r>
      <w:r w:rsidR="005B4A46" w:rsidRPr="00185238">
        <w:rPr>
          <w:rFonts w:ascii="Fira Sans Extra Condensed SemiB" w:hAnsi="Fira Sans Extra Condensed SemiB"/>
          <w:color w:val="000000" w:themeColor="text1"/>
          <w:sz w:val="40"/>
          <w:szCs w:val="26"/>
        </w:rPr>
        <w:t xml:space="preserve"> r.</w:t>
      </w:r>
    </w:p>
    <w:p w14:paraId="44853394" w14:textId="77777777" w:rsidR="009C18E9" w:rsidRPr="009C18E9" w:rsidRDefault="004D3CC0" w:rsidP="009C18E9">
      <w:pPr>
        <w:spacing w:before="360" w:after="120"/>
        <w:rPr>
          <w:rFonts w:ascii="Fira Sans" w:hAnsi="Fira Sans" w:cs="Segoe UI"/>
          <w:b/>
          <w:bCs/>
          <w:iCs/>
          <w:sz w:val="19"/>
          <w:szCs w:val="19"/>
        </w:rPr>
      </w:pPr>
      <w:r w:rsidRPr="005E1B6A">
        <w:rPr>
          <w:rFonts w:ascii="Fira Sans" w:hAnsi="Fira Sans" w:cs="Segoe UI"/>
          <w:b/>
          <w:bCs/>
          <w:iCs/>
          <w:sz w:val="19"/>
          <w:szCs w:val="19"/>
        </w:rPr>
        <w:t>Użytkownicy gospodarstw rolnych ocenili zmiany ogólnej sytuacji swoich gospodarstw</w:t>
      </w:r>
      <w:r w:rsidR="00220010">
        <w:rPr>
          <w:rFonts w:ascii="Fira Sans" w:hAnsi="Fira Sans" w:cs="Segoe UI"/>
          <w:b/>
          <w:bCs/>
          <w:iCs/>
          <w:sz w:val="19"/>
          <w:szCs w:val="19"/>
        </w:rPr>
        <w:t>,</w:t>
      </w:r>
      <w:r w:rsidRPr="005E1B6A">
        <w:rPr>
          <w:rFonts w:ascii="Fira Sans" w:hAnsi="Fira Sans" w:cs="Segoe UI"/>
          <w:b/>
          <w:bCs/>
          <w:iCs/>
          <w:sz w:val="19"/>
          <w:szCs w:val="19"/>
        </w:rPr>
        <w:t xml:space="preserve"> jakie miały miejsce w 1</w:t>
      </w:r>
      <w:r w:rsidR="00F23032">
        <w:rPr>
          <w:rFonts w:ascii="Fira Sans" w:hAnsi="Fira Sans" w:cs="Segoe UI"/>
          <w:b/>
          <w:bCs/>
          <w:iCs/>
          <w:sz w:val="19"/>
          <w:szCs w:val="19"/>
        </w:rPr>
        <w:t>.</w:t>
      </w:r>
      <w:r w:rsidRPr="005E1B6A">
        <w:rPr>
          <w:rFonts w:ascii="Fira Sans" w:hAnsi="Fira Sans" w:cs="Segoe UI"/>
          <w:b/>
          <w:bCs/>
          <w:iCs/>
          <w:sz w:val="19"/>
          <w:szCs w:val="19"/>
        </w:rPr>
        <w:t xml:space="preserve"> półroczu 2026 r.</w:t>
      </w:r>
      <w:r w:rsidR="000D2DC4">
        <w:rPr>
          <w:rFonts w:ascii="Fira Sans" w:hAnsi="Fira Sans" w:cs="Segoe UI"/>
          <w:b/>
          <w:bCs/>
          <w:iCs/>
          <w:sz w:val="19"/>
          <w:szCs w:val="19"/>
        </w:rPr>
        <w:t>,</w:t>
      </w:r>
      <w:r w:rsidRPr="005E1B6A">
        <w:rPr>
          <w:rFonts w:ascii="Fira Sans" w:hAnsi="Fira Sans" w:cs="Segoe UI"/>
          <w:b/>
          <w:bCs/>
          <w:iCs/>
          <w:sz w:val="19"/>
          <w:szCs w:val="19"/>
        </w:rPr>
        <w:t xml:space="preserve"> negatywnie. Wskaźnik zmiany ogólnej sytuacji w gospodarstwach rolnych (WZOS) wyniósł minus 41,1. Niekorzystne były również prognozy dotyczące sytuacji gospodarstw rolnych </w:t>
      </w:r>
      <w:r w:rsidR="0063737D">
        <w:rPr>
          <w:rFonts w:ascii="Fira Sans" w:hAnsi="Fira Sans" w:cs="Segoe UI"/>
          <w:b/>
          <w:bCs/>
          <w:iCs/>
          <w:sz w:val="19"/>
          <w:szCs w:val="19"/>
        </w:rPr>
        <w:t>na 2.</w:t>
      </w:r>
      <w:r w:rsidR="00B56BF2">
        <w:rPr>
          <w:rFonts w:ascii="Fira Sans" w:hAnsi="Fira Sans" w:cs="Segoe UI"/>
          <w:b/>
          <w:bCs/>
          <w:iCs/>
          <w:sz w:val="19"/>
          <w:szCs w:val="19"/>
        </w:rPr>
        <w:t> </w:t>
      </w:r>
      <w:r w:rsidRPr="005E1B6A">
        <w:rPr>
          <w:rFonts w:ascii="Fira Sans" w:hAnsi="Fira Sans" w:cs="Segoe UI"/>
          <w:b/>
          <w:bCs/>
          <w:iCs/>
          <w:sz w:val="19"/>
          <w:szCs w:val="19"/>
        </w:rPr>
        <w:t>półrocz</w:t>
      </w:r>
      <w:r w:rsidR="00C8721D">
        <w:rPr>
          <w:rFonts w:ascii="Fira Sans" w:hAnsi="Fira Sans" w:cs="Segoe UI"/>
          <w:b/>
          <w:bCs/>
          <w:iCs/>
          <w:sz w:val="19"/>
          <w:szCs w:val="19"/>
        </w:rPr>
        <w:t>e</w:t>
      </w:r>
      <w:r w:rsidRPr="005E1B6A">
        <w:rPr>
          <w:rFonts w:ascii="Fira Sans" w:hAnsi="Fira Sans" w:cs="Segoe UI"/>
          <w:b/>
          <w:bCs/>
          <w:iCs/>
          <w:sz w:val="19"/>
          <w:szCs w:val="19"/>
        </w:rPr>
        <w:t xml:space="preserve"> 2026 r.</w:t>
      </w:r>
    </w:p>
    <w:p w14:paraId="45189F2A" w14:textId="77777777" w:rsidR="009C18E9" w:rsidRDefault="00D726D8" w:rsidP="009C18E9">
      <w:pPr>
        <w:spacing w:before="120" w:after="120" w:line="288" w:lineRule="auto"/>
        <w:rPr>
          <w:noProof/>
          <w:color w:val="000000" w:themeColor="text1"/>
          <w:sz w:val="19"/>
          <w:szCs w:val="19"/>
          <w:lang w:eastAsia="pl-PL"/>
        </w:rPr>
      </w:pPr>
      <w:r w:rsidRPr="00185238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05824" behindDoc="1" locked="0" layoutInCell="1" allowOverlap="1" wp14:anchorId="41209C28" wp14:editId="1B1381FA">
                <wp:simplePos x="0" y="0"/>
                <wp:positionH relativeFrom="page">
                  <wp:posOffset>5819775</wp:posOffset>
                </wp:positionH>
                <wp:positionV relativeFrom="paragraph">
                  <wp:posOffset>226060</wp:posOffset>
                </wp:positionV>
                <wp:extent cx="1645920" cy="3933825"/>
                <wp:effectExtent l="0" t="0" r="0" b="0"/>
                <wp:wrapTight wrapText="bothSides">
                  <wp:wrapPolygon edited="0">
                    <wp:start x="750" y="0"/>
                    <wp:lineTo x="750" y="21443"/>
                    <wp:lineTo x="20750" y="21443"/>
                    <wp:lineTo x="20750" y="0"/>
                    <wp:lineTo x="750" y="0"/>
                  </wp:wrapPolygon>
                </wp:wrapTight>
                <wp:docPr id="12" name="Pole tekstowe 12" descr="Wskaźnik zmiany ogólnej sytuacji (WZOS) w gospodarstwach rolnych jest wskaźnikiem złożonym. Obliczany jest jako średnia arytmetyczna sald odpowiedzi na pytania dotyczące zmiany w ostatnim półroczu i przewidywanej sytuacji w gospodarstwach rolnych w najbliższym półroczu. Przyjmuje wartości od -100 do +100, przy czym wartości poniżej zera są oceniane jako negatywne (wskazujące na gorszą koniunkturę), a powyżej zera – jako pozytywne (wskazujące na dobrą koniunkturę). Wskaźnik przyjmujący wartość równą zero oznacza sytuację, gdy koniunktura nie zmienia si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933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6AD13" w14:textId="77777777" w:rsidR="003B61E1" w:rsidRPr="00081471" w:rsidRDefault="003B61E1" w:rsidP="000723A5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</w:pPr>
                            <w:r w:rsidRPr="00081471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 xml:space="preserve">Wskaźnik zmiany 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 xml:space="preserve">ogólnej </w:t>
                            </w:r>
                            <w:r w:rsidRPr="00081471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sytuacji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 xml:space="preserve"> (WZOS)</w:t>
                            </w:r>
                            <w:r w:rsidRPr="00081471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w </w:t>
                            </w:r>
                            <w:r w:rsidRPr="00081471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gospodarstw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ach</w:t>
                            </w:r>
                            <w:r w:rsidRPr="00081471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 xml:space="preserve"> roln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 xml:space="preserve">ych </w:t>
                            </w:r>
                            <w:r w:rsidRPr="00081471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jest wskaźnikiem złożonym.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D52EBA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Obliczany jest jako średnia arytmetyczna sald odpowiedzi na pytania dotyczące zmiany w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 </w:t>
                            </w:r>
                            <w:r w:rsidRPr="00D52EBA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ostatnim półroczu i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 </w:t>
                            </w:r>
                            <w:r w:rsidRPr="00D52EBA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przewidywanej sytuacji w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 </w:t>
                            </w:r>
                            <w:r w:rsidRPr="00D52EBA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gospodarstwach rolnych w</w:t>
                            </w:r>
                            <w:r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 </w:t>
                            </w:r>
                            <w:r w:rsidRPr="00D52EBA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 xml:space="preserve">najbliższym półroczu. </w:t>
                            </w:r>
                            <w:r w:rsidRPr="00081471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  <w:t>Przyjmuje wartości od -100 do +100, przy czym wartości poniżej zera są oceniane jako negatywne (wskazujące na gorszą koniunkturę), a powyżej zera – jako pozytywne (wskazujące na dobrą koniunkturę). Wskaźnik przyjmujący wartość równą zero oznacza sytuację, gdy koniunktura nie zmienia się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209C28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7" type="#_x0000_t202" alt="Wskaźnik zmiany ogólnej sytuacji (WZOS) w gospodarstwach rolnych jest wskaźnikiem złożonym. Obliczany jest jako średnia arytmetyczna sald odpowiedzi na pytania dotyczące zmiany w ostatnim półroczu i przewidywanej sytuacji w gospodarstwach rolnych w najbliższym półroczu. Przyjmuje wartości od -100 do +100, przy czym wartości poniżej zera są oceniane jako negatywne (wskazujące na gorszą koniunkturę), a powyżej zera – jako pozytywne (wskazujące na dobrą koniunkturę). Wskaźnik przyjmujący wartość równą zero oznacza sytuację, gdy koniunktura nie zmienia się" style="position:absolute;margin-left:458.25pt;margin-top:17.8pt;width:129.6pt;height:309.75pt;z-index:-250310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" filled="f" stroked="f">
                <v:textbox>
                  <w:txbxContent>
                    <w:p w14:paraId="3B26AD13" w14:textId="77777777" w:rsidR="003B61E1" w:rsidRPr="00081471" w:rsidRDefault="003B61E1" w:rsidP="000723A5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</w:pPr>
                      <w:r w:rsidRPr="00081471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 xml:space="preserve">Wskaźnik zmiany 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 xml:space="preserve">ogólnej </w:t>
                      </w:r>
                      <w:r w:rsidRPr="00081471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sytuacji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 xml:space="preserve"> (WZOS)</w:t>
                      </w:r>
                      <w:r w:rsidRPr="00081471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 xml:space="preserve"> 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w </w:t>
                      </w:r>
                      <w:r w:rsidRPr="00081471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gospodarstw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ach</w:t>
                      </w:r>
                      <w:r w:rsidRPr="00081471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 xml:space="preserve"> roln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 xml:space="preserve">ych </w:t>
                      </w:r>
                      <w:r w:rsidRPr="00081471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jest wskaźnikiem złożonym.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 xml:space="preserve"> </w:t>
                      </w:r>
                      <w:r w:rsidRPr="00D52EBA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Obliczany jest jako średnia arytmetyczna sald odpowiedzi na pytania dotyczące zmiany w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 </w:t>
                      </w:r>
                      <w:r w:rsidRPr="00D52EBA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ostatnim półroczu i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 </w:t>
                      </w:r>
                      <w:r w:rsidRPr="00D52EBA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przewidywanej sytuacji w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 </w:t>
                      </w:r>
                      <w:r w:rsidRPr="00D52EBA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gospodarstwach rolnych w</w:t>
                      </w:r>
                      <w:r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 </w:t>
                      </w:r>
                      <w:r w:rsidRPr="00D52EBA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 xml:space="preserve">najbliższym półroczu. </w:t>
                      </w:r>
                      <w:r w:rsidRPr="00081471"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  <w:t>Przyjmuje wartości od -100 do +100, przy czym wartości poniżej zera są oceniane jako negatywne (wskazujące na gorszą koniunkturę), a powyżej zera – jako pozytywne (wskazujące na dobrą koniunkturę). Wskaźnik przyjmujący wartość równą zero oznacza sytuację, gdy koniunktura nie zmienia się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C9EE566" w14:textId="77777777" w:rsidR="00F550A2" w:rsidRDefault="000D2DC4" w:rsidP="009C18E9">
      <w:pPr>
        <w:spacing w:before="12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 w:rsidRPr="003600E3">
        <w:rPr>
          <w:rFonts w:ascii="Fira Sans" w:hAnsi="Fira Sans"/>
          <w:color w:val="000000" w:themeColor="text1"/>
          <w:sz w:val="19"/>
          <w:szCs w:val="19"/>
        </w:rPr>
        <w:t>Oceny</w:t>
      </w:r>
      <w:r w:rsidR="00D726D8" w:rsidRPr="003600E3">
        <w:rPr>
          <w:rFonts w:ascii="Fira Sans" w:hAnsi="Fira Sans"/>
          <w:color w:val="000000" w:themeColor="text1"/>
          <w:sz w:val="19"/>
          <w:szCs w:val="19"/>
        </w:rPr>
        <w:t xml:space="preserve"> zmiany ogólnej sytuacji w gospodarstwach rolnych różniły się pomiędzy gospodarstwami w zależności od kilku czynników, takich jak: forma prawna gospodarstwa rolnego, specjalizacja oraz powierzchnia użytków rolnych, a także wiek i wykształcenie osoby kierującej gospodarstwem rolnym</w:t>
      </w:r>
      <w:r w:rsidR="00D726D8" w:rsidRPr="007125E7">
        <w:rPr>
          <w:rFonts w:ascii="Fira Sans" w:hAnsi="Fira Sans"/>
          <w:color w:val="000000" w:themeColor="text1"/>
          <w:sz w:val="19"/>
          <w:szCs w:val="19"/>
        </w:rPr>
        <w:t>.</w:t>
      </w:r>
    </w:p>
    <w:p w14:paraId="56D35D69" w14:textId="77777777" w:rsidR="00D726D8" w:rsidRDefault="00D726D8" w:rsidP="000A2536">
      <w:pPr>
        <w:spacing w:before="12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/>
          <w:color w:val="000000" w:themeColor="text1"/>
          <w:sz w:val="19"/>
          <w:szCs w:val="19"/>
        </w:rPr>
        <w:t xml:space="preserve">W </w:t>
      </w:r>
      <w:r w:rsidRPr="007125E7">
        <w:rPr>
          <w:rFonts w:ascii="Fira Sans" w:hAnsi="Fira Sans"/>
          <w:color w:val="000000" w:themeColor="text1"/>
          <w:sz w:val="19"/>
          <w:szCs w:val="19"/>
        </w:rPr>
        <w:t>grupie gospodarstw osób prawnych i jednostek organizacyjnych niemających osobowości prawnej wskaźnik WZOS wyniósł minus 3</w:t>
      </w:r>
      <w:r>
        <w:rPr>
          <w:rFonts w:ascii="Fira Sans" w:hAnsi="Fira Sans"/>
          <w:color w:val="000000" w:themeColor="text1"/>
          <w:sz w:val="19"/>
          <w:szCs w:val="19"/>
        </w:rPr>
        <w:t>4</w:t>
      </w:r>
      <w:r w:rsidRPr="007125E7">
        <w:rPr>
          <w:rFonts w:ascii="Fira Sans" w:hAnsi="Fira Sans"/>
          <w:color w:val="000000" w:themeColor="text1"/>
          <w:sz w:val="19"/>
          <w:szCs w:val="19"/>
        </w:rPr>
        <w:t>,2, podczas gdy w gospodarstwach indywidualnych ukształtował się na poziomie minus 4</w:t>
      </w:r>
      <w:r>
        <w:rPr>
          <w:rFonts w:ascii="Fira Sans" w:hAnsi="Fira Sans"/>
          <w:color w:val="000000" w:themeColor="text1"/>
          <w:sz w:val="19"/>
          <w:szCs w:val="19"/>
        </w:rPr>
        <w:t>1,2</w:t>
      </w:r>
      <w:r w:rsidRPr="007125E7">
        <w:rPr>
          <w:rFonts w:ascii="Fira Sans" w:hAnsi="Fira Sans"/>
          <w:color w:val="000000" w:themeColor="text1"/>
          <w:sz w:val="19"/>
          <w:szCs w:val="19"/>
        </w:rPr>
        <w:t>.</w:t>
      </w:r>
    </w:p>
    <w:p w14:paraId="05B35971" w14:textId="77777777" w:rsidR="00D726D8" w:rsidRDefault="00D726D8" w:rsidP="000A2536">
      <w:pPr>
        <w:spacing w:before="12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bookmarkStart w:id="0" w:name="_Hlk240625550"/>
      <w:r>
        <w:rPr>
          <w:rFonts w:ascii="Fira Sans" w:hAnsi="Fira Sans"/>
          <w:color w:val="000000" w:themeColor="text1"/>
          <w:sz w:val="19"/>
          <w:szCs w:val="19"/>
        </w:rPr>
        <w:t xml:space="preserve">Biorąc pod uwagę </w:t>
      </w:r>
      <w:r w:rsidRPr="0052702B">
        <w:rPr>
          <w:rStyle w:val="cf01"/>
          <w:rFonts w:ascii="Fira Sans" w:eastAsiaTheme="majorEastAsia" w:hAnsi="Fira Sans"/>
          <w:sz w:val="19"/>
          <w:szCs w:val="19"/>
        </w:rPr>
        <w:t>specjalizację gospodarstw rolnych</w:t>
      </w:r>
      <w:bookmarkEnd w:id="0"/>
      <w:r>
        <w:rPr>
          <w:rStyle w:val="cf01"/>
          <w:rFonts w:ascii="Fira Sans" w:eastAsiaTheme="majorEastAsia" w:hAnsi="Fira Sans"/>
          <w:sz w:val="19"/>
          <w:szCs w:val="19"/>
        </w:rPr>
        <w:t>,</w:t>
      </w:r>
      <w:r w:rsidRPr="0052702B">
        <w:rPr>
          <w:rStyle w:val="cf01"/>
          <w:rFonts w:ascii="Fira Sans" w:eastAsiaTheme="majorEastAsia" w:hAnsi="Fira Sans"/>
          <w:sz w:val="19"/>
          <w:szCs w:val="19"/>
        </w:rPr>
        <w:t xml:space="preserve"> naj</w:t>
      </w:r>
      <w:r>
        <w:rPr>
          <w:rStyle w:val="cf01"/>
          <w:rFonts w:ascii="Fira Sans" w:eastAsiaTheme="majorEastAsia" w:hAnsi="Fira Sans"/>
          <w:sz w:val="19"/>
          <w:szCs w:val="19"/>
        </w:rPr>
        <w:t>wyższą</w:t>
      </w:r>
      <w:r w:rsidRPr="0052702B">
        <w:rPr>
          <w:rStyle w:val="cf01"/>
          <w:rFonts w:ascii="Fira Sans" w:eastAsiaTheme="majorEastAsia" w:hAnsi="Fira Sans"/>
          <w:sz w:val="19"/>
          <w:szCs w:val="19"/>
        </w:rPr>
        <w:t xml:space="preserve"> wartość wskaźnika</w:t>
      </w:r>
      <w:r>
        <w:rPr>
          <w:rStyle w:val="cf01"/>
          <w:rFonts w:ascii="Fira Sans" w:eastAsiaTheme="majorEastAsia" w:hAnsi="Fira Sans"/>
          <w:sz w:val="19"/>
          <w:szCs w:val="19"/>
        </w:rPr>
        <w:t xml:space="preserve"> WZOS (minus 35,5) </w:t>
      </w:r>
      <w:r w:rsidRPr="0052702B">
        <w:rPr>
          <w:rStyle w:val="cf01"/>
          <w:rFonts w:ascii="Fira Sans" w:eastAsiaTheme="majorEastAsia" w:hAnsi="Fira Sans"/>
          <w:sz w:val="19"/>
          <w:szCs w:val="19"/>
        </w:rPr>
        <w:t>odnotowano w</w:t>
      </w:r>
      <w:r>
        <w:rPr>
          <w:rStyle w:val="cf01"/>
          <w:rFonts w:ascii="Fira Sans" w:eastAsiaTheme="majorEastAsia" w:hAnsi="Fira Sans"/>
          <w:sz w:val="19"/>
          <w:szCs w:val="19"/>
        </w:rPr>
        <w:t xml:space="preserve">śród </w:t>
      </w:r>
      <w:r w:rsidR="0014601F">
        <w:rPr>
          <w:rStyle w:val="cf01"/>
          <w:rFonts w:ascii="Fira Sans" w:eastAsiaTheme="majorEastAsia" w:hAnsi="Fira Sans"/>
          <w:sz w:val="19"/>
          <w:szCs w:val="19"/>
        </w:rPr>
        <w:t>gospodarstw</w:t>
      </w:r>
      <w:r>
        <w:rPr>
          <w:rStyle w:val="cf01"/>
          <w:rFonts w:ascii="Fira Sans" w:eastAsiaTheme="majorEastAsia" w:hAnsi="Fira Sans"/>
          <w:sz w:val="19"/>
          <w:szCs w:val="19"/>
        </w:rPr>
        <w:t xml:space="preserve"> </w:t>
      </w:r>
      <w:r w:rsidRPr="00E73448">
        <w:rPr>
          <w:rStyle w:val="cf01"/>
          <w:rFonts w:ascii="Fira Sans" w:eastAsiaTheme="majorEastAsia" w:hAnsi="Fira Sans"/>
          <w:sz w:val="19"/>
          <w:szCs w:val="19"/>
        </w:rPr>
        <w:t>ukierunkowanych na produkcję zwierzęcą</w:t>
      </w:r>
      <w:r>
        <w:rPr>
          <w:rStyle w:val="cf01"/>
          <w:rFonts w:ascii="Fira Sans" w:eastAsiaTheme="majorEastAsia" w:hAnsi="Fira Sans"/>
          <w:sz w:val="19"/>
          <w:szCs w:val="19"/>
        </w:rPr>
        <w:t xml:space="preserve">, natomiast </w:t>
      </w:r>
      <w:r w:rsidRPr="007125E7">
        <w:rPr>
          <w:rFonts w:ascii="Fira Sans" w:hAnsi="Fira Sans"/>
          <w:color w:val="000000" w:themeColor="text1"/>
          <w:sz w:val="19"/>
          <w:szCs w:val="19"/>
        </w:rPr>
        <w:t>najniższą wartość w grupie gospodarstw wielokierunkowych (minus 4</w:t>
      </w:r>
      <w:r>
        <w:rPr>
          <w:rFonts w:ascii="Fira Sans" w:hAnsi="Fira Sans"/>
          <w:color w:val="000000" w:themeColor="text1"/>
          <w:sz w:val="19"/>
          <w:szCs w:val="19"/>
        </w:rPr>
        <w:t>3,5</w:t>
      </w:r>
      <w:r w:rsidRPr="007125E7">
        <w:rPr>
          <w:rFonts w:ascii="Fira Sans" w:hAnsi="Fira Sans"/>
          <w:color w:val="000000" w:themeColor="text1"/>
          <w:sz w:val="19"/>
          <w:szCs w:val="19"/>
        </w:rPr>
        <w:t>).</w:t>
      </w:r>
    </w:p>
    <w:p w14:paraId="4C7B04CA" w14:textId="77777777" w:rsidR="00D726D8" w:rsidRDefault="00D726D8" w:rsidP="000A2536">
      <w:pPr>
        <w:spacing w:before="12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 w:rsidRPr="00A9055B">
        <w:rPr>
          <w:rFonts w:ascii="Fira Sans" w:hAnsi="Fira Sans"/>
          <w:sz w:val="19"/>
          <w:szCs w:val="19"/>
        </w:rPr>
        <w:t xml:space="preserve">Wśród analizowanych grup obszarowych </w:t>
      </w:r>
      <w:r w:rsidR="00934E92">
        <w:rPr>
          <w:rFonts w:ascii="Fira Sans" w:hAnsi="Fira Sans"/>
          <w:sz w:val="19"/>
          <w:szCs w:val="19"/>
        </w:rPr>
        <w:t xml:space="preserve">gospodarstw rolnych </w:t>
      </w:r>
      <w:r>
        <w:rPr>
          <w:rFonts w:ascii="Fira Sans" w:hAnsi="Fira Sans"/>
          <w:color w:val="000000" w:themeColor="text1"/>
          <w:sz w:val="19"/>
          <w:szCs w:val="19"/>
        </w:rPr>
        <w:t>n</w:t>
      </w:r>
      <w:r w:rsidRPr="00D05076">
        <w:rPr>
          <w:rFonts w:ascii="Fira Sans" w:hAnsi="Fira Sans"/>
          <w:color w:val="000000" w:themeColor="text1"/>
          <w:sz w:val="19"/>
          <w:szCs w:val="19"/>
        </w:rPr>
        <w:t>ajmniej pesymistyczne oceny koniunktury formułowali użytkownicy gospodarstw do 1 ha (</w:t>
      </w:r>
      <w:r>
        <w:rPr>
          <w:rFonts w:ascii="Fira Sans" w:hAnsi="Fira Sans"/>
          <w:color w:val="000000" w:themeColor="text1"/>
          <w:sz w:val="19"/>
          <w:szCs w:val="19"/>
        </w:rPr>
        <w:t xml:space="preserve">wskaźnik WZOS </w:t>
      </w:r>
      <w:r w:rsidRPr="00D05076">
        <w:rPr>
          <w:rFonts w:ascii="Fira Sans" w:hAnsi="Fira Sans"/>
          <w:color w:val="000000" w:themeColor="text1"/>
          <w:sz w:val="19"/>
          <w:szCs w:val="19"/>
        </w:rPr>
        <w:t xml:space="preserve">minus 32,1), natomiast najbardziej niekorzystne użytkownicy gospodarstw o powierzchni od </w:t>
      </w:r>
      <w:r>
        <w:rPr>
          <w:rFonts w:ascii="Fira Sans" w:hAnsi="Fira Sans"/>
          <w:color w:val="000000" w:themeColor="text1"/>
          <w:sz w:val="19"/>
          <w:szCs w:val="19"/>
        </w:rPr>
        <w:t>2</w:t>
      </w:r>
      <w:r w:rsidRPr="00D05076">
        <w:rPr>
          <w:rFonts w:ascii="Fira Sans" w:hAnsi="Fira Sans"/>
          <w:color w:val="000000" w:themeColor="text1"/>
          <w:sz w:val="19"/>
          <w:szCs w:val="19"/>
        </w:rPr>
        <w:t xml:space="preserve">0 do </w:t>
      </w:r>
      <w:r>
        <w:rPr>
          <w:rFonts w:ascii="Fira Sans" w:hAnsi="Fira Sans"/>
          <w:color w:val="000000" w:themeColor="text1"/>
          <w:sz w:val="19"/>
          <w:szCs w:val="19"/>
        </w:rPr>
        <w:t>3</w:t>
      </w:r>
      <w:r w:rsidRPr="00D05076">
        <w:rPr>
          <w:rFonts w:ascii="Fira Sans" w:hAnsi="Fira Sans"/>
          <w:color w:val="000000" w:themeColor="text1"/>
          <w:sz w:val="19"/>
          <w:szCs w:val="19"/>
        </w:rPr>
        <w:t>0 ha (minus 4</w:t>
      </w:r>
      <w:r>
        <w:rPr>
          <w:rFonts w:ascii="Fira Sans" w:hAnsi="Fira Sans"/>
          <w:color w:val="000000" w:themeColor="text1"/>
          <w:sz w:val="19"/>
          <w:szCs w:val="19"/>
        </w:rPr>
        <w:t>6,0</w:t>
      </w:r>
      <w:r w:rsidRPr="00D05076">
        <w:rPr>
          <w:rFonts w:ascii="Fira Sans" w:hAnsi="Fira Sans"/>
          <w:color w:val="000000" w:themeColor="text1"/>
          <w:sz w:val="19"/>
          <w:szCs w:val="19"/>
        </w:rPr>
        <w:t>)</w:t>
      </w:r>
      <w:r>
        <w:rPr>
          <w:rFonts w:ascii="Fira Sans" w:hAnsi="Fira Sans"/>
          <w:color w:val="000000" w:themeColor="text1"/>
          <w:sz w:val="19"/>
          <w:szCs w:val="19"/>
        </w:rPr>
        <w:t>.</w:t>
      </w:r>
    </w:p>
    <w:p w14:paraId="267390D3" w14:textId="77777777" w:rsidR="00D726D8" w:rsidRPr="00D86F12" w:rsidRDefault="00D726D8" w:rsidP="000A2536">
      <w:pPr>
        <w:spacing w:before="12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>
        <w:rPr>
          <w:rStyle w:val="cf01"/>
          <w:rFonts w:ascii="Fira Sans" w:eastAsiaTheme="majorEastAsia" w:hAnsi="Fira Sans"/>
          <w:sz w:val="19"/>
          <w:szCs w:val="19"/>
        </w:rPr>
        <w:t>Uwzględniając</w:t>
      </w:r>
      <w:r>
        <w:rPr>
          <w:rFonts w:ascii="Fira Sans" w:hAnsi="Fira Sans"/>
          <w:color w:val="000000" w:themeColor="text1"/>
          <w:sz w:val="19"/>
          <w:szCs w:val="19"/>
        </w:rPr>
        <w:t xml:space="preserve"> pozostałe przekroje, n</w:t>
      </w:r>
      <w:r w:rsidRPr="007125E7">
        <w:rPr>
          <w:rFonts w:ascii="Fira Sans" w:hAnsi="Fira Sans"/>
          <w:color w:val="000000" w:themeColor="text1"/>
          <w:sz w:val="19"/>
          <w:szCs w:val="19"/>
        </w:rPr>
        <w:t>ajniższe wartości wskaźnika WZOS zanotowano w grupie rolników w wieku 55-64 lata (minus 4</w:t>
      </w:r>
      <w:r>
        <w:rPr>
          <w:rFonts w:ascii="Fira Sans" w:hAnsi="Fira Sans"/>
          <w:color w:val="000000" w:themeColor="text1"/>
          <w:sz w:val="19"/>
          <w:szCs w:val="19"/>
        </w:rPr>
        <w:t>3,9</w:t>
      </w:r>
      <w:r w:rsidRPr="007125E7">
        <w:rPr>
          <w:rFonts w:ascii="Fira Sans" w:hAnsi="Fira Sans"/>
          <w:color w:val="000000" w:themeColor="text1"/>
          <w:sz w:val="19"/>
          <w:szCs w:val="19"/>
        </w:rPr>
        <w:t>), wśród respondentów posiadających wykształcenie</w:t>
      </w:r>
      <w:r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Pr="007125E7">
        <w:rPr>
          <w:rFonts w:ascii="Fira Sans" w:hAnsi="Fira Sans"/>
          <w:color w:val="000000" w:themeColor="text1"/>
          <w:sz w:val="19"/>
          <w:szCs w:val="19"/>
        </w:rPr>
        <w:t>zasadnicze rolnicze (minus 4</w:t>
      </w:r>
      <w:r>
        <w:rPr>
          <w:rFonts w:ascii="Fira Sans" w:hAnsi="Fira Sans"/>
          <w:color w:val="000000" w:themeColor="text1"/>
          <w:sz w:val="19"/>
          <w:szCs w:val="19"/>
        </w:rPr>
        <w:t>5</w:t>
      </w:r>
      <w:r w:rsidRPr="007125E7">
        <w:rPr>
          <w:rFonts w:ascii="Fira Sans" w:hAnsi="Fira Sans"/>
          <w:color w:val="000000" w:themeColor="text1"/>
          <w:sz w:val="19"/>
          <w:szCs w:val="19"/>
        </w:rPr>
        <w:t>,</w:t>
      </w:r>
      <w:r>
        <w:rPr>
          <w:rFonts w:ascii="Fira Sans" w:hAnsi="Fira Sans"/>
          <w:color w:val="000000" w:themeColor="text1"/>
          <w:sz w:val="19"/>
          <w:szCs w:val="19"/>
        </w:rPr>
        <w:t>6</w:t>
      </w:r>
      <w:r w:rsidRPr="007125E7">
        <w:rPr>
          <w:rFonts w:ascii="Fira Sans" w:hAnsi="Fira Sans"/>
          <w:color w:val="000000" w:themeColor="text1"/>
          <w:sz w:val="19"/>
          <w:szCs w:val="19"/>
        </w:rPr>
        <w:t>), a także prowadzących gospodarstwa rolne przez okres dłuższy niż 20 lat (minus 4</w:t>
      </w:r>
      <w:r>
        <w:rPr>
          <w:rFonts w:ascii="Fira Sans" w:hAnsi="Fira Sans"/>
          <w:color w:val="000000" w:themeColor="text1"/>
          <w:sz w:val="19"/>
          <w:szCs w:val="19"/>
        </w:rPr>
        <w:t>3</w:t>
      </w:r>
      <w:r w:rsidRPr="007125E7">
        <w:rPr>
          <w:rFonts w:ascii="Fira Sans" w:hAnsi="Fira Sans"/>
          <w:color w:val="000000" w:themeColor="text1"/>
          <w:sz w:val="19"/>
          <w:szCs w:val="19"/>
        </w:rPr>
        <w:t>,</w:t>
      </w:r>
      <w:r>
        <w:rPr>
          <w:rFonts w:ascii="Fira Sans" w:hAnsi="Fira Sans"/>
          <w:color w:val="000000" w:themeColor="text1"/>
          <w:sz w:val="19"/>
          <w:szCs w:val="19"/>
        </w:rPr>
        <w:t>6</w:t>
      </w:r>
      <w:r w:rsidRPr="007125E7">
        <w:rPr>
          <w:rFonts w:ascii="Fira Sans" w:hAnsi="Fira Sans"/>
          <w:color w:val="000000" w:themeColor="text1"/>
          <w:sz w:val="19"/>
          <w:szCs w:val="19"/>
        </w:rPr>
        <w:t>)</w:t>
      </w:r>
      <w:r>
        <w:rPr>
          <w:rFonts w:ascii="Fira Sans" w:hAnsi="Fira Sans"/>
          <w:color w:val="000000" w:themeColor="text1"/>
          <w:sz w:val="19"/>
          <w:szCs w:val="19"/>
        </w:rPr>
        <w:t>.</w:t>
      </w:r>
    </w:p>
    <w:p w14:paraId="3A87C785" w14:textId="77777777" w:rsidR="00D726D8" w:rsidRPr="00185238" w:rsidRDefault="00D726D8" w:rsidP="00D726D8">
      <w:pPr>
        <w:pStyle w:val="Akapitzlist"/>
        <w:spacing w:before="360" w:after="120" w:line="240" w:lineRule="auto"/>
        <w:ind w:left="0"/>
        <w:contextualSpacing w:val="0"/>
        <w:rPr>
          <w:rFonts w:ascii="Fira Sans" w:hAnsi="Fira Sans"/>
          <w:b/>
          <w:sz w:val="19"/>
          <w:szCs w:val="19"/>
        </w:rPr>
      </w:pPr>
      <w:r w:rsidRPr="00185238">
        <w:rPr>
          <w:rFonts w:ascii="Fira Sans" w:hAnsi="Fira Sans"/>
          <w:b/>
          <w:sz w:val="19"/>
          <w:szCs w:val="19"/>
        </w:rPr>
        <w:t>Wykres 1. Wskaźnik zmiany ogólnej sytuacji w gospodarstwach rolnych</w:t>
      </w:r>
      <w:r>
        <w:rPr>
          <w:rFonts w:ascii="Fira Sans" w:hAnsi="Fira Sans"/>
          <w:b/>
          <w:sz w:val="19"/>
          <w:szCs w:val="19"/>
        </w:rPr>
        <w:t xml:space="preserve"> </w:t>
      </w:r>
    </w:p>
    <w:p w14:paraId="05FDFD21" w14:textId="77777777" w:rsidR="00D726D8" w:rsidRPr="00185238" w:rsidRDefault="00CB7C5E" w:rsidP="000A2536">
      <w:pPr>
        <w:pStyle w:val="Akapitzlist"/>
        <w:spacing w:before="120" w:after="120" w:line="240" w:lineRule="auto"/>
        <w:ind w:left="0"/>
        <w:contextualSpacing w:val="0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noProof/>
          <w:sz w:val="19"/>
          <w:szCs w:val="19"/>
        </w:rPr>
        <w:drawing>
          <wp:inline distT="0" distB="0" distL="0" distR="0" wp14:anchorId="566E0652" wp14:editId="55F561F6">
            <wp:extent cx="5187950" cy="2524125"/>
            <wp:effectExtent l="0" t="0" r="0" b="0"/>
            <wp:docPr id="10" name="Obraz 10" descr="Wykres 1. Wskaźnik zmiany ogólnej sytuacji w gospodarstwach rolny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Wykres 1. Wskaźnik zmiany ogólnej sytuacji w gospodarstwach rolnych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49D39" w14:textId="77777777" w:rsidR="00D726D8" w:rsidRPr="007504A2" w:rsidRDefault="00D726D8" w:rsidP="003600E3">
      <w:pPr>
        <w:spacing w:before="360" w:after="120" w:line="240" w:lineRule="auto"/>
        <w:rPr>
          <w:rFonts w:ascii="Fira Sans" w:hAnsi="Fira Sans"/>
          <w:b/>
          <w:sz w:val="24"/>
          <w:szCs w:val="24"/>
        </w:rPr>
      </w:pPr>
      <w:r w:rsidRPr="00185238">
        <w:rPr>
          <w:rFonts w:ascii="Fira Sans" w:hAnsi="Fira Sans"/>
          <w:b/>
          <w:color w:val="002060"/>
          <w:sz w:val="24"/>
          <w:szCs w:val="24"/>
        </w:rPr>
        <w:lastRenderedPageBreak/>
        <w:t xml:space="preserve">Diagnoza sytuacji w gospodarstwach rolnych w </w:t>
      </w:r>
      <w:r>
        <w:rPr>
          <w:rFonts w:ascii="Fira Sans" w:hAnsi="Fira Sans"/>
          <w:b/>
          <w:color w:val="002060"/>
          <w:sz w:val="24"/>
          <w:szCs w:val="24"/>
        </w:rPr>
        <w:t>czerwcu</w:t>
      </w:r>
      <w:r w:rsidRPr="00185238">
        <w:rPr>
          <w:rFonts w:ascii="Fira Sans" w:hAnsi="Fira Sans"/>
          <w:b/>
          <w:color w:val="002060"/>
          <w:sz w:val="24"/>
          <w:szCs w:val="24"/>
        </w:rPr>
        <w:t xml:space="preserve"> 202</w:t>
      </w:r>
      <w:r>
        <w:rPr>
          <w:rFonts w:ascii="Fira Sans" w:hAnsi="Fira Sans"/>
          <w:b/>
          <w:color w:val="002060"/>
          <w:sz w:val="24"/>
          <w:szCs w:val="24"/>
        </w:rPr>
        <w:t>6</w:t>
      </w:r>
      <w:r w:rsidRPr="00185238">
        <w:rPr>
          <w:rFonts w:ascii="Fira Sans" w:hAnsi="Fira Sans"/>
          <w:b/>
          <w:color w:val="002060"/>
          <w:sz w:val="24"/>
          <w:szCs w:val="24"/>
        </w:rPr>
        <w:t xml:space="preserve"> r.</w:t>
      </w:r>
    </w:p>
    <w:p w14:paraId="0C70836E" w14:textId="77777777" w:rsidR="00D726D8" w:rsidRDefault="00D726D8" w:rsidP="00E9425A">
      <w:pPr>
        <w:spacing w:before="360" w:after="120" w:line="240" w:lineRule="auto"/>
        <w:rPr>
          <w:rFonts w:ascii="Fira Sans" w:hAnsi="Fira Sans"/>
          <w:b/>
          <w:color w:val="002060"/>
          <w:sz w:val="19"/>
          <w:szCs w:val="19"/>
        </w:rPr>
      </w:pPr>
      <w:r w:rsidRPr="00185238">
        <w:rPr>
          <w:rFonts w:ascii="Fira Sans" w:hAnsi="Fira Sans"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3006848" behindDoc="1" locked="0" layoutInCell="1" allowOverlap="1" wp14:anchorId="41BC02F8" wp14:editId="64CAAD72">
                <wp:simplePos x="0" y="0"/>
                <wp:positionH relativeFrom="page">
                  <wp:posOffset>5812155</wp:posOffset>
                </wp:positionH>
                <wp:positionV relativeFrom="paragraph">
                  <wp:posOffset>389890</wp:posOffset>
                </wp:positionV>
                <wp:extent cx="1663700" cy="1485900"/>
                <wp:effectExtent l="0" t="0" r="0" b="0"/>
                <wp:wrapTight wrapText="bothSides">
                  <wp:wrapPolygon edited="0">
                    <wp:start x="742" y="0"/>
                    <wp:lineTo x="742" y="21323"/>
                    <wp:lineTo x="20776" y="21323"/>
                    <wp:lineTo x="20776" y="0"/>
                    <wp:lineTo x="742" y="0"/>
                  </wp:wrapPolygon>
                </wp:wrapTight>
                <wp:docPr id="483443242" name="Pole tekstowe 483443242" descr="Saldo jest różnicą między procentowym udziałem odpowiedzi pozytywnych oraz procentowym udziałem odpowiedzi negatywnych. Saldo odpowiedzi nie uwzględnia wariantu neutral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0" cy="148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5C580" w14:textId="77777777" w:rsidR="003B61E1" w:rsidRPr="003600E3" w:rsidRDefault="003B61E1" w:rsidP="007504A2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Saldo jest różnicą między procentowym udziałem odpowiedzi pozytywnych oraz procentowym udziałem odpowiedzi negatywnych. Saldo odpowiedzi nie uwzględnia wariantu neutralnego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C02F8" id="Pole tekstowe 483443242" o:spid="_x0000_s1028" type="#_x0000_t202" alt="Saldo jest różnicą między procentowym udziałem odpowiedzi pozytywnych oraz procentowym udziałem odpowiedzi negatywnych. Saldo odpowiedzi nie uwzględnia wariantu neutralnego" style="position:absolute;margin-left:457.65pt;margin-top:30.7pt;width:131pt;height:117pt;z-index:-250309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" filled="f" stroked="f">
                <v:textbox>
                  <w:txbxContent>
                    <w:p w14:paraId="53F5C580" w14:textId="77777777" w:rsidR="003B61E1" w:rsidRPr="003600E3" w:rsidRDefault="003B61E1" w:rsidP="007504A2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</w:pPr>
                      <w:r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Saldo jest różnicą między procentowym udziałem odpowiedzi pozytywnych oraz procentowym udziałem odpowiedzi negatywnych. Saldo odpowiedzi nie uwzględnia wariantu neutralnego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85238">
        <w:rPr>
          <w:rFonts w:ascii="Fira Sans" w:hAnsi="Fira Sans"/>
          <w:b/>
          <w:color w:val="002060"/>
          <w:sz w:val="19"/>
          <w:szCs w:val="19"/>
        </w:rPr>
        <w:t>Opłacalność produkcji rolniczej</w:t>
      </w:r>
    </w:p>
    <w:p w14:paraId="536EBFD8" w14:textId="77777777" w:rsidR="00D726D8" w:rsidRDefault="00D93962" w:rsidP="00D726D8">
      <w:pPr>
        <w:spacing w:before="120" w:after="120" w:line="288" w:lineRule="auto"/>
        <w:rPr>
          <w:rFonts w:ascii="Fira Sans" w:hAnsi="Fira Sans"/>
          <w:bCs/>
          <w:color w:val="000000" w:themeColor="text1"/>
          <w:sz w:val="19"/>
          <w:szCs w:val="19"/>
        </w:rPr>
      </w:pPr>
      <w:r w:rsidRPr="00D93962">
        <w:rPr>
          <w:rFonts w:ascii="Fira Sans" w:hAnsi="Fira Sans"/>
          <w:bCs/>
          <w:color w:val="000000" w:themeColor="text1"/>
          <w:sz w:val="19"/>
          <w:szCs w:val="19"/>
        </w:rPr>
        <w:t>Wśród użytkowników gospodarstw rolnych przeważały opinie, że produkcja rolnicza w</w:t>
      </w:r>
      <w:r w:rsidR="007504A2">
        <w:rPr>
          <w:rFonts w:ascii="Fira Sans" w:hAnsi="Fira Sans"/>
          <w:bCs/>
          <w:color w:val="000000" w:themeColor="text1"/>
          <w:sz w:val="19"/>
          <w:szCs w:val="19"/>
        </w:rPr>
        <w:t> </w:t>
      </w:r>
      <w:r w:rsidRPr="00D93962">
        <w:rPr>
          <w:rFonts w:ascii="Fira Sans" w:hAnsi="Fira Sans"/>
          <w:bCs/>
          <w:color w:val="000000" w:themeColor="text1"/>
          <w:sz w:val="19"/>
          <w:szCs w:val="19"/>
        </w:rPr>
        <w:t>czerwcu 2026 r. była nieopłacalna.</w:t>
      </w:r>
      <w:r w:rsidR="00D726D8" w:rsidRPr="00F601D5">
        <w:rPr>
          <w:rFonts w:ascii="Fira Sans" w:hAnsi="Fira Sans"/>
          <w:bCs/>
          <w:color w:val="000000" w:themeColor="text1"/>
          <w:sz w:val="19"/>
          <w:szCs w:val="19"/>
        </w:rPr>
        <w:t xml:space="preserve"> 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>Saldo odpowiedzi na pytanie dotyczące opłacalności produkcji wyniosło minus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 36,2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 i było niższe o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 6,6</w:t>
      </w:r>
      <w:r w:rsidR="00D726D8" w:rsidRPr="004D3CC0">
        <w:rPr>
          <w:rFonts w:ascii="Fira Sans" w:hAnsi="Fira Sans"/>
          <w:bCs/>
          <w:color w:val="000000" w:themeColor="text1"/>
          <w:sz w:val="19"/>
          <w:szCs w:val="19"/>
        </w:rPr>
        <w:t xml:space="preserve"> 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pkt w stosunku do 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>grudnia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 2025 r. i</w:t>
      </w:r>
      <w:r w:rsidR="00246328">
        <w:rPr>
          <w:rFonts w:ascii="Fira Sans" w:hAnsi="Fira Sans"/>
          <w:bCs/>
          <w:color w:val="000000" w:themeColor="text1"/>
          <w:sz w:val="19"/>
          <w:szCs w:val="19"/>
        </w:rPr>
        <w:t> 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>o</w:t>
      </w:r>
      <w:r w:rsidR="00246328">
        <w:rPr>
          <w:rFonts w:ascii="Fira Sans" w:hAnsi="Fira Sans"/>
          <w:bCs/>
          <w:color w:val="000000" w:themeColor="text1"/>
          <w:sz w:val="19"/>
          <w:szCs w:val="19"/>
        </w:rPr>
        <w:t> 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>24,7</w:t>
      </w:r>
      <w:r w:rsidR="00246328">
        <w:rPr>
          <w:rFonts w:ascii="Fira Sans" w:hAnsi="Fira Sans"/>
          <w:bCs/>
          <w:color w:val="000000" w:themeColor="text1"/>
          <w:sz w:val="19"/>
          <w:szCs w:val="19"/>
        </w:rPr>
        <w:t> 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pkt w porównaniu z 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>czerwcem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 202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>5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 r. </w:t>
      </w:r>
    </w:p>
    <w:p w14:paraId="5AC293BD" w14:textId="77777777" w:rsidR="00D726D8" w:rsidRDefault="00934E92" w:rsidP="00D726D8">
      <w:pPr>
        <w:spacing w:before="120" w:after="120" w:line="288" w:lineRule="auto"/>
        <w:rPr>
          <w:rFonts w:ascii="Fira Sans" w:hAnsi="Fira Sans"/>
          <w:bCs/>
          <w:color w:val="000000" w:themeColor="text1"/>
          <w:sz w:val="19"/>
          <w:szCs w:val="19"/>
        </w:rPr>
      </w:pPr>
      <w:r w:rsidRPr="00934E92">
        <w:rPr>
          <w:rFonts w:ascii="Fira Sans" w:hAnsi="Fira Sans"/>
          <w:noProof/>
          <w:sz w:val="19"/>
          <w:szCs w:val="19"/>
          <w:lang w:eastAsia="pl-PL"/>
        </w:rPr>
        <w:t xml:space="preserve">Biorąc pod uwagę specjalizację gospodarstw rolnych 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>najbardziej pesymistyczne opinie na</w:t>
      </w:r>
      <w:r w:rsidR="0038684E">
        <w:rPr>
          <w:rFonts w:ascii="Fira Sans" w:hAnsi="Fira Sans"/>
          <w:bCs/>
          <w:color w:val="000000" w:themeColor="text1"/>
          <w:sz w:val="19"/>
          <w:szCs w:val="19"/>
        </w:rPr>
        <w:t> 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temat bieżącej opłacalności produkcji rolniczej wyrazili użytkownicy gospodarstw 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>wielokierunkowych (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>saldo minus 3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>8,7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>).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 </w:t>
      </w:r>
    </w:p>
    <w:p w14:paraId="75AAA46E" w14:textId="77777777" w:rsidR="00D726D8" w:rsidRDefault="00724B29" w:rsidP="00D726D8">
      <w:pPr>
        <w:spacing w:before="120" w:after="120" w:line="288" w:lineRule="auto"/>
        <w:rPr>
          <w:rFonts w:ascii="Fira Sans" w:hAnsi="Fira Sans"/>
          <w:bCs/>
          <w:color w:val="000000" w:themeColor="text1"/>
          <w:sz w:val="19"/>
          <w:szCs w:val="19"/>
        </w:rPr>
      </w:pPr>
      <w:r w:rsidRPr="00185238">
        <w:rPr>
          <w:rFonts w:ascii="Fira Sans" w:hAnsi="Fira Sans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07872" behindDoc="1" locked="0" layoutInCell="1" allowOverlap="1" wp14:anchorId="4E6CE7F2" wp14:editId="430B2095">
                <wp:simplePos x="0" y="0"/>
                <wp:positionH relativeFrom="page">
                  <wp:posOffset>5810250</wp:posOffset>
                </wp:positionH>
                <wp:positionV relativeFrom="paragraph">
                  <wp:posOffset>1024890</wp:posOffset>
                </wp:positionV>
                <wp:extent cx="1687830" cy="1647825"/>
                <wp:effectExtent l="0" t="0" r="0" b="0"/>
                <wp:wrapTight wrapText="bothSides">
                  <wp:wrapPolygon edited="0">
                    <wp:start x="731" y="0"/>
                    <wp:lineTo x="731" y="21225"/>
                    <wp:lineTo x="20722" y="21225"/>
                    <wp:lineTo x="20722" y="0"/>
                    <wp:lineTo x="731" y="0"/>
                  </wp:wrapPolygon>
                </wp:wrapTight>
                <wp:docPr id="1516934698" name="Pole tekstowe 1516934698" descr="30,6% użytkowników gospodarstw rolnych prowadzących uprawy ziemniaków uznało, że bieżąca produkcja rolnicza jest nieopłacalna, a 11,7%, że jest opłacalna. Pozostali nie mieli zdecydowanej opinii na ten tem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830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10AB8" w14:textId="77777777" w:rsidR="003B61E1" w:rsidRPr="003600E3" w:rsidRDefault="003B61E1" w:rsidP="007504A2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53,2% użytkowników gospodarstw rolnych prowadzących uprawy ziemniaków uznało, że</w:t>
                            </w:r>
                            <w:r w:rsidR="007504A2"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produkcja rolnicza w</w:t>
                            </w:r>
                            <w:r w:rsidR="007504A2"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czerwcu 2026 r. była nieopłacalna, a 5,1%, że</w:t>
                            </w:r>
                            <w:r w:rsidR="007504A2"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była opłacalna. Pozostali nie mieli zdecydowanej opinii na ten temat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CE7F2" id="Pole tekstowe 1516934698" o:spid="_x0000_s1029" type="#_x0000_t202" alt="30,6% użytkowników gospodarstw rolnych prowadzących uprawy ziemniaków uznało, że bieżąca produkcja rolnicza jest nieopłacalna, a 11,7%, że jest opłacalna. Pozostali nie mieli zdecydowanej opinii na ten temat" style="position:absolute;margin-left:457.5pt;margin-top:80.7pt;width:132.9pt;height:129.75pt;z-index:-250308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" filled="f" stroked="f">
                <v:textbox>
                  <w:txbxContent>
                    <w:p w14:paraId="10D10AB8" w14:textId="77777777" w:rsidR="003B61E1" w:rsidRPr="003600E3" w:rsidRDefault="003B61E1" w:rsidP="007504A2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</w:pPr>
                      <w:r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53,2% użytkowników gospodarstw rolnych prowadzących uprawy ziemniaków uznało, że</w:t>
                      </w:r>
                      <w:r w:rsidR="007504A2"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produkcja rolnicza w</w:t>
                      </w:r>
                      <w:r w:rsidR="007504A2"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czerwcu 2026 r. była nieopłacalna, a 5,1%, że</w:t>
                      </w:r>
                      <w:r w:rsidR="007504A2"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była opłacalna. Pozostali nie mieli zdecydowanej opinii na ten temat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Ujemne saldo odpowiedzi (minus 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>36,5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>) odnotowano również wśród gospodarstw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 </w:t>
      </w:r>
      <w:r w:rsidR="00D726D8" w:rsidRPr="001E664B">
        <w:rPr>
          <w:rFonts w:ascii="Fira Sans" w:hAnsi="Fira Sans"/>
          <w:bCs/>
          <w:color w:val="000000" w:themeColor="text1"/>
          <w:sz w:val="19"/>
          <w:szCs w:val="19"/>
        </w:rPr>
        <w:t xml:space="preserve">ukierunkowanych na produkcję roślinną. </w:t>
      </w:r>
      <w:r w:rsidR="00D726D8" w:rsidRPr="00D37D89">
        <w:rPr>
          <w:rFonts w:ascii="Fira Sans" w:hAnsi="Fira Sans"/>
          <w:bCs/>
          <w:color w:val="000000" w:themeColor="text1"/>
          <w:sz w:val="19"/>
          <w:szCs w:val="19"/>
        </w:rPr>
        <w:t>W tej grupie najniższe wartości salda odnotowano w</w:t>
      </w:r>
      <w:r w:rsidR="007504A2">
        <w:rPr>
          <w:rFonts w:ascii="Fira Sans" w:hAnsi="Fira Sans"/>
          <w:bCs/>
          <w:color w:val="000000" w:themeColor="text1"/>
          <w:sz w:val="19"/>
          <w:szCs w:val="19"/>
        </w:rPr>
        <w:t> </w:t>
      </w:r>
      <w:r w:rsidR="00D726D8" w:rsidRPr="00D37D89">
        <w:rPr>
          <w:rFonts w:ascii="Fira Sans" w:hAnsi="Fira Sans"/>
          <w:bCs/>
          <w:color w:val="000000" w:themeColor="text1"/>
          <w:sz w:val="19"/>
          <w:szCs w:val="19"/>
        </w:rPr>
        <w:t>gospodarstwach prowadzących uprawę ziemniaków (minus 48,1) oraz buraków cukrowych (minus 43,6).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 </w:t>
      </w:r>
      <w:r w:rsidR="00D726D8" w:rsidRPr="00FE7C50">
        <w:rPr>
          <w:rFonts w:ascii="Fira Sans" w:hAnsi="Fira Sans"/>
          <w:bCs/>
          <w:color w:val="000000" w:themeColor="text1"/>
          <w:sz w:val="19"/>
          <w:szCs w:val="19"/>
        </w:rPr>
        <w:t>Na tle pozostałych wyróżniały się gospodarstwa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 specjalizujące się w produkcji roślin klasyfikowanych jako pozostałe przemysłowe</w:t>
      </w:r>
      <w:r w:rsidR="00D726D8" w:rsidRPr="00FE7C50">
        <w:rPr>
          <w:rFonts w:ascii="Fira Sans" w:hAnsi="Fira Sans"/>
          <w:bCs/>
          <w:color w:val="000000" w:themeColor="text1"/>
          <w:sz w:val="19"/>
          <w:szCs w:val="19"/>
        </w:rPr>
        <w:t xml:space="preserve">, gdzie 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mimo negatywnych ocen </w:t>
      </w:r>
      <w:r w:rsidR="00220010">
        <w:rPr>
          <w:rFonts w:ascii="Fira Sans" w:hAnsi="Fira Sans"/>
          <w:bCs/>
          <w:color w:val="000000" w:themeColor="text1"/>
          <w:sz w:val="19"/>
          <w:szCs w:val="19"/>
        </w:rPr>
        <w:t>zaobserwowano</w:t>
      </w:r>
      <w:r w:rsidR="00D726D8" w:rsidRPr="00FE7C50">
        <w:rPr>
          <w:rFonts w:ascii="Fira Sans" w:hAnsi="Fira Sans"/>
          <w:bCs/>
          <w:color w:val="000000" w:themeColor="text1"/>
          <w:sz w:val="19"/>
          <w:szCs w:val="19"/>
        </w:rPr>
        <w:t xml:space="preserve"> 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ich </w:t>
      </w:r>
      <w:r w:rsidR="00D726D8" w:rsidRPr="00FE7C50">
        <w:rPr>
          <w:rFonts w:ascii="Fira Sans" w:hAnsi="Fira Sans"/>
          <w:bCs/>
          <w:color w:val="000000" w:themeColor="text1"/>
          <w:sz w:val="19"/>
          <w:szCs w:val="19"/>
        </w:rPr>
        <w:t xml:space="preserve">poprawę, zarówno 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>w</w:t>
      </w:r>
      <w:r w:rsidR="00220010">
        <w:rPr>
          <w:rFonts w:ascii="Fira Sans" w:hAnsi="Fira Sans"/>
          <w:bCs/>
          <w:color w:val="000000" w:themeColor="text1"/>
          <w:sz w:val="19"/>
          <w:szCs w:val="19"/>
        </w:rPr>
        <w:t xml:space="preserve"> porównaniu z grudniem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 </w:t>
      </w:r>
      <w:r w:rsidR="00D726D8" w:rsidRPr="00FE7C50">
        <w:rPr>
          <w:rFonts w:ascii="Fira Sans" w:hAnsi="Fira Sans"/>
          <w:bCs/>
          <w:color w:val="000000" w:themeColor="text1"/>
          <w:sz w:val="19"/>
          <w:szCs w:val="19"/>
        </w:rPr>
        <w:t>2025 r. jak i</w:t>
      </w:r>
      <w:r w:rsidR="00D726D8">
        <w:rPr>
          <w:rFonts w:ascii="Fira Sans" w:hAnsi="Fira Sans"/>
          <w:bCs/>
          <w:color w:val="000000" w:themeColor="text1"/>
          <w:sz w:val="19"/>
          <w:szCs w:val="19"/>
        </w:rPr>
        <w:t xml:space="preserve"> w skali roku (wzrost salda odpowiednio o 19,0 pkt i 1,9 pkt).</w:t>
      </w:r>
    </w:p>
    <w:p w14:paraId="2E7309F2" w14:textId="77777777" w:rsidR="00D726D8" w:rsidRPr="00B5648D" w:rsidRDefault="00D726D8" w:rsidP="00B5648D">
      <w:pPr>
        <w:spacing w:before="120" w:after="120" w:line="288" w:lineRule="auto"/>
        <w:rPr>
          <w:rFonts w:ascii="Fira Sans" w:hAnsi="Fira Sans"/>
          <w:bCs/>
          <w:color w:val="000000" w:themeColor="text1"/>
          <w:sz w:val="19"/>
          <w:szCs w:val="19"/>
        </w:rPr>
      </w:pPr>
      <w:r w:rsidRPr="00A9236A">
        <w:rPr>
          <w:rFonts w:ascii="Fira Sans" w:hAnsi="Fira Sans"/>
          <w:bCs/>
          <w:color w:val="000000" w:themeColor="text1"/>
          <w:sz w:val="19"/>
          <w:szCs w:val="19"/>
        </w:rPr>
        <w:t xml:space="preserve">Najmniej pesymistyczne opinie </w:t>
      </w:r>
      <w:r>
        <w:rPr>
          <w:rFonts w:ascii="Fira Sans" w:hAnsi="Fira Sans"/>
          <w:bCs/>
          <w:color w:val="000000" w:themeColor="text1"/>
          <w:sz w:val="19"/>
          <w:szCs w:val="19"/>
        </w:rPr>
        <w:t xml:space="preserve">dotyczące opłacalności produkcji </w:t>
      </w:r>
      <w:r w:rsidRPr="00A9236A">
        <w:rPr>
          <w:rFonts w:ascii="Fira Sans" w:hAnsi="Fira Sans"/>
          <w:bCs/>
          <w:color w:val="000000" w:themeColor="text1"/>
          <w:sz w:val="19"/>
          <w:szCs w:val="19"/>
        </w:rPr>
        <w:t xml:space="preserve">formułowali rolnicy prowadzący produkcję zwierzęcą (saldo minus </w:t>
      </w:r>
      <w:r>
        <w:rPr>
          <w:rFonts w:ascii="Fira Sans" w:hAnsi="Fira Sans"/>
          <w:bCs/>
          <w:color w:val="000000" w:themeColor="text1"/>
          <w:sz w:val="19"/>
          <w:szCs w:val="19"/>
        </w:rPr>
        <w:t>23,1</w:t>
      </w:r>
      <w:r w:rsidRPr="00A9236A">
        <w:rPr>
          <w:rFonts w:ascii="Fira Sans" w:hAnsi="Fira Sans"/>
          <w:bCs/>
          <w:color w:val="000000" w:themeColor="text1"/>
          <w:sz w:val="19"/>
          <w:szCs w:val="19"/>
        </w:rPr>
        <w:t>)</w:t>
      </w:r>
      <w:r>
        <w:rPr>
          <w:rFonts w:ascii="Fira Sans" w:hAnsi="Fira Sans"/>
          <w:bCs/>
          <w:color w:val="000000" w:themeColor="text1"/>
          <w:sz w:val="19"/>
          <w:szCs w:val="19"/>
        </w:rPr>
        <w:t xml:space="preserve">. </w:t>
      </w:r>
      <w:r w:rsidR="0066257A" w:rsidRPr="0066257A">
        <w:rPr>
          <w:rFonts w:ascii="Fira Sans" w:hAnsi="Fira Sans"/>
          <w:bCs/>
          <w:color w:val="000000" w:themeColor="text1"/>
          <w:sz w:val="19"/>
          <w:szCs w:val="19"/>
        </w:rPr>
        <w:t>W grupie tej szczególnie wyróżniali się hodowcy brojlerów, drobiu nieśnego oraz owiec, wśród których przeważały opinie o</w:t>
      </w:r>
      <w:r w:rsidR="00246328">
        <w:rPr>
          <w:rFonts w:ascii="Fira Sans" w:hAnsi="Fira Sans"/>
          <w:bCs/>
          <w:color w:val="000000" w:themeColor="text1"/>
          <w:sz w:val="19"/>
          <w:szCs w:val="19"/>
        </w:rPr>
        <w:t> </w:t>
      </w:r>
      <w:r w:rsidR="0066257A" w:rsidRPr="0066257A">
        <w:rPr>
          <w:rFonts w:ascii="Fira Sans" w:hAnsi="Fira Sans"/>
          <w:bCs/>
          <w:color w:val="000000" w:themeColor="text1"/>
          <w:sz w:val="19"/>
          <w:szCs w:val="19"/>
        </w:rPr>
        <w:t>opłacalności produkcji rolniczej – salda odpowiedzi dla tych grup były dodatnie i wyniosły odpowiednio: 15,8, 12,9 i 0,8. Dodatkowo w przypadku hodowców owiec odnotowano także poprawę ocen – saldo wzrosło o 20,6 pkt w porównaniu z grudniem 2025 r. oraz o 15,8 pkt w</w:t>
      </w:r>
      <w:r w:rsidR="0038684E">
        <w:rPr>
          <w:rFonts w:ascii="Fira Sans" w:hAnsi="Fira Sans"/>
          <w:bCs/>
          <w:color w:val="000000" w:themeColor="text1"/>
          <w:sz w:val="19"/>
          <w:szCs w:val="19"/>
        </w:rPr>
        <w:t> </w:t>
      </w:r>
      <w:r w:rsidR="0066257A" w:rsidRPr="0066257A">
        <w:rPr>
          <w:rFonts w:ascii="Fira Sans" w:hAnsi="Fira Sans"/>
          <w:bCs/>
          <w:color w:val="000000" w:themeColor="text1"/>
          <w:sz w:val="19"/>
          <w:szCs w:val="19"/>
        </w:rPr>
        <w:t>porównaniu z czerwcem 2025 r.</w:t>
      </w:r>
    </w:p>
    <w:p w14:paraId="0E5157AB" w14:textId="77777777" w:rsidR="00D726D8" w:rsidRDefault="00D726D8" w:rsidP="00B5648D">
      <w:pPr>
        <w:pStyle w:val="LID"/>
        <w:spacing w:before="360" w:after="120" w:line="240" w:lineRule="auto"/>
        <w:rPr>
          <w:rFonts w:eastAsia="Times New Roman" w:cs="Calibri"/>
          <w:bCs/>
          <w:color w:val="000000"/>
        </w:rPr>
      </w:pPr>
      <w:r w:rsidRPr="00185238">
        <w:rPr>
          <w:rFonts w:eastAsia="Times New Roman" w:cs="Calibri"/>
          <w:bCs/>
          <w:color w:val="000000"/>
        </w:rPr>
        <w:t xml:space="preserve">Wykres 2. </w:t>
      </w:r>
      <w:r w:rsidR="00A73843" w:rsidRPr="00185238">
        <w:rPr>
          <w:rFonts w:eastAsia="Times New Roman" w:cs="Calibri"/>
          <w:bCs/>
          <w:color w:val="000000"/>
        </w:rPr>
        <w:t>Sald</w:t>
      </w:r>
      <w:r w:rsidR="00A73843">
        <w:rPr>
          <w:rFonts w:eastAsia="Times New Roman" w:cs="Calibri"/>
          <w:bCs/>
          <w:color w:val="000000"/>
        </w:rPr>
        <w:t>o</w:t>
      </w:r>
      <w:r w:rsidR="00A73843" w:rsidRPr="00185238">
        <w:rPr>
          <w:rFonts w:eastAsia="Times New Roman" w:cs="Calibri"/>
          <w:bCs/>
          <w:color w:val="000000"/>
        </w:rPr>
        <w:t xml:space="preserve"> </w:t>
      </w:r>
      <w:r w:rsidRPr="00185238">
        <w:rPr>
          <w:rFonts w:eastAsia="Times New Roman" w:cs="Calibri"/>
          <w:bCs/>
          <w:color w:val="000000"/>
        </w:rPr>
        <w:t>odpowiedzi dotyczące ocen bieżącej opłacalności produkcji rolniczej według ukierunkowania produkcyjnego</w:t>
      </w:r>
      <w:r>
        <w:rPr>
          <w:rFonts w:eastAsia="Times New Roman" w:cs="Calibri"/>
          <w:bCs/>
          <w:color w:val="000000"/>
        </w:rPr>
        <w:t xml:space="preserve"> </w:t>
      </w:r>
    </w:p>
    <w:p w14:paraId="619CEAEC" w14:textId="147A9E6B" w:rsidR="00D726D8" w:rsidRPr="00185238" w:rsidRDefault="00D726D8" w:rsidP="00D726D8">
      <w:pPr>
        <w:pStyle w:val="LID"/>
        <w:spacing w:after="120" w:line="240" w:lineRule="auto"/>
        <w:rPr>
          <w:rFonts w:eastAsia="Times New Roman" w:cs="Calibri"/>
          <w:bCs/>
          <w:color w:val="000000"/>
        </w:rPr>
      </w:pPr>
      <w:r w:rsidRPr="00185238">
        <mc:AlternateContent>
          <mc:Choice Requires="wps">
            <w:drawing>
              <wp:anchor distT="45720" distB="45720" distL="114300" distR="114300" simplePos="0" relativeHeight="253012992" behindDoc="1" locked="0" layoutInCell="1" allowOverlap="1" wp14:anchorId="1CEDBCA9" wp14:editId="676B72A3">
                <wp:simplePos x="0" y="0"/>
                <wp:positionH relativeFrom="page">
                  <wp:posOffset>5831205</wp:posOffset>
                </wp:positionH>
                <wp:positionV relativeFrom="paragraph">
                  <wp:posOffset>815975</wp:posOffset>
                </wp:positionV>
                <wp:extent cx="1631950" cy="1637665"/>
                <wp:effectExtent l="0" t="0" r="0" b="635"/>
                <wp:wrapTight wrapText="bothSides">
                  <wp:wrapPolygon edited="0">
                    <wp:start x="756" y="0"/>
                    <wp:lineTo x="756" y="21357"/>
                    <wp:lineTo x="20675" y="21357"/>
                    <wp:lineTo x="20675" y="0"/>
                    <wp:lineTo x="756" y="0"/>
                  </wp:wrapPolygon>
                </wp:wrapTight>
                <wp:docPr id="3" name="Pole tekstowe 3" descr="53,3% rolników zajmujących się chowem brojlerów uznało, że bieżąca produkcja rolnicza jest opłacalna, natomiast 6,4%, że nieopłacalna. Reszta respondentów nie miała zdecydowanej opinii w tej spraw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1637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0AB04" w14:textId="77777777" w:rsidR="003B61E1" w:rsidRPr="003600E3" w:rsidRDefault="003B61E1" w:rsidP="00B5648D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36,6% rolników zajmujących się chowem brojlerów uznało, że</w:t>
                            </w:r>
                            <w:r w:rsidR="00B5648D"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produkcja rolnicza w</w:t>
                            </w:r>
                            <w:r w:rsidR="00B5648D"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3600E3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czerwcu 2026 r. była opłacalna, natomiast 20,8%, że nieopłacalna. Reszta respondentów nie miała zdecydowanej opinii w tej sprawie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DBCA9" id="Pole tekstowe 3" o:spid="_x0000_s1030" type="#_x0000_t202" alt="53,3% rolników zajmujących się chowem brojlerów uznało, że bieżąca produkcja rolnicza jest opłacalna, natomiast 6,4%, że nieopłacalna. Reszta respondentów nie miała zdecydowanej opinii w tej sprawie" style="position:absolute;margin-left:459.15pt;margin-top:64.25pt;width:128.5pt;height:128.95pt;z-index:-2503034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" filled="f" stroked="f">
                <v:textbox>
                  <w:txbxContent>
                    <w:p w14:paraId="73C0AB04" w14:textId="77777777" w:rsidR="003B61E1" w:rsidRPr="003600E3" w:rsidRDefault="003B61E1" w:rsidP="00B5648D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</w:pPr>
                      <w:r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36,6% rolników zajmujących się chowem brojlerów uznało, że</w:t>
                      </w:r>
                      <w:r w:rsidR="00B5648D"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produkcja rolnicza w</w:t>
                      </w:r>
                      <w:r w:rsidR="00B5648D"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3600E3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czerwcu 2026 r. była opłacalna, natomiast 20,8%, że nieopłacalna. Reszta respondentów nie miała zdecydowanej opinii w tej sprawie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1419A">
        <w:rPr>
          <w:rFonts w:eastAsia="Times New Roman" w:cs="Calibri"/>
          <w:bCs/>
          <w:color w:val="000000"/>
        </w:rPr>
        <w:drawing>
          <wp:inline distT="0" distB="0" distL="0" distR="0" wp14:anchorId="79F239A6" wp14:editId="123EF646">
            <wp:extent cx="5182235" cy="2517775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ED5B97" w14:textId="77777777" w:rsidR="00D726D8" w:rsidRPr="00B72280" w:rsidRDefault="00D726D8" w:rsidP="00EE5BD1">
      <w:pPr>
        <w:spacing w:before="240" w:after="120" w:line="288" w:lineRule="auto"/>
        <w:rPr>
          <w:rFonts w:ascii="Fira Sans" w:hAnsi="Fira Sans"/>
          <w:iCs/>
          <w:color w:val="000000" w:themeColor="text1"/>
          <w:sz w:val="19"/>
          <w:szCs w:val="19"/>
        </w:rPr>
      </w:pPr>
      <w:r w:rsidRPr="00B72280">
        <w:rPr>
          <w:rFonts w:ascii="Fira Sans" w:hAnsi="Fira Sans"/>
          <w:iCs/>
          <w:color w:val="000000" w:themeColor="text1"/>
          <w:sz w:val="19"/>
          <w:szCs w:val="19"/>
        </w:rPr>
        <w:t>Negatywne opinie rolników dotyczące bieżącej opłacalności produkcji rolniczej</w:t>
      </w:r>
      <w:r>
        <w:rPr>
          <w:rFonts w:ascii="Fira Sans" w:hAnsi="Fira Sans"/>
          <w:iCs/>
          <w:color w:val="000000" w:themeColor="text1"/>
          <w:sz w:val="19"/>
          <w:szCs w:val="19"/>
        </w:rPr>
        <w:t xml:space="preserve"> </w:t>
      </w:r>
      <w:r w:rsidRPr="00B72280">
        <w:rPr>
          <w:rFonts w:ascii="Fira Sans" w:hAnsi="Fira Sans"/>
          <w:iCs/>
          <w:color w:val="000000" w:themeColor="text1"/>
          <w:sz w:val="19"/>
          <w:szCs w:val="19"/>
        </w:rPr>
        <w:t>zaobserwowano we wszystkich grupach obszarowych gospodarstw rolnych.</w:t>
      </w:r>
    </w:p>
    <w:p w14:paraId="3BDF935C" w14:textId="77777777" w:rsidR="00D726D8" w:rsidRDefault="00D726D8" w:rsidP="00EE5BD1">
      <w:pPr>
        <w:spacing w:before="240" w:after="120" w:line="288" w:lineRule="auto"/>
        <w:rPr>
          <w:rFonts w:ascii="Fira Sans" w:hAnsi="Fira Sans"/>
          <w:iCs/>
          <w:color w:val="000000" w:themeColor="text1"/>
          <w:sz w:val="19"/>
          <w:szCs w:val="19"/>
        </w:rPr>
      </w:pPr>
      <w:r w:rsidRPr="00B72280">
        <w:rPr>
          <w:rFonts w:ascii="Fira Sans" w:hAnsi="Fira Sans"/>
          <w:iCs/>
          <w:color w:val="000000" w:themeColor="text1"/>
          <w:sz w:val="19"/>
          <w:szCs w:val="19"/>
        </w:rPr>
        <w:t>Najbardziej pesymistyczne oceny formułowali użytkownicy gospodarstw o powierzchni od</w:t>
      </w:r>
      <w:r w:rsidR="0063737D">
        <w:rPr>
          <w:rFonts w:ascii="Fira Sans" w:hAnsi="Fira Sans"/>
          <w:iCs/>
          <w:color w:val="000000" w:themeColor="text1"/>
          <w:sz w:val="19"/>
          <w:szCs w:val="19"/>
        </w:rPr>
        <w:t> </w:t>
      </w:r>
      <w:r w:rsidRPr="00B72280">
        <w:rPr>
          <w:rFonts w:ascii="Fira Sans" w:hAnsi="Fira Sans"/>
          <w:iCs/>
          <w:color w:val="000000" w:themeColor="text1"/>
          <w:sz w:val="19"/>
          <w:szCs w:val="19"/>
        </w:rPr>
        <w:t>5</w:t>
      </w:r>
      <w:r w:rsidR="00D005F9">
        <w:rPr>
          <w:rFonts w:ascii="Fira Sans" w:hAnsi="Fira Sans"/>
          <w:iCs/>
          <w:color w:val="000000" w:themeColor="text1"/>
          <w:sz w:val="19"/>
          <w:szCs w:val="19"/>
        </w:rPr>
        <w:t> </w:t>
      </w:r>
      <w:r w:rsidRPr="00B72280">
        <w:rPr>
          <w:rFonts w:ascii="Fira Sans" w:hAnsi="Fira Sans"/>
          <w:iCs/>
          <w:color w:val="000000" w:themeColor="text1"/>
          <w:sz w:val="19"/>
          <w:szCs w:val="19"/>
        </w:rPr>
        <w:t xml:space="preserve">do 10 ha (saldo minus 39,4) oraz od 15 do 20 ha (minus 39,2). </w:t>
      </w:r>
      <w:r w:rsidR="00D93962" w:rsidRPr="00D93962">
        <w:rPr>
          <w:rFonts w:ascii="Fira Sans" w:hAnsi="Fira Sans"/>
          <w:iCs/>
          <w:color w:val="000000" w:themeColor="text1"/>
          <w:sz w:val="19"/>
          <w:szCs w:val="19"/>
        </w:rPr>
        <w:t>W porównaniu z grudniem 2025 r. poprawę ocen odnotowano w gospodarstwach o powierzchni powyżej 100 ha – saldo wzrosło o 1,9 pkt.</w:t>
      </w:r>
    </w:p>
    <w:p w14:paraId="0B2512A8" w14:textId="77777777" w:rsidR="00D726D8" w:rsidRPr="00D763AB" w:rsidRDefault="00EE5BD1" w:rsidP="00E9425A">
      <w:pPr>
        <w:spacing w:before="360" w:after="120" w:line="240" w:lineRule="auto"/>
        <w:rPr>
          <w:rFonts w:ascii="Fira Sans" w:hAnsi="Fira Sans"/>
          <w:b/>
          <w:color w:val="002060"/>
          <w:sz w:val="19"/>
          <w:szCs w:val="19"/>
        </w:rPr>
      </w:pPr>
      <w:r w:rsidRPr="00185238">
        <w:rPr>
          <w:noProof/>
          <w:color w:val="000000" w:themeColor="text1"/>
          <w:sz w:val="19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3008896" behindDoc="1" locked="0" layoutInCell="1" allowOverlap="1" wp14:anchorId="6C35E7ED" wp14:editId="6B0F6435">
                <wp:simplePos x="0" y="0"/>
                <wp:positionH relativeFrom="page">
                  <wp:posOffset>5812155</wp:posOffset>
                </wp:positionH>
                <wp:positionV relativeFrom="paragraph">
                  <wp:posOffset>237490</wp:posOffset>
                </wp:positionV>
                <wp:extent cx="1565910" cy="1860550"/>
                <wp:effectExtent l="0" t="0" r="0" b="6350"/>
                <wp:wrapTight wrapText="bothSides">
                  <wp:wrapPolygon edited="0">
                    <wp:start x="788" y="0"/>
                    <wp:lineTo x="788" y="21453"/>
                    <wp:lineTo x="20759" y="21453"/>
                    <wp:lineTo x="20759" y="0"/>
                    <wp:lineTo x="788" y="0"/>
                  </wp:wrapPolygon>
                </wp:wrapTight>
                <wp:docPr id="813725819" name="Pole tekstowe 813725819" descr="43,6% producentów buraków cukrowych stwierdziło, że popyt na produkty wytwarzane w ich gospodarstwach rolnych jest poniżej oczekiwań, a 1,2%, że przewyższył ich oczekiwania. Pozostali ocenili, że jest zgodny z ich oczekiwani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910" cy="186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30BAD" w14:textId="77777777" w:rsidR="003B61E1" w:rsidRPr="00E93606" w:rsidRDefault="003B61E1" w:rsidP="00EE5BD1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</w:pP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56,8% producentów buraków cukrowych oceniło, że popyt na produkty wytwarzane w</w:t>
                            </w:r>
                            <w:r w:rsidR="00EE5BD1"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ich gospodarstwach rolnych był poniżej oczekiwań, a 0,1%, że</w:t>
                            </w:r>
                            <w:r w:rsidR="00EE5BD1"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powyżej oczekiwań. Pozostali uznali, że popyt był zgodny z ich oczekiwaniami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5E7ED" id="Pole tekstowe 813725819" o:spid="_x0000_s1031" type="#_x0000_t202" alt="43,6% producentów buraków cukrowych stwierdziło, że popyt na produkty wytwarzane w ich gospodarstwach rolnych jest poniżej oczekiwań, a 1,2%, że przewyższył ich oczekiwania. Pozostali ocenili, że jest zgodny z ich oczekiwaniami" style="position:absolute;margin-left:457.65pt;margin-top:18.7pt;width:123.3pt;height:146.5pt;z-index:-2503075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" filled="f" stroked="f">
                <v:textbox>
                  <w:txbxContent>
                    <w:p w14:paraId="27830BAD" w14:textId="77777777" w:rsidR="003B61E1" w:rsidRPr="00E93606" w:rsidRDefault="003B61E1" w:rsidP="00EE5BD1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</w:pP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56,8% producentów buraków cukrowych oceniło, że popyt na produkty wytwarzane w</w:t>
                      </w:r>
                      <w:r w:rsidR="00EE5BD1"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ich gospodarstwach rolnych był poniżej oczekiwań, a 0,1%, że</w:t>
                      </w:r>
                      <w:r w:rsidR="00EE5BD1"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powyżej oczekiwań. Pozostali uznali, że popyt był zgodny z ich oczekiwaniami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6D8" w:rsidRPr="00185238">
        <w:rPr>
          <w:rFonts w:ascii="Fira Sans" w:hAnsi="Fira Sans"/>
          <w:b/>
          <w:color w:val="002060"/>
          <w:sz w:val="19"/>
          <w:szCs w:val="19"/>
        </w:rPr>
        <w:t xml:space="preserve">Popyt na produkty wytwarzane </w:t>
      </w:r>
      <w:r w:rsidR="00D726D8" w:rsidRPr="00B72280">
        <w:rPr>
          <w:rFonts w:ascii="Fira Sans" w:hAnsi="Fira Sans"/>
          <w:b/>
          <w:color w:val="002060"/>
          <w:sz w:val="19"/>
          <w:szCs w:val="19"/>
        </w:rPr>
        <w:t>w gospodarstwach rolnych</w:t>
      </w:r>
    </w:p>
    <w:p w14:paraId="28496F87" w14:textId="77777777" w:rsidR="00D726D8" w:rsidRPr="0068342A" w:rsidRDefault="002D0C1B" w:rsidP="00EE5BD1">
      <w:pPr>
        <w:spacing w:before="120" w:after="120" w:line="288" w:lineRule="auto"/>
        <w:rPr>
          <w:rFonts w:ascii="Fira Sans" w:hAnsi="Fira Sans"/>
          <w:b/>
          <w:iCs/>
          <w:sz w:val="19"/>
          <w:szCs w:val="19"/>
        </w:rPr>
      </w:pPr>
      <w:r w:rsidRPr="002D0C1B">
        <w:rPr>
          <w:rFonts w:ascii="Fira Sans" w:hAnsi="Fira Sans"/>
          <w:bCs/>
          <w:iCs/>
          <w:sz w:val="19"/>
          <w:szCs w:val="19"/>
        </w:rPr>
        <w:t xml:space="preserve">Wśród </w:t>
      </w:r>
      <w:r>
        <w:rPr>
          <w:rFonts w:ascii="Fira Sans" w:hAnsi="Fira Sans"/>
          <w:bCs/>
          <w:iCs/>
          <w:sz w:val="19"/>
          <w:szCs w:val="19"/>
        </w:rPr>
        <w:t>użytkowników gospodarstw rolnych</w:t>
      </w:r>
      <w:r w:rsidRPr="002D0C1B">
        <w:rPr>
          <w:rFonts w:ascii="Fira Sans" w:hAnsi="Fira Sans"/>
          <w:bCs/>
          <w:iCs/>
          <w:sz w:val="19"/>
          <w:szCs w:val="19"/>
        </w:rPr>
        <w:t xml:space="preserve"> przeważały opinie, że popyt na produkty wytwarzane w ich gospodarstwach w czerwcu 2026 r. był poniżej oczekiwań.</w:t>
      </w:r>
      <w:r w:rsidR="00D726D8" w:rsidRPr="0068342A">
        <w:rPr>
          <w:rFonts w:ascii="Fira Sans" w:hAnsi="Fira Sans"/>
          <w:bCs/>
          <w:iCs/>
          <w:sz w:val="19"/>
          <w:szCs w:val="19"/>
        </w:rPr>
        <w:t xml:space="preserve"> Saldo</w:t>
      </w:r>
      <w:r w:rsidR="00EE5BD1">
        <w:rPr>
          <w:rFonts w:ascii="Fira Sans" w:hAnsi="Fira Sans"/>
          <w:bCs/>
          <w:iCs/>
          <w:sz w:val="19"/>
          <w:szCs w:val="19"/>
        </w:rPr>
        <w:t> </w:t>
      </w:r>
      <w:r w:rsidR="00D726D8" w:rsidRPr="0068342A">
        <w:rPr>
          <w:rFonts w:ascii="Fira Sans" w:hAnsi="Fira Sans"/>
          <w:bCs/>
          <w:iCs/>
          <w:sz w:val="19"/>
          <w:szCs w:val="19"/>
        </w:rPr>
        <w:t>odpowiedzi wyniosło minus 42,8 i było niższe zarówno w porównaniu z grudniem 2025</w:t>
      </w:r>
      <w:r w:rsidR="00EE5BD1">
        <w:rPr>
          <w:rFonts w:ascii="Fira Sans" w:hAnsi="Fira Sans"/>
          <w:bCs/>
          <w:iCs/>
          <w:sz w:val="19"/>
          <w:szCs w:val="19"/>
        </w:rPr>
        <w:t> </w:t>
      </w:r>
      <w:r w:rsidR="00D726D8" w:rsidRPr="0068342A">
        <w:rPr>
          <w:rFonts w:ascii="Fira Sans" w:hAnsi="Fira Sans"/>
          <w:bCs/>
          <w:iCs/>
          <w:sz w:val="19"/>
          <w:szCs w:val="19"/>
        </w:rPr>
        <w:t>r.</w:t>
      </w:r>
      <w:r w:rsidR="00A73843">
        <w:rPr>
          <w:rFonts w:ascii="Fira Sans" w:hAnsi="Fira Sans"/>
          <w:bCs/>
          <w:iCs/>
          <w:sz w:val="19"/>
          <w:szCs w:val="19"/>
        </w:rPr>
        <w:t xml:space="preserve">, </w:t>
      </w:r>
      <w:r w:rsidR="00D726D8" w:rsidRPr="0068342A">
        <w:rPr>
          <w:rFonts w:ascii="Fira Sans" w:hAnsi="Fira Sans"/>
          <w:bCs/>
          <w:iCs/>
          <w:sz w:val="19"/>
          <w:szCs w:val="19"/>
        </w:rPr>
        <w:t xml:space="preserve">jak i </w:t>
      </w:r>
      <w:r w:rsidR="0076125B">
        <w:rPr>
          <w:rFonts w:ascii="Fira Sans" w:hAnsi="Fira Sans"/>
          <w:bCs/>
          <w:iCs/>
          <w:sz w:val="19"/>
          <w:szCs w:val="19"/>
        </w:rPr>
        <w:t xml:space="preserve">z </w:t>
      </w:r>
      <w:r w:rsidR="00D726D8" w:rsidRPr="0068342A">
        <w:rPr>
          <w:rFonts w:ascii="Fira Sans" w:hAnsi="Fira Sans"/>
          <w:bCs/>
          <w:iCs/>
          <w:sz w:val="19"/>
          <w:szCs w:val="19"/>
        </w:rPr>
        <w:t xml:space="preserve">czerwcem 2025 r. (spadek odpowiednio o 0,8 pkt i 14,0 pkt). </w:t>
      </w:r>
    </w:p>
    <w:p w14:paraId="2448663C" w14:textId="77777777" w:rsidR="00D726D8" w:rsidRPr="00BE296E" w:rsidRDefault="00D726D8" w:rsidP="00D726D8">
      <w:pPr>
        <w:spacing w:before="360" w:after="120" w:line="240" w:lineRule="auto"/>
        <w:rPr>
          <w:rFonts w:ascii="Fira Sans" w:hAnsi="Fira Sans"/>
          <w:b/>
          <w:bCs/>
          <w:sz w:val="19"/>
          <w:szCs w:val="19"/>
        </w:rPr>
      </w:pPr>
      <w:r w:rsidRPr="00185238">
        <w:rPr>
          <w:rFonts w:ascii="Fira Sans" w:hAnsi="Fira Sans"/>
          <w:b/>
          <w:bCs/>
          <w:sz w:val="19"/>
          <w:szCs w:val="19"/>
        </w:rPr>
        <w:t xml:space="preserve">Wykres 3. </w:t>
      </w:r>
      <w:r w:rsidR="00A73843" w:rsidRPr="00185238">
        <w:rPr>
          <w:rFonts w:ascii="Fira Sans" w:hAnsi="Fira Sans"/>
          <w:b/>
          <w:bCs/>
          <w:sz w:val="19"/>
          <w:szCs w:val="19"/>
        </w:rPr>
        <w:t>Sald</w:t>
      </w:r>
      <w:r w:rsidR="00A73843">
        <w:rPr>
          <w:rFonts w:ascii="Fira Sans" w:hAnsi="Fira Sans"/>
          <w:b/>
          <w:bCs/>
          <w:sz w:val="19"/>
          <w:szCs w:val="19"/>
        </w:rPr>
        <w:t>o</w:t>
      </w:r>
      <w:r w:rsidR="00A73843" w:rsidRPr="00185238">
        <w:rPr>
          <w:rFonts w:ascii="Fira Sans" w:hAnsi="Fira Sans"/>
          <w:b/>
          <w:bCs/>
          <w:sz w:val="19"/>
          <w:szCs w:val="19"/>
        </w:rPr>
        <w:t xml:space="preserve"> </w:t>
      </w:r>
      <w:r w:rsidRPr="00185238">
        <w:rPr>
          <w:rFonts w:ascii="Fira Sans" w:hAnsi="Fira Sans"/>
          <w:b/>
          <w:bCs/>
          <w:sz w:val="19"/>
          <w:szCs w:val="19"/>
        </w:rPr>
        <w:t>odpowiedzi dotyczące ocen bieżącego popytu na produkty wytwarzane w gospodarstwach rolnych według ukierunkowania produkcyjnego</w:t>
      </w:r>
      <w:r>
        <w:rPr>
          <w:rFonts w:ascii="Fira Sans" w:hAnsi="Fira Sans"/>
          <w:b/>
          <w:bCs/>
          <w:sz w:val="19"/>
          <w:szCs w:val="19"/>
        </w:rPr>
        <w:t xml:space="preserve"> </w:t>
      </w:r>
    </w:p>
    <w:p w14:paraId="0886DD9F" w14:textId="77777777" w:rsidR="00D726D8" w:rsidRPr="00185238" w:rsidRDefault="00BE296E" w:rsidP="00D726D8">
      <w:pPr>
        <w:spacing w:before="120" w:after="120" w:line="240" w:lineRule="auto"/>
        <w:rPr>
          <w:rFonts w:ascii="Fira Sans" w:hAnsi="Fira Sans"/>
          <w:b/>
          <w:bCs/>
          <w:sz w:val="19"/>
          <w:szCs w:val="19"/>
        </w:rPr>
      </w:pPr>
      <w:r>
        <w:rPr>
          <w:rFonts w:ascii="Fira Sans" w:hAnsi="Fira Sans"/>
          <w:b/>
          <w:bCs/>
          <w:noProof/>
          <w:sz w:val="19"/>
          <w:szCs w:val="19"/>
        </w:rPr>
        <w:drawing>
          <wp:inline distT="0" distB="0" distL="0" distR="0" wp14:anchorId="488441DC" wp14:editId="14DF7176">
            <wp:extent cx="5187950" cy="2524125"/>
            <wp:effectExtent l="0" t="0" r="0" b="9525"/>
            <wp:docPr id="19" name="Obraz 19" descr="Wykres 3. Saldo odpowiedzi dotyczące ocen bieżącego popytu na produkty wytwarzane w gospodarstwach rolnych według ukierunkowania produkcyjne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Wykres 3. Saldo odpowiedzi dotyczące ocen bieżącego popytu na produkty wytwarzane w gospodarstwach rolnych według ukierunkowania produkcyjnego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F0DDBA" w14:textId="77777777" w:rsidR="00D726D8" w:rsidRDefault="0061590A" w:rsidP="00BE296E">
      <w:pPr>
        <w:spacing w:before="24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 w:rsidRPr="00185238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14016" behindDoc="1" locked="0" layoutInCell="1" allowOverlap="1" wp14:anchorId="5B107BDB" wp14:editId="226C5F0C">
                <wp:simplePos x="0" y="0"/>
                <wp:positionH relativeFrom="page">
                  <wp:posOffset>5859780</wp:posOffset>
                </wp:positionH>
                <wp:positionV relativeFrom="paragraph">
                  <wp:posOffset>85725</wp:posOffset>
                </wp:positionV>
                <wp:extent cx="1605280" cy="1820545"/>
                <wp:effectExtent l="0" t="0" r="0" b="0"/>
                <wp:wrapTight wrapText="bothSides">
                  <wp:wrapPolygon edited="0">
                    <wp:start x="769" y="0"/>
                    <wp:lineTo x="769" y="21246"/>
                    <wp:lineTo x="20763" y="21246"/>
                    <wp:lineTo x="20763" y="0"/>
                    <wp:lineTo x="769" y="0"/>
                  </wp:wrapPolygon>
                </wp:wrapTight>
                <wp:docPr id="16" name="Pole tekstowe 16" descr="52,8% użytkowników gospodarstw rolnych prowadzących chów owiec oceniło, że popyt na produkty wytwarzane w ich gospodarstwach jest poniżej oczekiwań, a 21,4%, że powyżej oczekiwań. Pozostali odpowiedzieli, że popyt utrzymał się na oczekiwanym poziom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1820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B7A05" w14:textId="77777777" w:rsidR="003B61E1" w:rsidRPr="00E93606" w:rsidRDefault="003B61E1" w:rsidP="0061590A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</w:pP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89,6% użytkowników gospodarstw rolnych prowadzących chów owiec oceniło, że popyt na produkty wytwarzane w ich gospodarstwach był zgodny z oczekiwaniami, a</w:t>
                            </w:r>
                            <w:r w:rsid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9,8%, że</w:t>
                            </w:r>
                            <w:r w:rsidR="0061590A"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powyżej oczekiwań. Pozostali wskazali, że popyt był poniżej ich oczekiwań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7BDB" id="Pole tekstowe 16" o:spid="_x0000_s1032" type="#_x0000_t202" alt="52,8% użytkowników gospodarstw rolnych prowadzących chów owiec oceniło, że popyt na produkty wytwarzane w ich gospodarstwach jest poniżej oczekiwań, a 21,4%, że powyżej oczekiwań. Pozostali odpowiedzieli, że popyt utrzymał się na oczekiwanym poziomie" style="position:absolute;margin-left:461.4pt;margin-top:6.75pt;width:126.4pt;height:143.35pt;z-index:-250302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" filled="f" stroked="f">
                <v:textbox>
                  <w:txbxContent>
                    <w:p w14:paraId="319B7A05" w14:textId="77777777" w:rsidR="003B61E1" w:rsidRPr="00E93606" w:rsidRDefault="003B61E1" w:rsidP="0061590A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</w:pP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89,6% użytkowników gospodarstw rolnych prowadzących chów owiec oceniło, że popyt na produkty wytwarzane w ich gospodarstwach był zgodny z oczekiwaniami, a</w:t>
                      </w:r>
                      <w:r w:rsid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9,8%, że</w:t>
                      </w:r>
                      <w:r w:rsidR="0061590A"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powyżej oczekiwań. Pozostali wskazali, że popyt był poniżej ich oczekiwań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 xml:space="preserve">Biorąc pod uwagę rodzaj działalności gospodarstw rolnych, najbardziej </w:t>
      </w:r>
      <w:r w:rsidR="00D726D8">
        <w:rPr>
          <w:rFonts w:ascii="Fira Sans" w:hAnsi="Fira Sans"/>
          <w:color w:val="000000" w:themeColor="text1"/>
          <w:sz w:val="19"/>
          <w:szCs w:val="19"/>
        </w:rPr>
        <w:t xml:space="preserve">niekorzystnie 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 xml:space="preserve">bieżący popyt ocenili użytkownicy gospodarstw </w:t>
      </w:r>
      <w:r w:rsidR="00D726D8">
        <w:rPr>
          <w:rFonts w:ascii="Fira Sans" w:hAnsi="Fira Sans"/>
          <w:color w:val="000000" w:themeColor="text1"/>
          <w:sz w:val="19"/>
          <w:szCs w:val="19"/>
        </w:rPr>
        <w:t xml:space="preserve">ukierunkowanych na produkcję 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>roślin</w:t>
      </w:r>
      <w:r w:rsidR="00D93962">
        <w:rPr>
          <w:rFonts w:ascii="Fira Sans" w:hAnsi="Fira Sans"/>
          <w:color w:val="000000" w:themeColor="text1"/>
          <w:sz w:val="19"/>
          <w:szCs w:val="19"/>
        </w:rPr>
        <w:t>n</w:t>
      </w:r>
      <w:r w:rsidR="00D726D8">
        <w:rPr>
          <w:rFonts w:ascii="Fira Sans" w:hAnsi="Fira Sans"/>
          <w:color w:val="000000" w:themeColor="text1"/>
          <w:sz w:val="19"/>
          <w:szCs w:val="19"/>
        </w:rPr>
        <w:t>ą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 xml:space="preserve"> (saldo odpowiedzi minus 44,</w:t>
      </w:r>
      <w:r w:rsidR="00D726D8">
        <w:rPr>
          <w:rFonts w:ascii="Fira Sans" w:hAnsi="Fira Sans"/>
          <w:color w:val="000000" w:themeColor="text1"/>
          <w:sz w:val="19"/>
          <w:szCs w:val="19"/>
        </w:rPr>
        <w:t>0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 xml:space="preserve">). W tej grupie </w:t>
      </w:r>
      <w:r w:rsidR="00D726D8" w:rsidRPr="00E453AF">
        <w:rPr>
          <w:rFonts w:ascii="Fira Sans" w:hAnsi="Fira Sans"/>
          <w:color w:val="000000" w:themeColor="text1"/>
          <w:sz w:val="19"/>
          <w:szCs w:val="19"/>
        </w:rPr>
        <w:t xml:space="preserve">gospodarstw 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>na popyt poniżej oczekiwań wskazyw</w:t>
      </w:r>
      <w:r w:rsidR="00D726D8">
        <w:rPr>
          <w:rFonts w:ascii="Fira Sans" w:hAnsi="Fira Sans"/>
          <w:color w:val="000000" w:themeColor="text1"/>
          <w:sz w:val="19"/>
          <w:szCs w:val="19"/>
        </w:rPr>
        <w:t>ali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 xml:space="preserve"> przede wszystkim </w:t>
      </w:r>
      <w:r w:rsidR="00D726D8">
        <w:rPr>
          <w:rFonts w:ascii="Fira Sans" w:hAnsi="Fira Sans"/>
          <w:color w:val="000000" w:themeColor="text1"/>
          <w:sz w:val="19"/>
          <w:szCs w:val="19"/>
        </w:rPr>
        <w:t xml:space="preserve">producenci 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>buraków cukrowych (saldo minus</w:t>
      </w:r>
      <w:r w:rsidR="00D726D8">
        <w:rPr>
          <w:rFonts w:ascii="Fira Sans" w:hAnsi="Fira Sans"/>
          <w:color w:val="000000" w:themeColor="text1"/>
          <w:sz w:val="19"/>
          <w:szCs w:val="19"/>
        </w:rPr>
        <w:t xml:space="preserve"> 56,7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>) oraz ziemniaków (saldo minus 5</w:t>
      </w:r>
      <w:r w:rsidR="00D726D8">
        <w:rPr>
          <w:rFonts w:ascii="Fira Sans" w:hAnsi="Fira Sans"/>
          <w:color w:val="000000" w:themeColor="text1"/>
          <w:sz w:val="19"/>
          <w:szCs w:val="19"/>
        </w:rPr>
        <w:t>4</w:t>
      </w:r>
      <w:r w:rsidR="00D726D8" w:rsidRPr="0080027D">
        <w:rPr>
          <w:rFonts w:ascii="Fira Sans" w:hAnsi="Fira Sans"/>
          <w:color w:val="000000" w:themeColor="text1"/>
          <w:sz w:val="19"/>
          <w:szCs w:val="19"/>
        </w:rPr>
        <w:t xml:space="preserve">,9). </w:t>
      </w:r>
    </w:p>
    <w:p w14:paraId="0B76EE8F" w14:textId="77777777" w:rsidR="0061590A" w:rsidRDefault="007B09FE" w:rsidP="0061590A">
      <w:pPr>
        <w:spacing w:before="24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 w:rsidRPr="007B09FE">
        <w:rPr>
          <w:rFonts w:ascii="Fira Sans" w:hAnsi="Fira Sans"/>
          <w:color w:val="000000" w:themeColor="text1"/>
          <w:sz w:val="19"/>
          <w:szCs w:val="19"/>
        </w:rPr>
        <w:t>Najmniej pesymistyczne opinie wyrazili rolnicy zajmujący się produkcją zwierzęcą (saldo minus 30,5). Wśród nich wyróżniały się gospodarstwa prowadzące chów owiec, w których bieżący popyt oceniono pozytywnie – saldo odpowiedzi było dodatnie i wyniosło 9,2. Oceny</w:t>
      </w:r>
      <w:r w:rsidR="008A2798">
        <w:rPr>
          <w:rFonts w:ascii="Fira Sans" w:hAnsi="Fira Sans"/>
          <w:color w:val="000000" w:themeColor="text1"/>
          <w:sz w:val="19"/>
          <w:szCs w:val="19"/>
        </w:rPr>
        <w:t> </w:t>
      </w:r>
      <w:r w:rsidRPr="007B09FE">
        <w:rPr>
          <w:rFonts w:ascii="Fira Sans" w:hAnsi="Fira Sans"/>
          <w:color w:val="000000" w:themeColor="text1"/>
          <w:sz w:val="19"/>
          <w:szCs w:val="19"/>
        </w:rPr>
        <w:t>te były również korzystniejsze niż w grudniu 2025 r. i czerwcu 2025 r. (wzrost salda odpowiednio o 35,5 pkt i 40,6 pkt).</w:t>
      </w:r>
      <w:r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 xml:space="preserve">Uwzględniając wielkość gospodarstw rolnych, </w:t>
      </w:r>
      <w:r w:rsidR="00A85ABE">
        <w:rPr>
          <w:rFonts w:ascii="Fira Sans" w:hAnsi="Fira Sans"/>
          <w:color w:val="000000" w:themeColor="text1"/>
          <w:sz w:val="19"/>
          <w:szCs w:val="19"/>
        </w:rPr>
        <w:t>najniższe saldo odpowiedzi na pytanie dotyczące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 xml:space="preserve"> bieżącego popytu odnotowano w gospodarstwach o</w:t>
      </w:r>
      <w:r w:rsidR="008A2798">
        <w:rPr>
          <w:rFonts w:ascii="Fira Sans" w:hAnsi="Fira Sans"/>
          <w:color w:val="000000" w:themeColor="text1"/>
          <w:sz w:val="19"/>
          <w:szCs w:val="19"/>
        </w:rPr>
        <w:t> 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>powierzchni od 10 do 15 ha oraz od 15 do 20 ha</w:t>
      </w:r>
      <w:r w:rsidR="00A85ABE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="00BE193A">
        <w:rPr>
          <w:rFonts w:ascii="Fira Sans" w:hAnsi="Fira Sans"/>
          <w:color w:val="000000" w:themeColor="text1"/>
          <w:sz w:val="19"/>
          <w:szCs w:val="19"/>
        </w:rPr>
        <w:t>(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>odpowiednio minus 44,4 i minus 44,9</w:t>
      </w:r>
      <w:r w:rsidR="00A85ABE">
        <w:rPr>
          <w:rFonts w:ascii="Fira Sans" w:hAnsi="Fira Sans"/>
          <w:color w:val="000000" w:themeColor="text1"/>
          <w:sz w:val="19"/>
          <w:szCs w:val="19"/>
        </w:rPr>
        <w:t>)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>. Warto zauważyć, że mimo utrzymujących się niekorzystnych ocen bieżącego popytu we wszystkich grupach obszarowych, w porównaniu z grudniem 2025 r.</w:t>
      </w:r>
      <w:r w:rsidR="008A2798">
        <w:rPr>
          <w:rFonts w:ascii="Fira Sans" w:hAnsi="Fira Sans"/>
          <w:color w:val="000000" w:themeColor="text1"/>
          <w:sz w:val="19"/>
          <w:szCs w:val="19"/>
        </w:rPr>
        <w:t>,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 xml:space="preserve"> poprawę odnotowano w</w:t>
      </w:r>
      <w:r w:rsidR="008A2798">
        <w:rPr>
          <w:rFonts w:ascii="Fira Sans" w:hAnsi="Fira Sans"/>
          <w:color w:val="000000" w:themeColor="text1"/>
          <w:sz w:val="19"/>
          <w:szCs w:val="19"/>
        </w:rPr>
        <w:t> 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>gospodarstwach o powierzchni od 50 do 100 ha oraz 100 ha i więcej (wzrost salda odpowiednio o 9,1 pkt i 10,0 pkt).</w:t>
      </w:r>
      <w:r w:rsidR="00D726D8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>Natomiast w porównaniu z czerwcem 2025 r. poprawę ocen zaobserwowano w gospodarstwach o powierzchni do 1 ha włącznie – saldo wyniosło minus</w:t>
      </w:r>
      <w:r w:rsidR="00246328">
        <w:rPr>
          <w:rFonts w:ascii="Fira Sans" w:hAnsi="Fira Sans"/>
          <w:color w:val="000000" w:themeColor="text1"/>
          <w:sz w:val="19"/>
          <w:szCs w:val="19"/>
        </w:rPr>
        <w:t> </w:t>
      </w:r>
      <w:r w:rsidR="00D726D8" w:rsidRPr="0035538B">
        <w:rPr>
          <w:rFonts w:ascii="Fira Sans" w:hAnsi="Fira Sans"/>
          <w:color w:val="000000" w:themeColor="text1"/>
          <w:sz w:val="19"/>
          <w:szCs w:val="19"/>
        </w:rPr>
        <w:t>36,1 wobec minus 37,2.</w:t>
      </w:r>
    </w:p>
    <w:p w14:paraId="6CAA8A16" w14:textId="77777777" w:rsidR="00D726D8" w:rsidRPr="00185238" w:rsidRDefault="007A2DDA" w:rsidP="00246328">
      <w:pPr>
        <w:keepNext/>
        <w:spacing w:before="240" w:after="120" w:line="240" w:lineRule="auto"/>
        <w:rPr>
          <w:rFonts w:ascii="Fira Sans" w:hAnsi="Fira Sans" w:cs="Myriad Pro"/>
          <w:color w:val="000000"/>
          <w:sz w:val="19"/>
          <w:szCs w:val="19"/>
        </w:rPr>
      </w:pPr>
      <w:r w:rsidRPr="00185238">
        <w:rPr>
          <w:rFonts w:ascii="Fira Sans" w:hAnsi="Fira Sans"/>
          <w:noProof/>
          <w:color w:val="000000" w:themeColor="text1"/>
          <w:sz w:val="24"/>
          <w:szCs w:val="2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3015040" behindDoc="1" locked="0" layoutInCell="1" allowOverlap="1" wp14:anchorId="328704B6" wp14:editId="00CC7A2F">
                <wp:simplePos x="0" y="0"/>
                <wp:positionH relativeFrom="page">
                  <wp:posOffset>5891530</wp:posOffset>
                </wp:positionH>
                <wp:positionV relativeFrom="paragraph">
                  <wp:posOffset>62230</wp:posOffset>
                </wp:positionV>
                <wp:extent cx="1478915" cy="1764665"/>
                <wp:effectExtent l="0" t="0" r="0" b="0"/>
                <wp:wrapTight wrapText="bothSides">
                  <wp:wrapPolygon edited="0">
                    <wp:start x="835" y="0"/>
                    <wp:lineTo x="835" y="21219"/>
                    <wp:lineTo x="20589" y="21219"/>
                    <wp:lineTo x="20589" y="0"/>
                    <wp:lineTo x="835" y="0"/>
                  </wp:wrapPolygon>
                </wp:wrapTight>
                <wp:docPr id="18" name="Pole tekstowe 18" descr="68,3% rolników uprawiających buraki cukrowe wskazało, że w 1 półroczu 2025 r. opłacalność produkcji rolniczej pogorszyła się, a tylko 0,5% dostrzegła jej poprawę. Pozostali ocenili, że opłacalność pozostała bez zmia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76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CE357" w14:textId="77777777" w:rsidR="003B61E1" w:rsidRPr="00E93606" w:rsidRDefault="003B61E1" w:rsidP="007A2DDA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6"/>
                                <w:szCs w:val="14"/>
                              </w:rPr>
                            </w:pP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77,2% rolników uprawiających rzepak i</w:t>
                            </w:r>
                            <w:r w:rsidR="007A2DDA"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rzepik wskazało, że</w:t>
                            </w:r>
                            <w:r w:rsidR="007A2DDA"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  <w:t xml:space="preserve">w 1. półroczu 2026 r. opłacalność produkcji rolniczej pogorszyła się, a 0,7% dostrzegła jej poprawę. Pozostali ocenili, że opłacalność pozostała bez zmian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704B6" id="Pole tekstowe 18" o:spid="_x0000_s1033" type="#_x0000_t202" alt="68,3% rolników uprawiających buraki cukrowe wskazało, że w 1 półroczu 2025 r. opłacalność produkcji rolniczej pogorszyła się, a tylko 0,5% dostrzegła jej poprawę. Pozostali ocenili, że opłacalność pozostała bez zmian" style="position:absolute;margin-left:463.9pt;margin-top:4.9pt;width:116.45pt;height:138.95pt;z-index:-2503014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" filled="f" stroked="f">
                <v:textbox>
                  <w:txbxContent>
                    <w:p w14:paraId="32ACE357" w14:textId="77777777" w:rsidR="003B61E1" w:rsidRPr="00E93606" w:rsidRDefault="003B61E1" w:rsidP="007A2DDA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6"/>
                          <w:szCs w:val="14"/>
                        </w:rPr>
                      </w:pP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77,2% rolników uprawiających rzepak i</w:t>
                      </w:r>
                      <w:r w:rsidR="007A2DDA" w:rsidRPr="00E93606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rzepik wskazało, że</w:t>
                      </w:r>
                      <w:r w:rsidR="007A2DDA" w:rsidRPr="00E93606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  <w:t xml:space="preserve">w 1. półroczu 2026 r. opłacalność produkcji rolniczej pogorszyła się, a 0,7% dostrzegła jej poprawę. Pozostali ocenili, że opłacalność pozostała bez zmian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6D8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Wykres 4. </w:t>
      </w:r>
      <w:r w:rsidR="004221E0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Sald</w:t>
      </w:r>
      <w:r w:rsidR="004221E0">
        <w:rPr>
          <w:rFonts w:ascii="Fira Sans" w:hAnsi="Fira Sans" w:cs="Myriad Pro"/>
          <w:b/>
          <w:bCs/>
          <w:color w:val="000000"/>
          <w:sz w:val="19"/>
          <w:szCs w:val="19"/>
        </w:rPr>
        <w:t>o</w:t>
      </w:r>
      <w:r w:rsidR="004221E0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 </w:t>
      </w:r>
      <w:r w:rsidR="00D726D8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odpowiedzi dotyczące bieżącej (</w:t>
      </w:r>
      <w:r w:rsidR="00D726D8" w:rsidRPr="00C8721D">
        <w:rPr>
          <w:rFonts w:ascii="Fira Sans" w:hAnsi="Fira Sans" w:cs="Myriad Pro"/>
          <w:b/>
          <w:bCs/>
          <w:color w:val="000000"/>
          <w:sz w:val="19"/>
          <w:szCs w:val="19"/>
        </w:rPr>
        <w:t>czerwiec 202</w:t>
      </w:r>
      <w:r w:rsidR="00C8721D" w:rsidRPr="00C8721D">
        <w:rPr>
          <w:rFonts w:ascii="Fira Sans" w:hAnsi="Fira Sans" w:cs="Myriad Pro"/>
          <w:b/>
          <w:bCs/>
          <w:color w:val="000000"/>
          <w:sz w:val="19"/>
          <w:szCs w:val="19"/>
        </w:rPr>
        <w:t>6</w:t>
      </w:r>
      <w:r w:rsidR="00D726D8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 r.) opłacalności produkcji rolniczej i popytu na produkty rolne według ukierunkowania produkcyjnego</w:t>
      </w:r>
      <w:r w:rsidR="00D726D8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 </w:t>
      </w:r>
    </w:p>
    <w:p w14:paraId="6580594A" w14:textId="77777777" w:rsidR="00D726D8" w:rsidRDefault="007A2DDA" w:rsidP="007A2DDA">
      <w:pPr>
        <w:spacing w:before="120" w:after="120" w:line="240" w:lineRule="auto"/>
        <w:rPr>
          <w:rFonts w:ascii="Fira Sans" w:hAnsi="Fira Sans"/>
          <w:b/>
          <w:color w:val="002060"/>
          <w:sz w:val="24"/>
          <w:szCs w:val="24"/>
        </w:rPr>
      </w:pPr>
      <w:r>
        <w:rPr>
          <w:rFonts w:ascii="Fira Sans" w:hAnsi="Fira Sans"/>
          <w:b/>
          <w:noProof/>
          <w:color w:val="002060"/>
          <w:sz w:val="24"/>
          <w:szCs w:val="24"/>
        </w:rPr>
        <w:drawing>
          <wp:inline distT="0" distB="0" distL="0" distR="0" wp14:anchorId="3F781C2A" wp14:editId="7DDD4ED9">
            <wp:extent cx="5187950" cy="2524125"/>
            <wp:effectExtent l="0" t="0" r="0" b="9525"/>
            <wp:docPr id="20" name="Obraz 20" descr="Wykres 4. Saldo odpowiedzi dotyczące bieżącej (czerwiec 2026 r.) opłacalności produkcji rolniczej i popytu na produkty rolne według ukierunkowania produkcyjne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4. Saldo odpowiedzi dotyczące bieżącej (czerwiec 2026 r.) opłacalności produkcji rolniczej i popytu na produkty rolne według ukierunkowania produkcyjnego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EE49EC" w14:textId="77777777" w:rsidR="00D726D8" w:rsidRPr="00185238" w:rsidRDefault="00D726D8" w:rsidP="00E93606">
      <w:pPr>
        <w:spacing w:before="360" w:after="120" w:line="240" w:lineRule="auto"/>
        <w:rPr>
          <w:rFonts w:ascii="Fira Sans" w:hAnsi="Fira Sans"/>
          <w:b/>
          <w:color w:val="002060"/>
          <w:sz w:val="24"/>
          <w:szCs w:val="24"/>
        </w:rPr>
      </w:pPr>
      <w:r w:rsidRPr="00185238">
        <w:rPr>
          <w:rFonts w:ascii="Fira Sans" w:hAnsi="Fira Sans"/>
          <w:b/>
          <w:color w:val="002060"/>
          <w:sz w:val="24"/>
          <w:szCs w:val="24"/>
        </w:rPr>
        <w:t xml:space="preserve">Zmiany w gospodarstwach rolnych w </w:t>
      </w:r>
      <w:r>
        <w:rPr>
          <w:rFonts w:ascii="Fira Sans" w:hAnsi="Fira Sans"/>
          <w:b/>
          <w:color w:val="002060"/>
          <w:sz w:val="24"/>
          <w:szCs w:val="24"/>
        </w:rPr>
        <w:t>1</w:t>
      </w:r>
      <w:r w:rsidR="00866CAB">
        <w:rPr>
          <w:rFonts w:ascii="Fira Sans" w:hAnsi="Fira Sans"/>
          <w:b/>
          <w:color w:val="002060"/>
          <w:sz w:val="24"/>
          <w:szCs w:val="24"/>
        </w:rPr>
        <w:t>.</w:t>
      </w:r>
      <w:r w:rsidRPr="00185238">
        <w:rPr>
          <w:rFonts w:ascii="Fira Sans" w:hAnsi="Fira Sans"/>
          <w:b/>
          <w:color w:val="002060"/>
          <w:sz w:val="24"/>
          <w:szCs w:val="24"/>
        </w:rPr>
        <w:t xml:space="preserve"> półroczu 202</w:t>
      </w:r>
      <w:r>
        <w:rPr>
          <w:rFonts w:ascii="Fira Sans" w:hAnsi="Fira Sans"/>
          <w:b/>
          <w:color w:val="002060"/>
          <w:sz w:val="24"/>
          <w:szCs w:val="24"/>
        </w:rPr>
        <w:t>6</w:t>
      </w:r>
      <w:r w:rsidRPr="00185238">
        <w:rPr>
          <w:rFonts w:ascii="Fira Sans" w:hAnsi="Fira Sans"/>
          <w:b/>
          <w:color w:val="002060"/>
          <w:sz w:val="24"/>
          <w:szCs w:val="24"/>
        </w:rPr>
        <w:t xml:space="preserve"> r.</w:t>
      </w:r>
    </w:p>
    <w:p w14:paraId="5B9694A3" w14:textId="77777777" w:rsidR="00D726D8" w:rsidRDefault="00D726D8" w:rsidP="00E9425A">
      <w:pPr>
        <w:spacing w:before="360" w:after="120" w:line="240" w:lineRule="auto"/>
        <w:rPr>
          <w:rFonts w:ascii="Fira Sans" w:hAnsi="Fira Sans"/>
          <w:b/>
          <w:color w:val="002060"/>
          <w:sz w:val="19"/>
          <w:szCs w:val="19"/>
        </w:rPr>
      </w:pPr>
      <w:r w:rsidRPr="00185238">
        <w:rPr>
          <w:rFonts w:ascii="Fira Sans" w:hAnsi="Fira Sans"/>
          <w:b/>
          <w:color w:val="002060"/>
          <w:sz w:val="19"/>
          <w:szCs w:val="19"/>
        </w:rPr>
        <w:t>Opłacalność produkcji rolniczej</w:t>
      </w:r>
    </w:p>
    <w:p w14:paraId="3AD10A01" w14:textId="77777777" w:rsidR="00D726D8" w:rsidRPr="00185238" w:rsidRDefault="007B09FE" w:rsidP="00D726D8">
      <w:pPr>
        <w:spacing w:before="120" w:after="120" w:line="288" w:lineRule="auto"/>
        <w:rPr>
          <w:rFonts w:ascii="Fira Sans" w:hAnsi="Fira Sans" w:cs="Myriad Pro"/>
          <w:color w:val="000000"/>
          <w:sz w:val="19"/>
          <w:szCs w:val="19"/>
        </w:rPr>
      </w:pPr>
      <w:r w:rsidRPr="007B09FE">
        <w:rPr>
          <w:rFonts w:ascii="Fira Sans" w:hAnsi="Fira Sans" w:cs="Myriad Pro"/>
          <w:color w:val="000000"/>
          <w:sz w:val="19"/>
          <w:szCs w:val="19"/>
        </w:rPr>
        <w:t>Wśród użytkowników gospodarstw rolnych przeważały opinie, że w ciągu 1. półrocza 2026 r. opłacalność produkcji rolniczej w ich gospodarstwach pogorszyła się.</w:t>
      </w:r>
      <w:r>
        <w:rPr>
          <w:rFonts w:ascii="Fira Sans" w:hAnsi="Fira Sans" w:cs="Myriad Pro"/>
          <w:color w:val="000000"/>
          <w:sz w:val="19"/>
          <w:szCs w:val="19"/>
        </w:rPr>
        <w:t xml:space="preserve"> </w:t>
      </w:r>
      <w:r w:rsidR="00D726D8" w:rsidRPr="00912989">
        <w:rPr>
          <w:rFonts w:ascii="Fira Sans" w:hAnsi="Fira Sans" w:cs="Myriad Pro"/>
          <w:color w:val="000000"/>
          <w:sz w:val="19"/>
          <w:szCs w:val="19"/>
        </w:rPr>
        <w:t xml:space="preserve">Saldo odpowiedzi na pytanie o </w:t>
      </w:r>
      <w:r w:rsidR="00441D8A">
        <w:rPr>
          <w:rFonts w:ascii="Fira Sans" w:hAnsi="Fira Sans" w:cs="Myriad Pro"/>
          <w:color w:val="000000"/>
          <w:sz w:val="19"/>
          <w:szCs w:val="19"/>
        </w:rPr>
        <w:t xml:space="preserve">zmiany </w:t>
      </w:r>
      <w:r w:rsidR="00441D8A" w:rsidRPr="00912989">
        <w:rPr>
          <w:rFonts w:ascii="Fira Sans" w:hAnsi="Fira Sans" w:cs="Myriad Pro"/>
          <w:color w:val="000000"/>
          <w:sz w:val="19"/>
          <w:szCs w:val="19"/>
        </w:rPr>
        <w:t>opłacalnoś</w:t>
      </w:r>
      <w:r w:rsidR="00441D8A">
        <w:rPr>
          <w:rFonts w:ascii="Fira Sans" w:hAnsi="Fira Sans" w:cs="Myriad Pro"/>
          <w:color w:val="000000"/>
          <w:sz w:val="19"/>
          <w:szCs w:val="19"/>
        </w:rPr>
        <w:t xml:space="preserve">ci </w:t>
      </w:r>
      <w:r w:rsidR="00D726D8" w:rsidRPr="00912989">
        <w:rPr>
          <w:rFonts w:ascii="Fira Sans" w:hAnsi="Fira Sans" w:cs="Myriad Pro"/>
          <w:color w:val="000000"/>
          <w:sz w:val="19"/>
          <w:szCs w:val="19"/>
        </w:rPr>
        <w:t>produkcji wyniosło minus 6</w:t>
      </w:r>
      <w:r w:rsidR="00D726D8">
        <w:rPr>
          <w:rFonts w:ascii="Fira Sans" w:hAnsi="Fira Sans" w:cs="Myriad Pro"/>
          <w:color w:val="000000"/>
          <w:sz w:val="19"/>
          <w:szCs w:val="19"/>
        </w:rPr>
        <w:t>9,6</w:t>
      </w:r>
      <w:r w:rsidR="00441D8A">
        <w:rPr>
          <w:rFonts w:ascii="Fira Sans" w:hAnsi="Fira Sans" w:cs="Myriad Pro"/>
          <w:color w:val="000000"/>
          <w:sz w:val="19"/>
          <w:szCs w:val="19"/>
        </w:rPr>
        <w:t>.</w:t>
      </w:r>
      <w:r w:rsidR="00D726D8" w:rsidRPr="00912989">
        <w:rPr>
          <w:rFonts w:ascii="Fira Sans" w:hAnsi="Fira Sans" w:cs="Myriad Pro"/>
          <w:color w:val="000000"/>
          <w:sz w:val="19"/>
          <w:szCs w:val="19"/>
        </w:rPr>
        <w:t xml:space="preserve"> </w:t>
      </w:r>
      <w:r w:rsidRPr="007B09FE">
        <w:rPr>
          <w:rFonts w:ascii="Fira Sans" w:hAnsi="Fira Sans" w:cs="Myriad Pro"/>
          <w:color w:val="000000"/>
          <w:sz w:val="19"/>
          <w:szCs w:val="19"/>
        </w:rPr>
        <w:t>W porównaniu z ocenami dotyczącymi 2. półrocza 2025 r. saldo było niższe o 9,1 pkt, a w porównaniu z 1. półroczem 2025 r. – o 26,7 pkt.</w:t>
      </w:r>
      <w:r w:rsidRPr="00912989" w:rsidDel="007B09FE">
        <w:rPr>
          <w:rFonts w:ascii="Fira Sans" w:hAnsi="Fira Sans" w:cs="Myriad Pro"/>
          <w:color w:val="000000"/>
          <w:sz w:val="19"/>
          <w:szCs w:val="19"/>
        </w:rPr>
        <w:t xml:space="preserve"> </w:t>
      </w:r>
    </w:p>
    <w:p w14:paraId="0079AB93" w14:textId="77777777" w:rsidR="00D726D8" w:rsidRPr="00185238" w:rsidRDefault="00D726D8" w:rsidP="00D726D8">
      <w:pPr>
        <w:spacing w:before="240" w:after="120" w:line="240" w:lineRule="auto"/>
        <w:rPr>
          <w:rFonts w:ascii="Fira Sans" w:hAnsi="Fira Sans" w:cs="Myriad Pro"/>
          <w:b/>
          <w:bCs/>
          <w:color w:val="000000"/>
          <w:sz w:val="19"/>
          <w:szCs w:val="19"/>
        </w:rPr>
      </w:pPr>
      <w:bookmarkStart w:id="1" w:name="_Hlk193372314"/>
      <w:r w:rsidRPr="00185238">
        <w:rPr>
          <w:rFonts w:ascii="Fira Sans" w:hAnsi="Fira Sans"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3009920" behindDoc="1" locked="0" layoutInCell="1" allowOverlap="1" wp14:anchorId="2E26CD19" wp14:editId="21971213">
                <wp:simplePos x="0" y="0"/>
                <wp:positionH relativeFrom="page">
                  <wp:posOffset>5843905</wp:posOffset>
                </wp:positionH>
                <wp:positionV relativeFrom="paragraph">
                  <wp:posOffset>220345</wp:posOffset>
                </wp:positionV>
                <wp:extent cx="1668145" cy="1804670"/>
                <wp:effectExtent l="0" t="0" r="0" b="5080"/>
                <wp:wrapTight wrapText="bothSides">
                  <wp:wrapPolygon edited="0">
                    <wp:start x="740" y="0"/>
                    <wp:lineTo x="740" y="21433"/>
                    <wp:lineTo x="20720" y="21433"/>
                    <wp:lineTo x="20720" y="0"/>
                    <wp:lineTo x="740" y="0"/>
                  </wp:wrapPolygon>
                </wp:wrapTight>
                <wp:docPr id="1921257301" name="Pole tekstowe 1921257301" descr="51,2% producentów roślin stwierdziło, że w 1 półroczu 2025 r. opłacalność produkcji rolniczej pogorszyła się, a 3,2% wskazało na jej poprawę. Pozostali ocenili, że opłacalność produkcji pozostała bez zmia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1804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9EAE1" w14:textId="77777777" w:rsidR="003B61E1" w:rsidRPr="00E9425A" w:rsidRDefault="003B61E1" w:rsidP="00E9425A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9"/>
                                <w:szCs w:val="19"/>
                              </w:rPr>
                            </w:pP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75,6% użytkowników gospodarstw wielokierunkowych oceniło, że w 1. półroczu 2026 r. opłacalność produkcji rolniczej pogorszyła się, a 1,5%, że</w:t>
                            </w:r>
                            <w:r w:rsidR="002D6776"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się poprawiła. Pozostali uznali, że opłacalność produkcji pozostała bez zmian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6CD19" id="Pole tekstowe 1921257301" o:spid="_x0000_s1034" type="#_x0000_t202" alt="51,2% producentów roślin stwierdziło, że w 1 półroczu 2025 r. opłacalność produkcji rolniczej pogorszyła się, a 3,2% wskazało na jej poprawę. Pozostali ocenili, że opłacalność produkcji pozostała bez zmian" style="position:absolute;margin-left:460.15pt;margin-top:17.35pt;width:131.35pt;height:142.1pt;z-index:-2503065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" filled="f" stroked="f">
                <v:textbox>
                  <w:txbxContent>
                    <w:p w14:paraId="1139EAE1" w14:textId="77777777" w:rsidR="003B61E1" w:rsidRPr="00E9425A" w:rsidRDefault="003B61E1" w:rsidP="00E9425A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9"/>
                          <w:szCs w:val="19"/>
                        </w:rPr>
                      </w:pP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75,6% użytkowników gospodarstw wielokierunkowych oceniło, że w 1. półroczu 2026 r. opłacalność produkcji rolniczej pogorszyła się, a 1,5%, że</w:t>
                      </w:r>
                      <w:r w:rsidR="002D6776"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się poprawiła. Pozostali uznali, że opłacalność produkcji pozostała bez zmian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Wykres 5. </w:t>
      </w:r>
      <w:r w:rsidR="004221E0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Sald</w:t>
      </w:r>
      <w:r w:rsidR="004221E0">
        <w:rPr>
          <w:rFonts w:ascii="Fira Sans" w:hAnsi="Fira Sans" w:cs="Myriad Pro"/>
          <w:b/>
          <w:bCs/>
          <w:color w:val="000000"/>
          <w:sz w:val="19"/>
          <w:szCs w:val="19"/>
        </w:rPr>
        <w:t>o</w:t>
      </w:r>
      <w:r w:rsidR="004221E0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 </w:t>
      </w:r>
      <w:r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odpowiedzi dotyczące zmian opłacalności produkcji rolniczej według ukierunkowania produkcyjnego</w:t>
      </w:r>
      <w:bookmarkEnd w:id="1"/>
      <w:r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 </w:t>
      </w:r>
    </w:p>
    <w:p w14:paraId="56B7C665" w14:textId="77777777" w:rsidR="00D726D8" w:rsidRPr="00185238" w:rsidRDefault="00CF5A49" w:rsidP="00D726D8">
      <w:pPr>
        <w:spacing w:before="120" w:after="120" w:line="240" w:lineRule="auto"/>
        <w:rPr>
          <w:rFonts w:ascii="Fira Sans" w:hAnsi="Fira Sans" w:cs="Myriad Pro"/>
          <w:b/>
          <w:bCs/>
          <w:color w:val="000000"/>
          <w:sz w:val="19"/>
          <w:szCs w:val="19"/>
        </w:rPr>
      </w:pPr>
      <w:r>
        <w:rPr>
          <w:rFonts w:ascii="Fira Sans" w:hAnsi="Fira Sans" w:cs="Myriad Pro"/>
          <w:b/>
          <w:bCs/>
          <w:noProof/>
          <w:color w:val="000000"/>
          <w:sz w:val="19"/>
          <w:szCs w:val="19"/>
        </w:rPr>
        <w:drawing>
          <wp:inline distT="0" distB="0" distL="0" distR="0" wp14:anchorId="3B9D1C26" wp14:editId="154DAEF4">
            <wp:extent cx="5182235" cy="2517775"/>
            <wp:effectExtent l="0" t="0" r="0" b="0"/>
            <wp:docPr id="24" name="Obraz 24" descr="Wykres 5. Saldo odpowiedzi dotyczące zmian opłacalności produkcji rolniczej według ukierunkowania produkcyj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4" descr="Wykres 5. Saldo odpowiedzi dotyczące zmian opłacalności produkcji rolniczej według ukierunkowania produkcyjne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30009" w14:textId="77777777" w:rsidR="00D726D8" w:rsidRDefault="00D726D8" w:rsidP="00CF5A49">
      <w:pPr>
        <w:spacing w:before="240" w:after="120" w:line="288" w:lineRule="auto"/>
        <w:rPr>
          <w:rFonts w:ascii="Fira Sans" w:hAnsi="Fira Sans"/>
          <w:noProof/>
          <w:sz w:val="19"/>
          <w:szCs w:val="19"/>
        </w:rPr>
      </w:pPr>
      <w:r w:rsidRPr="00146D1D">
        <w:rPr>
          <w:rFonts w:ascii="Fira Sans" w:hAnsi="Fira Sans"/>
          <w:iCs/>
          <w:noProof/>
          <w:sz w:val="19"/>
          <w:szCs w:val="19"/>
        </w:rPr>
        <w:t>Pesymistyczne oceny dotyczące zmiany opłacalności produkcji rolniczej (ujemne saldo) dominowały wśród użytkowników gospodarstw rolnych wszystkich specjalizacji.</w:t>
      </w:r>
      <w:r>
        <w:rPr>
          <w:rFonts w:ascii="Fira Sans" w:hAnsi="Fira Sans"/>
          <w:i/>
          <w:noProof/>
          <w:sz w:val="19"/>
          <w:szCs w:val="19"/>
        </w:rPr>
        <w:t xml:space="preserve"> </w:t>
      </w:r>
      <w:r w:rsidRPr="009253E4">
        <w:rPr>
          <w:rFonts w:ascii="Fira Sans" w:hAnsi="Fira Sans"/>
          <w:noProof/>
          <w:sz w:val="19"/>
          <w:szCs w:val="19"/>
        </w:rPr>
        <w:t>Najniższą wartość salda odpowiedzi</w:t>
      </w:r>
      <w:r>
        <w:rPr>
          <w:rFonts w:ascii="Fira Sans" w:hAnsi="Fira Sans"/>
          <w:noProof/>
          <w:sz w:val="19"/>
          <w:szCs w:val="19"/>
        </w:rPr>
        <w:t xml:space="preserve"> </w:t>
      </w:r>
      <w:r w:rsidRPr="009253E4">
        <w:rPr>
          <w:rFonts w:ascii="Fira Sans" w:hAnsi="Fira Sans"/>
          <w:noProof/>
          <w:sz w:val="19"/>
          <w:szCs w:val="19"/>
        </w:rPr>
        <w:t>odnotowano</w:t>
      </w:r>
      <w:r>
        <w:rPr>
          <w:rFonts w:ascii="Fira Sans" w:hAnsi="Fira Sans"/>
          <w:noProof/>
          <w:sz w:val="19"/>
          <w:szCs w:val="19"/>
        </w:rPr>
        <w:t xml:space="preserve"> </w:t>
      </w:r>
      <w:r w:rsidRPr="009253E4">
        <w:rPr>
          <w:rFonts w:ascii="Fira Sans" w:hAnsi="Fira Sans"/>
          <w:noProof/>
          <w:sz w:val="19"/>
          <w:szCs w:val="19"/>
        </w:rPr>
        <w:t>w gospodarstw</w:t>
      </w:r>
      <w:r w:rsidR="00316270">
        <w:rPr>
          <w:rFonts w:ascii="Fira Sans" w:hAnsi="Fira Sans"/>
          <w:noProof/>
          <w:sz w:val="19"/>
          <w:szCs w:val="19"/>
        </w:rPr>
        <w:t>ach</w:t>
      </w:r>
      <w:r w:rsidRPr="009253E4">
        <w:rPr>
          <w:rFonts w:ascii="Fira Sans" w:hAnsi="Fira Sans"/>
          <w:noProof/>
          <w:sz w:val="19"/>
          <w:szCs w:val="19"/>
        </w:rPr>
        <w:t xml:space="preserve"> </w:t>
      </w:r>
      <w:r>
        <w:rPr>
          <w:rFonts w:ascii="Fira Sans" w:hAnsi="Fira Sans"/>
          <w:noProof/>
          <w:sz w:val="19"/>
          <w:szCs w:val="19"/>
        </w:rPr>
        <w:t xml:space="preserve">wielokierunkowych (minus 74,1). </w:t>
      </w:r>
    </w:p>
    <w:p w14:paraId="1C653B6E" w14:textId="77777777" w:rsidR="00D726D8" w:rsidRPr="0056278E" w:rsidRDefault="00F3115A" w:rsidP="00D726D8">
      <w:pPr>
        <w:spacing w:before="120" w:after="120" w:line="288" w:lineRule="auto"/>
        <w:rPr>
          <w:rFonts w:ascii="Fira Sans" w:hAnsi="Fira Sans"/>
          <w:noProof/>
          <w:sz w:val="19"/>
          <w:szCs w:val="19"/>
        </w:rPr>
      </w:pPr>
      <w:r w:rsidRPr="00F3115A">
        <w:rPr>
          <w:rFonts w:ascii="Fira Sans" w:hAnsi="Fira Sans"/>
          <w:noProof/>
          <w:sz w:val="19"/>
          <w:szCs w:val="19"/>
        </w:rPr>
        <w:t>W gospodarstwach, które specjalizują się w produkcji roślinnej saldo odpowiedzi wyniosło minus 67,9. Najniższe wartości odnotowano wśród producentów buraków cukrowych (minus</w:t>
      </w:r>
      <w:r w:rsidR="00246328">
        <w:rPr>
          <w:rFonts w:ascii="Fira Sans" w:hAnsi="Fira Sans"/>
          <w:noProof/>
          <w:sz w:val="19"/>
          <w:szCs w:val="19"/>
        </w:rPr>
        <w:t> </w:t>
      </w:r>
      <w:r w:rsidRPr="00F3115A">
        <w:rPr>
          <w:rFonts w:ascii="Fira Sans" w:hAnsi="Fira Sans"/>
          <w:noProof/>
          <w:sz w:val="19"/>
          <w:szCs w:val="19"/>
        </w:rPr>
        <w:t>79,7) oraz rzepaku i rzepiku (minus 76,5). W porównaniu z 2. półroczem 2025 r. poprawę ocen zaobserwowano w gospodarstwach prowadzących uprawę ziemniaków (wzrost salda o</w:t>
      </w:r>
      <w:r w:rsidR="00246328">
        <w:rPr>
          <w:rFonts w:ascii="Fira Sans" w:hAnsi="Fira Sans"/>
          <w:noProof/>
          <w:sz w:val="19"/>
          <w:szCs w:val="19"/>
        </w:rPr>
        <w:t> </w:t>
      </w:r>
      <w:r w:rsidRPr="00F3115A">
        <w:rPr>
          <w:rFonts w:ascii="Fira Sans" w:hAnsi="Fira Sans"/>
          <w:noProof/>
          <w:sz w:val="19"/>
          <w:szCs w:val="19"/>
        </w:rPr>
        <w:t>3,2</w:t>
      </w:r>
      <w:r w:rsidR="00246328">
        <w:rPr>
          <w:rFonts w:ascii="Fira Sans" w:hAnsi="Fira Sans"/>
          <w:noProof/>
          <w:sz w:val="19"/>
          <w:szCs w:val="19"/>
        </w:rPr>
        <w:t> </w:t>
      </w:r>
      <w:r w:rsidRPr="00F3115A">
        <w:rPr>
          <w:rFonts w:ascii="Fira Sans" w:hAnsi="Fira Sans"/>
          <w:noProof/>
          <w:sz w:val="19"/>
          <w:szCs w:val="19"/>
        </w:rPr>
        <w:t xml:space="preserve">pkt) oraz uprawę roślin klasyfikowanych jako pozostałe przemysłowe (wzrost </w:t>
      </w:r>
      <w:r w:rsidR="003430C5">
        <w:rPr>
          <w:rFonts w:ascii="Fira Sans" w:hAnsi="Fira Sans"/>
          <w:noProof/>
          <w:sz w:val="19"/>
          <w:szCs w:val="19"/>
        </w:rPr>
        <w:t>o</w:t>
      </w:r>
      <w:r w:rsidR="00246328">
        <w:rPr>
          <w:rFonts w:ascii="Fira Sans" w:hAnsi="Fira Sans"/>
          <w:noProof/>
          <w:sz w:val="19"/>
          <w:szCs w:val="19"/>
        </w:rPr>
        <w:t> </w:t>
      </w:r>
      <w:r w:rsidRPr="00F3115A">
        <w:rPr>
          <w:rFonts w:ascii="Fira Sans" w:hAnsi="Fira Sans"/>
          <w:noProof/>
          <w:sz w:val="19"/>
          <w:szCs w:val="19"/>
        </w:rPr>
        <w:t>8,2</w:t>
      </w:r>
      <w:r w:rsidR="00246328">
        <w:rPr>
          <w:rFonts w:ascii="Fira Sans" w:hAnsi="Fira Sans"/>
          <w:noProof/>
          <w:sz w:val="19"/>
          <w:szCs w:val="19"/>
        </w:rPr>
        <w:t> </w:t>
      </w:r>
      <w:r w:rsidRPr="00F3115A">
        <w:rPr>
          <w:rFonts w:ascii="Fira Sans" w:hAnsi="Fira Sans"/>
          <w:noProof/>
          <w:sz w:val="19"/>
          <w:szCs w:val="19"/>
        </w:rPr>
        <w:t>pkt).</w:t>
      </w:r>
    </w:p>
    <w:p w14:paraId="72A59C7C" w14:textId="77777777" w:rsidR="007D2F2C" w:rsidRPr="007D2F2C" w:rsidRDefault="007D2F2C" w:rsidP="007D2F2C">
      <w:pPr>
        <w:pStyle w:val="Tekstkomentarza"/>
        <w:spacing w:before="120" w:after="120" w:line="288" w:lineRule="auto"/>
      </w:pPr>
      <w:r w:rsidRPr="007D2F2C">
        <w:rPr>
          <w:rFonts w:ascii="Fira Sans" w:hAnsi="Fira Sans"/>
          <w:sz w:val="19"/>
          <w:szCs w:val="19"/>
        </w:rPr>
        <w:lastRenderedPageBreak/>
        <w:t>Najwyższe saldo odpowiedzi na pytanie o zmiany opłacalności produkcji odnotowano w</w:t>
      </w:r>
      <w:r w:rsidR="00CF5A49">
        <w:rPr>
          <w:rFonts w:ascii="Fira Sans" w:hAnsi="Fira Sans"/>
          <w:sz w:val="19"/>
          <w:szCs w:val="19"/>
        </w:rPr>
        <w:t> </w:t>
      </w:r>
      <w:r w:rsidRPr="007D2F2C">
        <w:rPr>
          <w:rFonts w:ascii="Fira Sans" w:hAnsi="Fira Sans"/>
          <w:sz w:val="19"/>
          <w:szCs w:val="19"/>
        </w:rPr>
        <w:t>gospodarstwach ukierunkowanych na produkcję zwierzęcą (minus 64,4). W grupie tej wyróżniały się gospodarstwa prowadzące chów koni, owiec i drobiu nieśnego, w których w</w:t>
      </w:r>
      <w:r w:rsidR="00CF5A49">
        <w:rPr>
          <w:rFonts w:ascii="Fira Sans" w:hAnsi="Fira Sans"/>
          <w:sz w:val="19"/>
          <w:szCs w:val="19"/>
        </w:rPr>
        <w:t> </w:t>
      </w:r>
      <w:r w:rsidRPr="007D2F2C">
        <w:rPr>
          <w:rFonts w:ascii="Fira Sans" w:hAnsi="Fira Sans"/>
          <w:sz w:val="19"/>
          <w:szCs w:val="19"/>
        </w:rPr>
        <w:t>porównaniu z 2. półroczem 2025 r. zaobserwowano dodatkowo poprawę ocen – saldo wzrosło odpowiednio o 12,5 pkt, 2,9 pkt i 1,9 pkt.</w:t>
      </w:r>
    </w:p>
    <w:p w14:paraId="567143B9" w14:textId="77777777" w:rsidR="00D726D8" w:rsidRPr="00D24ECB" w:rsidRDefault="00D726D8" w:rsidP="00D726D8">
      <w:pPr>
        <w:spacing w:before="120" w:after="120" w:line="288" w:lineRule="auto"/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</w:pPr>
      <w:r w:rsidRPr="00D24ECB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Negatywne opinie rolników dotyczące zmiany opłacalności produkcji rolniczej zaobserwowano także we wszystkich grupach obszarowych gospodarstw rolnych.</w:t>
      </w:r>
      <w:r w:rsidR="00AB3E69">
        <w:rPr>
          <w:rFonts w:ascii="Fira Sans" w:hAnsi="Fira Sans"/>
          <w:i/>
          <w:noProof/>
          <w:color w:val="000000" w:themeColor="text1"/>
          <w:sz w:val="19"/>
          <w:szCs w:val="19"/>
          <w:lang w:eastAsia="pl-PL"/>
        </w:rPr>
        <w:t xml:space="preserve"> </w:t>
      </w:r>
      <w:r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N</w:t>
      </w:r>
      <w:r w:rsidRPr="00185238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aj</w:t>
      </w:r>
      <w:r w:rsidR="00316270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bardziej</w:t>
      </w:r>
      <w:r w:rsidR="00091C02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 </w:t>
      </w:r>
      <w:r w:rsidR="00316270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 xml:space="preserve">pesymistycznie </w:t>
      </w:r>
      <w:r w:rsidR="009427CB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 xml:space="preserve">zmiany </w:t>
      </w:r>
      <w:r w:rsidR="005C197A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te</w:t>
      </w:r>
      <w:r w:rsidR="009427CB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 xml:space="preserve"> ocenili </w:t>
      </w:r>
      <w:r w:rsidRPr="00185238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użytkowni</w:t>
      </w:r>
      <w:r w:rsidR="009427CB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cy</w:t>
      </w:r>
      <w:r w:rsidRPr="00185238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 xml:space="preserve"> gospodarstw o</w:t>
      </w:r>
      <w:r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 xml:space="preserve"> </w:t>
      </w:r>
      <w:r w:rsidRPr="00185238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 xml:space="preserve">powierzchni </w:t>
      </w:r>
      <w:r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od 20</w:t>
      </w:r>
      <w:r w:rsidR="00F959CD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 </w:t>
      </w:r>
      <w:r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do 30 ha (saldo</w:t>
      </w:r>
      <w:r w:rsidRPr="00185238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 xml:space="preserve"> </w:t>
      </w:r>
      <w:r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minus 76,1</w:t>
      </w:r>
      <w:r w:rsidRPr="00185238"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>).</w:t>
      </w:r>
      <w:r>
        <w:rPr>
          <w:rFonts w:ascii="Fira Sans" w:hAnsi="Fira Sans"/>
          <w:noProof/>
          <w:color w:val="000000" w:themeColor="text1"/>
          <w:sz w:val="19"/>
          <w:szCs w:val="19"/>
          <w:lang w:eastAsia="pl-PL"/>
        </w:rPr>
        <w:t xml:space="preserve"> </w:t>
      </w:r>
      <w:r w:rsidRPr="00D24ECB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Mimo utrzymując</w:t>
      </w:r>
      <w:r w:rsidR="00316270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ej</w:t>
      </w:r>
      <w:r w:rsidRPr="00D24ECB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 xml:space="preserve"> się </w:t>
      </w:r>
      <w:r w:rsidR="00316270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 xml:space="preserve">przewagi </w:t>
      </w:r>
      <w:r w:rsidRPr="00D24ECB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ocen negatywnych, w</w:t>
      </w:r>
      <w:r w:rsidR="00091C02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 </w:t>
      </w:r>
      <w:r w:rsidRPr="00D24ECB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 xml:space="preserve">porównaniu z </w:t>
      </w:r>
      <w:r w:rsidR="00CF0B1A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2.</w:t>
      </w:r>
      <w:r w:rsidR="00091C02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 </w:t>
      </w:r>
      <w:r w:rsidRPr="00D24ECB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półroczem 2025 r.</w:t>
      </w:r>
      <w:r w:rsidR="005C197A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>,</w:t>
      </w:r>
      <w:r w:rsidRPr="00D24ECB">
        <w:rPr>
          <w:rFonts w:ascii="Fira Sans" w:hAnsi="Fira Sans"/>
          <w:iCs/>
          <w:noProof/>
          <w:color w:val="000000" w:themeColor="text1"/>
          <w:sz w:val="19"/>
          <w:szCs w:val="19"/>
          <w:lang w:eastAsia="pl-PL"/>
        </w:rPr>
        <w:t xml:space="preserve"> poprawę odnotowano w gospodarstwach o powierzchni do 1 ha włącznie oraz powyżej 100 ha – saldo wzrosło odpowiednio o 0,2 pkt i 1,4 pkt.</w:t>
      </w:r>
    </w:p>
    <w:p w14:paraId="523FE1A7" w14:textId="77777777" w:rsidR="00D726D8" w:rsidRDefault="003C555C" w:rsidP="00E9425A">
      <w:pPr>
        <w:spacing w:before="360" w:after="120"/>
        <w:rPr>
          <w:rFonts w:ascii="Fira Sans" w:hAnsi="Fira Sans"/>
          <w:b/>
          <w:color w:val="002060"/>
          <w:sz w:val="19"/>
          <w:szCs w:val="19"/>
        </w:rPr>
      </w:pPr>
      <w:r w:rsidRPr="00185238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10944" behindDoc="1" locked="0" layoutInCell="1" allowOverlap="1" wp14:anchorId="603D959D" wp14:editId="35A1931C">
                <wp:simplePos x="0" y="0"/>
                <wp:positionH relativeFrom="page">
                  <wp:posOffset>5819775</wp:posOffset>
                </wp:positionH>
                <wp:positionV relativeFrom="paragraph">
                  <wp:posOffset>312420</wp:posOffset>
                </wp:positionV>
                <wp:extent cx="1542415" cy="1844675"/>
                <wp:effectExtent l="0" t="0" r="0" b="3175"/>
                <wp:wrapTight wrapText="bothSides">
                  <wp:wrapPolygon edited="0">
                    <wp:start x="800" y="0"/>
                    <wp:lineTo x="800" y="21414"/>
                    <wp:lineTo x="20542" y="21414"/>
                    <wp:lineTo x="20542" y="0"/>
                    <wp:lineTo x="800" y="0"/>
                  </wp:wrapPolygon>
                </wp:wrapTight>
                <wp:docPr id="1800633869" name="Pole tekstowe 1800633869" descr="73,8% rolników uznało, że popyt na produkty wytwarzane w ich gospodarstwach w 1 półroczu 2025 r. nie zmienił się, 18,8% zaobserwowało jego spadek, a pozostali jego wzro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2415" cy="1844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B71C3" w14:textId="77777777" w:rsidR="003B61E1" w:rsidRPr="00E93606" w:rsidRDefault="003B61E1" w:rsidP="003C555C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1D77"/>
                                <w:sz w:val="16"/>
                                <w:szCs w:val="14"/>
                              </w:rPr>
                            </w:pPr>
                            <w:r w:rsidRPr="00E93606"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</w:rPr>
                              <w:t>71,3% rolników specjalizujących się w</w:t>
                            </w:r>
                            <w:r w:rsidR="003C555C" w:rsidRPr="00E93606"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</w:rPr>
                              <w:t>produkcji zwierzęcej uznało, że popyt na produkty wytwarzane w</w:t>
                            </w:r>
                            <w:r w:rsidR="003C555C" w:rsidRPr="00E93606"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E93606"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</w:rPr>
                              <w:t xml:space="preserve">ich gospodarstwach w 1. półroczu 2026 r. nie zmienił się, </w:t>
                            </w:r>
                            <w:bookmarkStart w:id="2" w:name="_Hlk223087930"/>
                            <w:r w:rsidRPr="00E93606"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</w:rPr>
                              <w:t>23,6% zaobserwowało jego spadek, a pozostali jego wzrost</w:t>
                            </w:r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D959D" id="Pole tekstowe 1800633869" o:spid="_x0000_s1035" type="#_x0000_t202" alt="73,8% rolników uznało, że popyt na produkty wytwarzane w ich gospodarstwach w 1 półroczu 2025 r. nie zmienił się, 18,8% zaobserwowało jego spadek, a pozostali jego wzrost" style="position:absolute;margin-left:458.25pt;margin-top:24.6pt;width:121.45pt;height:145.25pt;z-index:-2503055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" filled="f" stroked="f">
                <v:textbox>
                  <w:txbxContent>
                    <w:p w14:paraId="3F0B71C3" w14:textId="77777777" w:rsidR="003B61E1" w:rsidRPr="00E93606" w:rsidRDefault="003B61E1" w:rsidP="003C555C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1D77"/>
                          <w:sz w:val="16"/>
                          <w:szCs w:val="14"/>
                        </w:rPr>
                      </w:pPr>
                      <w:r w:rsidRPr="00E93606"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</w:rPr>
                        <w:t>71,3% rolników specjalizujących się w</w:t>
                      </w:r>
                      <w:r w:rsidR="003C555C" w:rsidRPr="00E93606"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</w:rPr>
                        <w:t>produkcji zwierzęcej uznało, że popyt na produkty wytwarzane w</w:t>
                      </w:r>
                      <w:r w:rsidR="003C555C" w:rsidRPr="00E93606"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E93606"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</w:rPr>
                        <w:t xml:space="preserve">ich gospodarstwach w 1. półroczu 2026 r. nie zmienił się, </w:t>
                      </w:r>
                      <w:bookmarkStart w:id="3" w:name="_Hlk223087930"/>
                      <w:r w:rsidRPr="00E93606"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</w:rPr>
                        <w:t>23,6% zaobserwowało jego spadek, a pozostali jego wzrost</w:t>
                      </w:r>
                      <w:bookmarkEnd w:id="3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6D8" w:rsidRPr="00185238">
        <w:rPr>
          <w:rFonts w:ascii="Fira Sans" w:hAnsi="Fira Sans"/>
          <w:b/>
          <w:color w:val="002060"/>
          <w:sz w:val="19"/>
          <w:szCs w:val="19"/>
        </w:rPr>
        <w:t xml:space="preserve">Popyt na produkty wytwarzane </w:t>
      </w:r>
      <w:r w:rsidR="00D726D8" w:rsidRPr="00B72280">
        <w:rPr>
          <w:rFonts w:ascii="Fira Sans" w:hAnsi="Fira Sans"/>
          <w:b/>
          <w:color w:val="002060"/>
          <w:sz w:val="19"/>
          <w:szCs w:val="19"/>
        </w:rPr>
        <w:t>w gospodarstwach rolnych</w:t>
      </w:r>
    </w:p>
    <w:p w14:paraId="77C0AE83" w14:textId="77777777" w:rsidR="00D726D8" w:rsidRPr="00A85ABE" w:rsidRDefault="00D726D8" w:rsidP="00D726D8">
      <w:pPr>
        <w:spacing w:before="120" w:after="120" w:line="288" w:lineRule="auto"/>
        <w:rPr>
          <w:rFonts w:ascii="Fira Sans" w:hAnsi="Fira Sans" w:cs="Myriad Pro"/>
          <w:iCs/>
          <w:sz w:val="19"/>
          <w:szCs w:val="19"/>
        </w:rPr>
      </w:pPr>
      <w:r w:rsidRPr="00F57F7C">
        <w:rPr>
          <w:rFonts w:ascii="Fira Sans" w:hAnsi="Fira Sans" w:cs="Myriad Pro"/>
          <w:iCs/>
          <w:sz w:val="19"/>
          <w:szCs w:val="19"/>
        </w:rPr>
        <w:t>Wśród użytkowników gospodarstw rolnych przeważały opinie, że w ciągu ostatniego półrocza popyt na produkty wytwarzane w ich gospodarstwach zmniejszył się (saldo minus 25,4).</w:t>
      </w:r>
      <w:r>
        <w:rPr>
          <w:rFonts w:ascii="Fira Sans" w:hAnsi="Fira Sans" w:cs="Myriad Pro"/>
          <w:iCs/>
          <w:sz w:val="19"/>
          <w:szCs w:val="19"/>
        </w:rPr>
        <w:t xml:space="preserve"> </w:t>
      </w:r>
      <w:r w:rsidRPr="002C4311">
        <w:rPr>
          <w:rFonts w:ascii="Fira Sans" w:hAnsi="Fira Sans" w:cs="Myriad Pro"/>
          <w:iCs/>
          <w:sz w:val="19"/>
          <w:szCs w:val="19"/>
        </w:rPr>
        <w:t xml:space="preserve">Mimo to oceny zmiany popytu były mniej pesymistyczne niż w </w:t>
      </w:r>
      <w:r w:rsidR="00A85ABE" w:rsidRPr="002C4311">
        <w:rPr>
          <w:rFonts w:ascii="Fira Sans" w:hAnsi="Fira Sans" w:cs="Myriad Pro"/>
          <w:iCs/>
          <w:sz w:val="19"/>
          <w:szCs w:val="19"/>
        </w:rPr>
        <w:t xml:space="preserve">2. </w:t>
      </w:r>
      <w:r w:rsidRPr="002C4311">
        <w:rPr>
          <w:rFonts w:ascii="Fira Sans" w:hAnsi="Fira Sans" w:cs="Myriad Pro"/>
          <w:iCs/>
          <w:sz w:val="19"/>
          <w:szCs w:val="19"/>
        </w:rPr>
        <w:t xml:space="preserve">półroczu 2025 r. – saldo </w:t>
      </w:r>
      <w:r w:rsidRPr="00A85ABE">
        <w:rPr>
          <w:rFonts w:ascii="Fira Sans" w:hAnsi="Fira Sans" w:cs="Myriad Pro"/>
          <w:iCs/>
          <w:sz w:val="19"/>
          <w:szCs w:val="19"/>
        </w:rPr>
        <w:t>odpowiedzi wzrosło o 3,4 pkt. Natomiast w ujęciu rocznym saldo było niższe o 14,0 pkt.</w:t>
      </w:r>
    </w:p>
    <w:p w14:paraId="35F3D88B" w14:textId="77777777" w:rsidR="00D726D8" w:rsidRPr="00185238" w:rsidRDefault="00D726D8" w:rsidP="00D726D8">
      <w:pPr>
        <w:spacing w:before="360" w:after="120" w:line="240" w:lineRule="auto"/>
        <w:rPr>
          <w:rFonts w:ascii="Fira Sans" w:hAnsi="Fira Sans" w:cs="Myriad Pro"/>
          <w:b/>
          <w:bCs/>
          <w:color w:val="000000"/>
          <w:sz w:val="19"/>
          <w:szCs w:val="19"/>
        </w:rPr>
      </w:pPr>
      <w:r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Wykres 6. </w:t>
      </w:r>
      <w:r w:rsidR="004221E0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Sald</w:t>
      </w:r>
      <w:r w:rsidR="004221E0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o </w:t>
      </w:r>
      <w:r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odpowiedzi dotyczące zmian popytu na produkty wytwarzane w gospodarstwach rolnych według ukierunkowania produkcyjnego</w:t>
      </w:r>
      <w:r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 </w:t>
      </w:r>
    </w:p>
    <w:p w14:paraId="66C71733" w14:textId="77777777" w:rsidR="00D726D8" w:rsidRPr="00185238" w:rsidRDefault="003C555C" w:rsidP="00D726D8">
      <w:pPr>
        <w:spacing w:before="120" w:after="120" w:line="240" w:lineRule="auto"/>
        <w:rPr>
          <w:rFonts w:ascii="Fira Sans" w:hAnsi="Fira Sans" w:cs="Myriad Pro"/>
          <w:b/>
          <w:bCs/>
          <w:color w:val="000000"/>
          <w:sz w:val="19"/>
          <w:szCs w:val="19"/>
        </w:rPr>
      </w:pPr>
      <w:r>
        <w:rPr>
          <w:rFonts w:ascii="Fira Sans" w:hAnsi="Fira Sans" w:cs="Myriad Pro"/>
          <w:b/>
          <w:bCs/>
          <w:noProof/>
          <w:color w:val="000000"/>
          <w:sz w:val="19"/>
          <w:szCs w:val="19"/>
        </w:rPr>
        <w:drawing>
          <wp:inline distT="0" distB="0" distL="0" distR="0" wp14:anchorId="1295624E" wp14:editId="07E9089B">
            <wp:extent cx="5187950" cy="2517775"/>
            <wp:effectExtent l="0" t="0" r="0" b="0"/>
            <wp:docPr id="25" name="Obraz 25" descr="Wykres 6. Saldo odpowiedzi dotyczące zmian popytu na produkty wytwarzane w gospodarstwach rolnych według ukierunkowania produkcyjne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6. Saldo odpowiedzi dotyczące zmian popytu na produkty wytwarzane w gospodarstwach rolnych według ukierunkowania produkcyjnego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D1DD09" w14:textId="77777777" w:rsidR="00CA636F" w:rsidRDefault="00D726D8" w:rsidP="00067F0B">
      <w:pPr>
        <w:spacing w:before="240" w:after="120" w:line="288" w:lineRule="auto"/>
        <w:rPr>
          <w:rFonts w:ascii="Fira Sans" w:hAnsi="Fira Sans"/>
          <w:sz w:val="19"/>
          <w:szCs w:val="19"/>
        </w:rPr>
      </w:pPr>
      <w:r w:rsidRPr="00F71B6F">
        <w:rPr>
          <w:rFonts w:ascii="Fira Sans" w:hAnsi="Fira Sans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11968" behindDoc="1" locked="0" layoutInCell="1" allowOverlap="1" wp14:anchorId="11FBD39D" wp14:editId="04F1F572">
                <wp:simplePos x="0" y="0"/>
                <wp:positionH relativeFrom="page">
                  <wp:posOffset>5859780</wp:posOffset>
                </wp:positionH>
                <wp:positionV relativeFrom="paragraph">
                  <wp:posOffset>92710</wp:posOffset>
                </wp:positionV>
                <wp:extent cx="1502410" cy="1510665"/>
                <wp:effectExtent l="0" t="0" r="0" b="0"/>
                <wp:wrapTight wrapText="bothSides">
                  <wp:wrapPolygon edited="0">
                    <wp:start x="822" y="0"/>
                    <wp:lineTo x="822" y="21246"/>
                    <wp:lineTo x="20541" y="21246"/>
                    <wp:lineTo x="20541" y="0"/>
                    <wp:lineTo x="822" y="0"/>
                  </wp:wrapPolygon>
                </wp:wrapTight>
                <wp:docPr id="2024109078" name="Pole tekstowe 2024109078" descr="68,8% rolników prowadzących chów brojlerów uznało, że popyt na ich produkty nie zmienił się, 27,7% zaobserwowało jego zwiększenie, a pozostali ocenili, że popyt zmniejszył si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151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1A96E" w14:textId="77777777" w:rsidR="003B61E1" w:rsidRPr="00091C02" w:rsidRDefault="003B61E1" w:rsidP="00067F0B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1D77"/>
                                <w:sz w:val="19"/>
                                <w:szCs w:val="19"/>
                              </w:rPr>
                            </w:pPr>
                            <w:r w:rsidRPr="00091C02">
                              <w:rPr>
                                <w:rFonts w:ascii="Fira Sans" w:hAnsi="Fira Sans"/>
                                <w:color w:val="001D77"/>
                                <w:sz w:val="19"/>
                                <w:szCs w:val="19"/>
                              </w:rPr>
                              <w:t>77,9% rolników prowadzących chów drobiu nieśnego uznało, że popyt na ich produkty nie zmienił się, 13,3% zaobserwowało jego spadek, a pozostali jego wzrost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BD39D" id="Pole tekstowe 2024109078" o:spid="_x0000_s1036" type="#_x0000_t202" alt="68,8% rolników prowadzących chów brojlerów uznało, że popyt na ich produkty nie zmienił się, 27,7% zaobserwowało jego zwiększenie, a pozostali ocenili, że popyt zmniejszył się" style="position:absolute;margin-left:461.4pt;margin-top:7.3pt;width:118.3pt;height:118.95pt;z-index:-2503045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" filled="f" stroked="f">
                <v:textbox>
                  <w:txbxContent>
                    <w:p w14:paraId="7961A96E" w14:textId="77777777" w:rsidR="003B61E1" w:rsidRPr="00091C02" w:rsidRDefault="003B61E1" w:rsidP="00067F0B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1D77"/>
                          <w:sz w:val="19"/>
                          <w:szCs w:val="19"/>
                        </w:rPr>
                      </w:pPr>
                      <w:r w:rsidRPr="00091C02">
                        <w:rPr>
                          <w:rFonts w:ascii="Fira Sans" w:hAnsi="Fira Sans"/>
                          <w:color w:val="001D77"/>
                          <w:sz w:val="19"/>
                          <w:szCs w:val="19"/>
                        </w:rPr>
                        <w:t>77,9% rolników prowadzących chów drobiu nieśnego uznało, że popyt na ich produkty nie zmienił się, 13,3% zaobserwowało jego spadek, a pozostali jego wzrost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bookmarkStart w:id="4" w:name="_Hlk241143422"/>
      <w:r w:rsidR="00F71B6F" w:rsidRPr="00F71B6F">
        <w:rPr>
          <w:rFonts w:ascii="Fira Sans" w:hAnsi="Fira Sans"/>
          <w:sz w:val="19"/>
          <w:szCs w:val="19"/>
        </w:rPr>
        <w:t>Biorąc pod uwagę specjalizację gospodarstw rolnych, najbardziej pesymistyczne oceny dotyczące zmiany popytu w 1. półroczu 2026 r. zaobserwowano w gospodarstwach ukierunkowanych na produkcję roślinną (saldo minus 26,4). Wśród nich najniższe saldo odnotowano wśród producentów ziemniaków (minus 40,3) oraz producentów warzyw gruntowych (minus 37,8). W porównaniu z 2. półroczem 2025 r. oceny zmiany popyt</w:t>
      </w:r>
      <w:r w:rsidR="00F71B6F" w:rsidRPr="00BC1C65">
        <w:rPr>
          <w:rFonts w:ascii="Fira Sans" w:hAnsi="Fira Sans"/>
          <w:sz w:val="19"/>
          <w:szCs w:val="19"/>
        </w:rPr>
        <w:t>u</w:t>
      </w:r>
      <w:r w:rsidR="00F71B6F" w:rsidRPr="00F71B6F">
        <w:rPr>
          <w:rFonts w:ascii="Fira Sans" w:hAnsi="Fira Sans"/>
          <w:sz w:val="19"/>
          <w:szCs w:val="19"/>
        </w:rPr>
        <w:t xml:space="preserve"> poprawiły się w większości gospodarstw. Natomiast w porównaniu z 1. półroczem 2025 r. poprawę odnotowano wśród producentów roślin klasyfikowanych jako pozostałe przemysłowe – saldo wzrosło o 1,3 pkt</w:t>
      </w:r>
      <w:bookmarkStart w:id="5" w:name="_Hlk223426634"/>
      <w:bookmarkEnd w:id="4"/>
      <w:r w:rsidR="00CA636F">
        <w:rPr>
          <w:rFonts w:ascii="Fira Sans" w:hAnsi="Fira Sans"/>
          <w:sz w:val="19"/>
          <w:szCs w:val="19"/>
        </w:rPr>
        <w:t xml:space="preserve">. </w:t>
      </w:r>
    </w:p>
    <w:p w14:paraId="5419967B" w14:textId="77777777" w:rsidR="00A752EB" w:rsidRDefault="00A752EB" w:rsidP="00A752EB">
      <w:pPr>
        <w:spacing w:before="120" w:after="120" w:line="288" w:lineRule="auto"/>
        <w:rPr>
          <w:rFonts w:ascii="Fira Sans" w:eastAsia="Fira Sans Light" w:hAnsi="Fira Sans" w:cs="Times New Roman"/>
          <w:sz w:val="19"/>
          <w:szCs w:val="19"/>
        </w:rPr>
      </w:pPr>
      <w:r w:rsidRPr="00A752EB">
        <w:rPr>
          <w:rFonts w:ascii="Fira Sans" w:eastAsia="Fira Sans Light" w:hAnsi="Fira Sans" w:cs="Times New Roman"/>
          <w:sz w:val="19"/>
          <w:szCs w:val="19"/>
        </w:rPr>
        <w:t>Wśród gospodarstw ukierunkowanych na produkcję zwierzęcą oceny rolników dotyczące zmiany popytu na produkty wytwarzane w ich gospodarstwach były najmniej pesymistyczne (saldo minus 18,5). Szczególnie wyróżniały się gospodarstwa prowadzące chów owiec, w</w:t>
      </w:r>
      <w:r w:rsidR="00067F0B">
        <w:rPr>
          <w:rFonts w:ascii="Fira Sans" w:eastAsia="Fira Sans Light" w:hAnsi="Fira Sans" w:cs="Times New Roman"/>
          <w:sz w:val="19"/>
          <w:szCs w:val="19"/>
        </w:rPr>
        <w:t> </w:t>
      </w:r>
      <w:r w:rsidRPr="00A752EB">
        <w:rPr>
          <w:rFonts w:ascii="Fira Sans" w:eastAsia="Fira Sans Light" w:hAnsi="Fira Sans" w:cs="Times New Roman"/>
          <w:sz w:val="19"/>
          <w:szCs w:val="19"/>
        </w:rPr>
        <w:t>których przeważały opinie o wzroście popytu – saldo było dodatnie i wyniosło 15,1. W</w:t>
      </w:r>
      <w:r w:rsidR="00067F0B">
        <w:rPr>
          <w:rFonts w:ascii="Fira Sans" w:eastAsia="Fira Sans Light" w:hAnsi="Fira Sans" w:cs="Times New Roman"/>
          <w:sz w:val="19"/>
          <w:szCs w:val="19"/>
        </w:rPr>
        <w:t> </w:t>
      </w:r>
      <w:r w:rsidRPr="00A752EB">
        <w:rPr>
          <w:rFonts w:ascii="Fira Sans" w:eastAsia="Fira Sans Light" w:hAnsi="Fira Sans" w:cs="Times New Roman"/>
          <w:sz w:val="19"/>
          <w:szCs w:val="19"/>
        </w:rPr>
        <w:t>tej</w:t>
      </w:r>
      <w:r w:rsidR="00067F0B">
        <w:rPr>
          <w:rFonts w:ascii="Fira Sans" w:eastAsia="Fira Sans Light" w:hAnsi="Fira Sans" w:cs="Times New Roman"/>
          <w:sz w:val="19"/>
          <w:szCs w:val="19"/>
        </w:rPr>
        <w:t> </w:t>
      </w:r>
      <w:r w:rsidRPr="00A752EB">
        <w:rPr>
          <w:rFonts w:ascii="Fira Sans" w:eastAsia="Fira Sans Light" w:hAnsi="Fira Sans" w:cs="Times New Roman"/>
          <w:sz w:val="19"/>
          <w:szCs w:val="19"/>
        </w:rPr>
        <w:t>grupie odnotowano również poprawę ocen w porównaniu z wcześniejszymi okresami – saldo wzrosło o 20,2 pkt w porównaniu z 2. półroczem 2025 r. oraz o 41,6 pkt w porównaniu z</w:t>
      </w:r>
      <w:r w:rsidR="00067F0B">
        <w:rPr>
          <w:rFonts w:ascii="Fira Sans" w:eastAsia="Fira Sans Light" w:hAnsi="Fira Sans" w:cs="Times New Roman"/>
          <w:sz w:val="19"/>
          <w:szCs w:val="19"/>
        </w:rPr>
        <w:t> </w:t>
      </w:r>
      <w:r w:rsidRPr="00A752EB">
        <w:rPr>
          <w:rFonts w:ascii="Fira Sans" w:eastAsia="Fira Sans Light" w:hAnsi="Fira Sans" w:cs="Times New Roman"/>
          <w:sz w:val="19"/>
          <w:szCs w:val="19"/>
        </w:rPr>
        <w:t>1. półroczem 2025 r. Poprawę ocen odnotowano także w gospodarstwach prowadzących chów koni – odpowiednio o 21,4 pkt i o 28,2 pkt.</w:t>
      </w:r>
      <w:r>
        <w:rPr>
          <w:rFonts w:ascii="Fira Sans" w:eastAsia="Fira Sans Light" w:hAnsi="Fira Sans" w:cs="Times New Roman"/>
          <w:sz w:val="19"/>
          <w:szCs w:val="19"/>
        </w:rPr>
        <w:t xml:space="preserve"> </w:t>
      </w:r>
      <w:bookmarkEnd w:id="5"/>
    </w:p>
    <w:p w14:paraId="74AEE265" w14:textId="77777777" w:rsidR="00D726D8" w:rsidRPr="00185238" w:rsidRDefault="00D726D8" w:rsidP="00D726D8">
      <w:pPr>
        <w:spacing w:before="360" w:after="120" w:line="240" w:lineRule="auto"/>
        <w:rPr>
          <w:rFonts w:ascii="Fira Sans" w:hAnsi="Fira Sans"/>
          <w:b/>
          <w:bCs/>
          <w:color w:val="000000" w:themeColor="text1"/>
          <w:sz w:val="19"/>
          <w:szCs w:val="19"/>
        </w:rPr>
      </w:pPr>
      <w:r w:rsidRPr="00185238">
        <w:rPr>
          <w:rFonts w:ascii="Fira Sans" w:hAnsi="Fira Sans"/>
          <w:b/>
          <w:bCs/>
          <w:color w:val="000000" w:themeColor="text1"/>
          <w:sz w:val="19"/>
          <w:szCs w:val="19"/>
        </w:rPr>
        <w:lastRenderedPageBreak/>
        <w:t xml:space="preserve">Wykres 7. </w:t>
      </w:r>
      <w:r w:rsidR="004221E0" w:rsidRPr="00C8721D">
        <w:rPr>
          <w:rFonts w:ascii="Fira Sans" w:hAnsi="Fira Sans"/>
          <w:b/>
          <w:bCs/>
          <w:color w:val="000000" w:themeColor="text1"/>
          <w:sz w:val="19"/>
          <w:szCs w:val="19"/>
        </w:rPr>
        <w:t>Sald</w:t>
      </w:r>
      <w:r w:rsidR="004221E0">
        <w:rPr>
          <w:rFonts w:ascii="Fira Sans" w:hAnsi="Fira Sans"/>
          <w:b/>
          <w:bCs/>
          <w:color w:val="000000" w:themeColor="text1"/>
          <w:sz w:val="19"/>
          <w:szCs w:val="19"/>
        </w:rPr>
        <w:t>o</w:t>
      </w:r>
      <w:r w:rsidR="004221E0" w:rsidRPr="00C8721D">
        <w:rPr>
          <w:rFonts w:ascii="Fira Sans" w:hAnsi="Fira Sans"/>
          <w:b/>
          <w:bCs/>
          <w:color w:val="000000" w:themeColor="text1"/>
          <w:sz w:val="19"/>
          <w:szCs w:val="19"/>
        </w:rPr>
        <w:t xml:space="preserve"> </w:t>
      </w:r>
      <w:r w:rsidRPr="00C8721D">
        <w:rPr>
          <w:rFonts w:ascii="Fira Sans" w:hAnsi="Fira Sans"/>
          <w:b/>
          <w:bCs/>
          <w:color w:val="000000" w:themeColor="text1"/>
          <w:sz w:val="19"/>
          <w:szCs w:val="19"/>
        </w:rPr>
        <w:t>odpowiedzi dotyczące zmiany opłacalności produkcji rolniczej i</w:t>
      </w:r>
      <w:r w:rsidR="006A2907">
        <w:rPr>
          <w:rFonts w:ascii="Fira Sans" w:hAnsi="Fira Sans"/>
          <w:b/>
          <w:bCs/>
          <w:color w:val="000000" w:themeColor="text1"/>
          <w:sz w:val="19"/>
          <w:szCs w:val="19"/>
        </w:rPr>
        <w:t> </w:t>
      </w:r>
      <w:r w:rsidR="004221E0">
        <w:rPr>
          <w:rFonts w:ascii="Fira Sans" w:hAnsi="Fira Sans"/>
          <w:b/>
          <w:bCs/>
          <w:color w:val="000000" w:themeColor="text1"/>
          <w:sz w:val="19"/>
          <w:szCs w:val="19"/>
        </w:rPr>
        <w:t>zmiany</w:t>
      </w:r>
      <w:r w:rsidRPr="00C8721D">
        <w:rPr>
          <w:rFonts w:ascii="Fira Sans" w:hAnsi="Fira Sans"/>
          <w:b/>
          <w:bCs/>
          <w:color w:val="000000" w:themeColor="text1"/>
          <w:sz w:val="19"/>
          <w:szCs w:val="19"/>
        </w:rPr>
        <w:t xml:space="preserve"> popytu na produkty rolne </w:t>
      </w:r>
      <w:r w:rsidR="00272C4F" w:rsidRPr="00C8721D">
        <w:rPr>
          <w:rFonts w:ascii="Fira Sans" w:hAnsi="Fira Sans"/>
          <w:b/>
          <w:bCs/>
          <w:color w:val="000000" w:themeColor="text1"/>
          <w:sz w:val="19"/>
          <w:szCs w:val="19"/>
        </w:rPr>
        <w:t>w 1</w:t>
      </w:r>
      <w:r w:rsidR="004221E0">
        <w:rPr>
          <w:rFonts w:ascii="Fira Sans" w:hAnsi="Fira Sans"/>
          <w:b/>
          <w:bCs/>
          <w:color w:val="000000" w:themeColor="text1"/>
          <w:sz w:val="19"/>
          <w:szCs w:val="19"/>
        </w:rPr>
        <w:t>.</w:t>
      </w:r>
      <w:r w:rsidR="00272C4F" w:rsidRPr="00C8721D">
        <w:rPr>
          <w:rFonts w:ascii="Fira Sans" w:hAnsi="Fira Sans"/>
          <w:b/>
          <w:bCs/>
          <w:color w:val="000000" w:themeColor="text1"/>
          <w:sz w:val="19"/>
          <w:szCs w:val="19"/>
        </w:rPr>
        <w:t xml:space="preserve"> półroczu </w:t>
      </w:r>
      <w:r w:rsidR="00C8721D" w:rsidRPr="00C8721D">
        <w:rPr>
          <w:rFonts w:ascii="Fira Sans" w:hAnsi="Fira Sans"/>
          <w:b/>
          <w:bCs/>
          <w:color w:val="000000" w:themeColor="text1"/>
          <w:sz w:val="19"/>
          <w:szCs w:val="19"/>
        </w:rPr>
        <w:t xml:space="preserve">2026 r. </w:t>
      </w:r>
      <w:r w:rsidRPr="00C8721D">
        <w:rPr>
          <w:rFonts w:ascii="Fira Sans" w:hAnsi="Fira Sans"/>
          <w:b/>
          <w:bCs/>
          <w:color w:val="000000" w:themeColor="text1"/>
          <w:sz w:val="19"/>
          <w:szCs w:val="19"/>
        </w:rPr>
        <w:t>według ukierunkowania produkcyjnego</w:t>
      </w:r>
      <w:r>
        <w:rPr>
          <w:rFonts w:ascii="Fira Sans" w:hAnsi="Fira Sans"/>
          <w:b/>
          <w:bCs/>
          <w:color w:val="000000" w:themeColor="text1"/>
          <w:sz w:val="19"/>
          <w:szCs w:val="19"/>
        </w:rPr>
        <w:t xml:space="preserve"> </w:t>
      </w:r>
    </w:p>
    <w:p w14:paraId="7430243D" w14:textId="77777777" w:rsidR="00D726D8" w:rsidRPr="00185238" w:rsidRDefault="00F808DE" w:rsidP="00D726D8">
      <w:pPr>
        <w:spacing w:before="120" w:after="120" w:line="240" w:lineRule="auto"/>
        <w:rPr>
          <w:rFonts w:ascii="Fira Sans" w:hAnsi="Fira Sans"/>
          <w:b/>
          <w:bCs/>
          <w:color w:val="000000" w:themeColor="text1"/>
          <w:sz w:val="19"/>
          <w:szCs w:val="19"/>
        </w:rPr>
      </w:pPr>
      <w:r>
        <w:rPr>
          <w:rFonts w:ascii="Fira Sans" w:hAnsi="Fira Sans"/>
          <w:b/>
          <w:bCs/>
          <w:noProof/>
          <w:color w:val="000000" w:themeColor="text1"/>
          <w:sz w:val="19"/>
          <w:szCs w:val="19"/>
        </w:rPr>
        <w:drawing>
          <wp:inline distT="0" distB="0" distL="0" distR="0" wp14:anchorId="5161CDDC" wp14:editId="30235AA6">
            <wp:extent cx="5182235" cy="2524125"/>
            <wp:effectExtent l="0" t="0" r="0" b="9525"/>
            <wp:docPr id="27" name="Obraz 27" descr="Wykres 7. Saldo odpowiedzi dotyczące zmiany opłacalności produkcji rolniczej i zmiany popytu na produkty rolne w 1. półroczu 2026 r. według ukierunkowania produkcyjne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ykres 7. Saldo odpowiedzi dotyczące zmiany opłacalności produkcji rolniczej i zmiany popytu na produkty rolne w 1. półroczu 2026 r. według ukierunkowania produkcyjnego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B398F" w14:textId="77777777" w:rsidR="00D726D8" w:rsidRPr="00952523" w:rsidRDefault="00952523" w:rsidP="004A6FAE">
      <w:pPr>
        <w:spacing w:before="240" w:after="120" w:line="288" w:lineRule="auto"/>
        <w:rPr>
          <w:rFonts w:ascii="Fira Sans" w:eastAsia="Calibri" w:hAnsi="Fira Sans" w:cs="Times New Roman"/>
          <w:sz w:val="19"/>
          <w:szCs w:val="19"/>
        </w:rPr>
      </w:pPr>
      <w:r w:rsidRPr="00952523">
        <w:rPr>
          <w:rFonts w:ascii="Fira Sans" w:hAnsi="Fira Sans"/>
          <w:sz w:val="19"/>
          <w:szCs w:val="19"/>
        </w:rPr>
        <w:t>Uwzględniając wielkość gospodarstwa, najniższą wartość salda odpowiedzi na pytanie o</w:t>
      </w:r>
      <w:r w:rsidR="004A6FAE">
        <w:rPr>
          <w:rFonts w:ascii="Fira Sans" w:hAnsi="Fira Sans"/>
          <w:sz w:val="19"/>
          <w:szCs w:val="19"/>
        </w:rPr>
        <w:t> </w:t>
      </w:r>
      <w:r w:rsidRPr="00952523">
        <w:rPr>
          <w:rFonts w:ascii="Fira Sans" w:hAnsi="Fira Sans"/>
          <w:sz w:val="19"/>
          <w:szCs w:val="19"/>
        </w:rPr>
        <w:t>zmiany popytu odnotowano w gospodarstwach o powierzchni od 15 do 20 ha (minus 27,0). Jednocześnie w porównaniu z 2. półroczem 2025 r. oceny zmiany popytu poprawiły się w</w:t>
      </w:r>
      <w:r w:rsidR="004A6FAE">
        <w:rPr>
          <w:rFonts w:ascii="Fira Sans" w:hAnsi="Fira Sans"/>
          <w:sz w:val="19"/>
          <w:szCs w:val="19"/>
        </w:rPr>
        <w:t> </w:t>
      </w:r>
      <w:r w:rsidRPr="00952523">
        <w:rPr>
          <w:rFonts w:ascii="Fira Sans" w:hAnsi="Fira Sans"/>
          <w:sz w:val="19"/>
          <w:szCs w:val="19"/>
        </w:rPr>
        <w:t xml:space="preserve">niemal wszystkich grupach obszarowych. </w:t>
      </w:r>
    </w:p>
    <w:p w14:paraId="5C0C1776" w14:textId="77777777" w:rsidR="00D726D8" w:rsidRPr="00F05812" w:rsidRDefault="00D726D8" w:rsidP="00D726D8">
      <w:pPr>
        <w:spacing w:before="360" w:after="120" w:line="240" w:lineRule="auto"/>
        <w:rPr>
          <w:rFonts w:ascii="Fira Sans" w:hAnsi="Fira Sans"/>
          <w:b/>
          <w:sz w:val="24"/>
          <w:szCs w:val="24"/>
        </w:rPr>
      </w:pPr>
      <w:bookmarkStart w:id="6" w:name="_Hlk239944057"/>
      <w:bookmarkEnd w:id="6"/>
      <w:r w:rsidRPr="00185238">
        <w:rPr>
          <w:rFonts w:ascii="Fira Sans" w:hAnsi="Fira Sans"/>
          <w:b/>
          <w:color w:val="002060"/>
          <w:sz w:val="24"/>
          <w:szCs w:val="24"/>
        </w:rPr>
        <w:t xml:space="preserve">Prognoza </w:t>
      </w:r>
      <w:bookmarkStart w:id="7" w:name="_Hlk240530769"/>
      <w:r w:rsidRPr="00185238">
        <w:rPr>
          <w:rFonts w:ascii="Fira Sans" w:hAnsi="Fira Sans"/>
          <w:b/>
          <w:color w:val="002060"/>
          <w:sz w:val="24"/>
          <w:szCs w:val="24"/>
        </w:rPr>
        <w:t>sytuacji gospodarstw rolnych</w:t>
      </w:r>
      <w:r>
        <w:rPr>
          <w:rFonts w:ascii="Fira Sans" w:hAnsi="Fira Sans"/>
          <w:b/>
          <w:color w:val="002060"/>
          <w:sz w:val="24"/>
          <w:szCs w:val="24"/>
        </w:rPr>
        <w:t xml:space="preserve"> </w:t>
      </w:r>
      <w:bookmarkEnd w:id="7"/>
    </w:p>
    <w:p w14:paraId="56ECF517" w14:textId="77777777" w:rsidR="00D726D8" w:rsidRDefault="00D726D8" w:rsidP="00D726D8">
      <w:pPr>
        <w:spacing w:before="360" w:after="120" w:line="240" w:lineRule="auto"/>
        <w:rPr>
          <w:rFonts w:ascii="Fira Sans" w:hAnsi="Fira Sans"/>
          <w:b/>
          <w:color w:val="002060"/>
          <w:sz w:val="19"/>
          <w:szCs w:val="19"/>
        </w:rPr>
      </w:pPr>
      <w:r w:rsidRPr="00185238">
        <w:rPr>
          <w:rFonts w:ascii="Fira Sans" w:hAnsi="Fira Sans"/>
          <w:b/>
          <w:color w:val="002060"/>
          <w:sz w:val="19"/>
          <w:szCs w:val="19"/>
        </w:rPr>
        <w:t>Opłacalność produkcji rolniczej</w:t>
      </w:r>
    </w:p>
    <w:p w14:paraId="5B834A6C" w14:textId="77777777" w:rsidR="00D726D8" w:rsidRPr="00E54625" w:rsidRDefault="00A24616" w:rsidP="00D726D8">
      <w:pPr>
        <w:spacing w:before="120" w:after="120" w:line="288" w:lineRule="auto"/>
      </w:pPr>
      <w:r w:rsidRPr="00A24616">
        <w:rPr>
          <w:rFonts w:ascii="Fira Sans" w:hAnsi="Fira Sans"/>
          <w:bCs/>
          <w:sz w:val="19"/>
          <w:szCs w:val="19"/>
        </w:rPr>
        <w:t>Prognozy użytkowników gospodarstw rolnych dotyczące opłacalności produkcji rolniczej w</w:t>
      </w:r>
      <w:r w:rsidR="00F2379F">
        <w:rPr>
          <w:rFonts w:ascii="Fira Sans" w:hAnsi="Fira Sans"/>
          <w:bCs/>
          <w:sz w:val="19"/>
          <w:szCs w:val="19"/>
        </w:rPr>
        <w:t> </w:t>
      </w:r>
      <w:r w:rsidRPr="00A24616">
        <w:rPr>
          <w:rFonts w:ascii="Fira Sans" w:hAnsi="Fira Sans"/>
          <w:bCs/>
          <w:sz w:val="19"/>
          <w:szCs w:val="19"/>
        </w:rPr>
        <w:t>2.</w:t>
      </w:r>
      <w:r w:rsidR="00F2379F">
        <w:rPr>
          <w:rFonts w:ascii="Fira Sans" w:hAnsi="Fira Sans"/>
          <w:bCs/>
          <w:sz w:val="19"/>
          <w:szCs w:val="19"/>
        </w:rPr>
        <w:t> </w:t>
      </w:r>
      <w:r w:rsidRPr="00A24616">
        <w:rPr>
          <w:rFonts w:ascii="Fira Sans" w:hAnsi="Fira Sans"/>
          <w:bCs/>
          <w:sz w:val="19"/>
          <w:szCs w:val="19"/>
        </w:rPr>
        <w:t>półroczu 2026 r. były pesymistyczne. Saldo odpowiedzi wyniosło minus 41,0, co oznacza przewagę rolników spodziewających się pogorszenia opłacalności produkcji nad prognozującymi jej poprawę.</w:t>
      </w:r>
      <w:r>
        <w:rPr>
          <w:rFonts w:ascii="Fira Sans" w:hAnsi="Fira Sans"/>
          <w:bCs/>
          <w:sz w:val="19"/>
          <w:szCs w:val="19"/>
        </w:rPr>
        <w:t xml:space="preserve"> </w:t>
      </w:r>
      <w:r w:rsidR="00D726D8" w:rsidRPr="00E54625">
        <w:rPr>
          <w:rFonts w:ascii="Fira Sans" w:hAnsi="Fira Sans"/>
          <w:bCs/>
          <w:sz w:val="19"/>
          <w:szCs w:val="19"/>
        </w:rPr>
        <w:t xml:space="preserve">Jednak w porównaniu z przewidywaniami na </w:t>
      </w:r>
      <w:r w:rsidR="005F7DD6">
        <w:rPr>
          <w:rFonts w:ascii="Fira Sans" w:hAnsi="Fira Sans"/>
          <w:bCs/>
          <w:sz w:val="19"/>
          <w:szCs w:val="19"/>
        </w:rPr>
        <w:t>1.</w:t>
      </w:r>
      <w:r w:rsidR="005F7DD6" w:rsidRPr="00E54625">
        <w:rPr>
          <w:rFonts w:ascii="Fira Sans" w:hAnsi="Fira Sans"/>
          <w:bCs/>
          <w:sz w:val="19"/>
          <w:szCs w:val="19"/>
        </w:rPr>
        <w:t xml:space="preserve"> </w:t>
      </w:r>
      <w:r w:rsidR="00D726D8" w:rsidRPr="00E54625">
        <w:rPr>
          <w:rFonts w:ascii="Fira Sans" w:hAnsi="Fira Sans"/>
          <w:bCs/>
          <w:sz w:val="19"/>
          <w:szCs w:val="19"/>
        </w:rPr>
        <w:t>półrocze 2026 r. prognozy te były mniej pesymistyczne – saldo odpowiedzi wzrosło o 4,4 pkt. Natomiast w</w:t>
      </w:r>
      <w:r w:rsidR="00F2379F">
        <w:rPr>
          <w:rFonts w:ascii="Fira Sans" w:hAnsi="Fira Sans"/>
          <w:bCs/>
          <w:sz w:val="19"/>
          <w:szCs w:val="19"/>
        </w:rPr>
        <w:t> </w:t>
      </w:r>
      <w:r w:rsidR="00D726D8" w:rsidRPr="00E54625">
        <w:rPr>
          <w:rFonts w:ascii="Fira Sans" w:hAnsi="Fira Sans"/>
          <w:bCs/>
          <w:sz w:val="19"/>
          <w:szCs w:val="19"/>
        </w:rPr>
        <w:t xml:space="preserve">porównaniu z prognozami na </w:t>
      </w:r>
      <w:r w:rsidR="005F7DD6">
        <w:rPr>
          <w:rFonts w:ascii="Fira Sans" w:hAnsi="Fira Sans"/>
          <w:bCs/>
          <w:sz w:val="19"/>
          <w:szCs w:val="19"/>
        </w:rPr>
        <w:t>2.</w:t>
      </w:r>
      <w:r w:rsidR="005F7DD6" w:rsidRPr="00E54625">
        <w:rPr>
          <w:rFonts w:ascii="Fira Sans" w:hAnsi="Fira Sans"/>
          <w:bCs/>
          <w:sz w:val="19"/>
          <w:szCs w:val="19"/>
        </w:rPr>
        <w:t xml:space="preserve"> </w:t>
      </w:r>
      <w:r w:rsidR="00D726D8" w:rsidRPr="00E54625">
        <w:rPr>
          <w:rFonts w:ascii="Fira Sans" w:hAnsi="Fira Sans"/>
          <w:bCs/>
          <w:sz w:val="19"/>
          <w:szCs w:val="19"/>
        </w:rPr>
        <w:t xml:space="preserve">półrocze 2025 r. saldo odpowiedzi </w:t>
      </w:r>
      <w:r w:rsidR="005F7DD6">
        <w:rPr>
          <w:rFonts w:ascii="Fira Sans" w:hAnsi="Fira Sans"/>
          <w:bCs/>
          <w:sz w:val="19"/>
          <w:szCs w:val="19"/>
        </w:rPr>
        <w:t>zmniejszyło się</w:t>
      </w:r>
      <w:r w:rsidR="00D726D8" w:rsidRPr="00E54625">
        <w:rPr>
          <w:rFonts w:ascii="Fira Sans" w:hAnsi="Fira Sans"/>
          <w:bCs/>
          <w:sz w:val="19"/>
          <w:szCs w:val="19"/>
        </w:rPr>
        <w:t xml:space="preserve"> </w:t>
      </w:r>
      <w:r w:rsidR="00246328">
        <w:rPr>
          <w:rFonts w:ascii="Fira Sans" w:hAnsi="Fira Sans"/>
          <w:bCs/>
          <w:sz w:val="19"/>
          <w:szCs w:val="19"/>
        </w:rPr>
        <w:t>o </w:t>
      </w:r>
      <w:r w:rsidR="00D726D8" w:rsidRPr="00E54625">
        <w:rPr>
          <w:rFonts w:ascii="Fira Sans" w:hAnsi="Fira Sans"/>
          <w:bCs/>
          <w:sz w:val="19"/>
          <w:szCs w:val="19"/>
        </w:rPr>
        <w:t>14,4</w:t>
      </w:r>
      <w:r w:rsidR="00246328">
        <w:rPr>
          <w:rFonts w:ascii="Fira Sans" w:hAnsi="Fira Sans"/>
          <w:bCs/>
          <w:sz w:val="19"/>
          <w:szCs w:val="19"/>
        </w:rPr>
        <w:t> </w:t>
      </w:r>
      <w:r w:rsidR="00D726D8" w:rsidRPr="00E54625">
        <w:rPr>
          <w:rFonts w:ascii="Fira Sans" w:hAnsi="Fira Sans"/>
          <w:bCs/>
          <w:sz w:val="19"/>
          <w:szCs w:val="19"/>
        </w:rPr>
        <w:t>pkt</w:t>
      </w:r>
      <w:r w:rsidR="00D726D8">
        <w:rPr>
          <w:rFonts w:ascii="Fira Sans" w:hAnsi="Fira Sans"/>
          <w:bCs/>
          <w:sz w:val="19"/>
          <w:szCs w:val="19"/>
        </w:rPr>
        <w:t>.</w:t>
      </w:r>
      <w:r w:rsidR="00D726D8" w:rsidRPr="00E54625">
        <w:rPr>
          <w:rFonts w:ascii="Fira Sans" w:hAnsi="Fira Sans"/>
          <w:bCs/>
          <w:sz w:val="19"/>
          <w:szCs w:val="19"/>
        </w:rPr>
        <w:t xml:space="preserve"> </w:t>
      </w:r>
    </w:p>
    <w:p w14:paraId="56CAED9F" w14:textId="77777777" w:rsidR="00D726D8" w:rsidRDefault="00D726D8" w:rsidP="00D726D8">
      <w:pPr>
        <w:spacing w:before="120" w:after="120" w:line="288" w:lineRule="auto"/>
        <w:rPr>
          <w:rFonts w:ascii="Fira Sans" w:hAnsi="Fira Sans"/>
          <w:sz w:val="19"/>
          <w:szCs w:val="19"/>
        </w:rPr>
      </w:pPr>
      <w:r w:rsidRPr="0088293F">
        <w:rPr>
          <w:rFonts w:ascii="Fira Sans" w:hAnsi="Fira Sans"/>
          <w:bCs/>
          <w:sz w:val="19"/>
          <w:szCs w:val="19"/>
        </w:rPr>
        <w:t xml:space="preserve">Biorąc pod uwagę rodzaj działalności gospodarstw rolnych, najbardziej pesymistyczne prognozy odnotowano wśród gospodarstw ukierunkowanych na produkcję roślinną (saldo minus 41,8). W grupie tej na </w:t>
      </w:r>
      <w:r w:rsidRPr="00BC2BCF">
        <w:rPr>
          <w:rFonts w:ascii="Fira Sans" w:hAnsi="Fira Sans"/>
          <w:bCs/>
          <w:sz w:val="19"/>
          <w:szCs w:val="19"/>
        </w:rPr>
        <w:t>pogorszenie</w:t>
      </w:r>
      <w:r w:rsidRPr="0088293F">
        <w:rPr>
          <w:rFonts w:ascii="Fira Sans" w:hAnsi="Fira Sans"/>
          <w:bCs/>
          <w:sz w:val="19"/>
          <w:szCs w:val="19"/>
        </w:rPr>
        <w:t xml:space="preserve"> opłacalności wskazywano przede wszystkim w</w:t>
      </w:r>
      <w:r w:rsidR="00F2379F">
        <w:rPr>
          <w:rFonts w:ascii="Fira Sans" w:hAnsi="Fira Sans"/>
          <w:bCs/>
          <w:sz w:val="19"/>
          <w:szCs w:val="19"/>
        </w:rPr>
        <w:t> </w:t>
      </w:r>
      <w:r w:rsidRPr="0088293F">
        <w:rPr>
          <w:rFonts w:ascii="Fira Sans" w:hAnsi="Fira Sans"/>
          <w:bCs/>
          <w:sz w:val="19"/>
          <w:szCs w:val="19"/>
        </w:rPr>
        <w:t xml:space="preserve">gospodarstwach prowadzących uprawę buraków cukrowych (saldo minus 50,8) oraz rzepaku i rzepiku (saldo minus 44,4). Z kolei najmniej pesymistyczne prognozy zaobserwowano w grupie gospodarstw ukierunkowanych na produkcję zwierzęcą (saldo minus 32,3). </w:t>
      </w:r>
      <w:r w:rsidRPr="00BC2BCF">
        <w:rPr>
          <w:rFonts w:ascii="Fira Sans" w:hAnsi="Fira Sans"/>
          <w:sz w:val="19"/>
          <w:szCs w:val="19"/>
        </w:rPr>
        <w:t>W tej grupie najniższe wartości salda odnotowano w gospodarstwach prowadzących chów owiec (minus 42,6) oraz bydła mlecznego (minus 38,4).</w:t>
      </w:r>
    </w:p>
    <w:p w14:paraId="420AC52D" w14:textId="77777777" w:rsidR="00D726D8" w:rsidRDefault="00D726D8" w:rsidP="00246328">
      <w:pPr>
        <w:keepNext/>
        <w:spacing w:before="360" w:after="120" w:line="240" w:lineRule="auto"/>
        <w:rPr>
          <w:rFonts w:ascii="Fira Sans" w:hAnsi="Fira Sans" w:cs="Myriad Pro"/>
          <w:b/>
          <w:bCs/>
          <w:color w:val="000000"/>
          <w:sz w:val="19"/>
          <w:szCs w:val="19"/>
        </w:rPr>
      </w:pPr>
      <w:r w:rsidRPr="00185238">
        <w:rPr>
          <w:rFonts w:ascii="Fira Sans" w:hAnsi="Fira Sans" w:cs="Myriad Pro"/>
          <w:b/>
          <w:bCs/>
          <w:color w:val="000000"/>
          <w:sz w:val="19"/>
          <w:szCs w:val="19"/>
        </w:rPr>
        <w:lastRenderedPageBreak/>
        <w:t xml:space="preserve">Wykres 8. </w:t>
      </w:r>
      <w:r w:rsidR="004221E0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Sald</w:t>
      </w:r>
      <w:r w:rsidR="004221E0">
        <w:rPr>
          <w:rFonts w:ascii="Fira Sans" w:hAnsi="Fira Sans" w:cs="Myriad Pro"/>
          <w:b/>
          <w:bCs/>
          <w:color w:val="000000"/>
          <w:sz w:val="19"/>
          <w:szCs w:val="19"/>
        </w:rPr>
        <w:t>o</w:t>
      </w:r>
      <w:r w:rsidR="004221E0"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 xml:space="preserve"> </w:t>
      </w:r>
      <w:r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odpowiedzi dotyczące prognozowanej opłacalności produkcji rolniczej według ukierunkowania produkcyjnego</w:t>
      </w:r>
    </w:p>
    <w:p w14:paraId="323B3613" w14:textId="77777777" w:rsidR="00D726D8" w:rsidRPr="00185238" w:rsidRDefault="00CF3C5C" w:rsidP="00F2379F">
      <w:pPr>
        <w:spacing w:before="120" w:after="120" w:line="240" w:lineRule="auto"/>
        <w:rPr>
          <w:rFonts w:ascii="Fira Sans" w:hAnsi="Fira Sans" w:cs="Myriad Pro"/>
          <w:b/>
          <w:bCs/>
          <w:color w:val="000000"/>
          <w:sz w:val="19"/>
          <w:szCs w:val="19"/>
        </w:rPr>
      </w:pPr>
      <w:r w:rsidRPr="00185238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16064" behindDoc="1" locked="0" layoutInCell="1" allowOverlap="1" wp14:anchorId="57595118" wp14:editId="1888E7CD">
                <wp:simplePos x="0" y="0"/>
                <wp:positionH relativeFrom="page">
                  <wp:posOffset>5818505</wp:posOffset>
                </wp:positionH>
                <wp:positionV relativeFrom="paragraph">
                  <wp:posOffset>165735</wp:posOffset>
                </wp:positionV>
                <wp:extent cx="1701800" cy="1835150"/>
                <wp:effectExtent l="0" t="0" r="0" b="0"/>
                <wp:wrapTight wrapText="bothSides">
                  <wp:wrapPolygon edited="0">
                    <wp:start x="725" y="0"/>
                    <wp:lineTo x="725" y="21301"/>
                    <wp:lineTo x="20794" y="21301"/>
                    <wp:lineTo x="20794" y="0"/>
                    <wp:lineTo x="725" y="0"/>
                  </wp:wrapPolygon>
                </wp:wrapTight>
                <wp:docPr id="541070086" name="Pole tekstowe 541070086" descr="63,3% rolników zajmujących się uprawą buraków cukrowych prognozuje pogorszenie opłacalność produkcji rolniczej w najbliższym półroczu, a 2,0% spodziewa się poprawy. Pozostali przewidują, że opłacalność produkcji rolniczej pozostanie na niezmienionym poziom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83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C07A4" w14:textId="77777777" w:rsidR="003B61E1" w:rsidRPr="00E93606" w:rsidRDefault="003B61E1" w:rsidP="00D726D8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</w:pPr>
                            <w:r w:rsidRPr="00E93606"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9"/>
                              </w:rPr>
                              <w:t>54,8% rolników zajmujących się uprawą buraków cukrowych prognozuje pogorszenie opłacalność produkcji rolniczej w najbliższym półroczu, a 4,0% spodziewa się poprawy. Pozostali przewidują, że opłacalność produkcji rolniczej nie zmieni się</w:t>
                            </w:r>
                          </w:p>
                          <w:p w14:paraId="7AFDF531" w14:textId="77777777" w:rsidR="003B61E1" w:rsidRPr="0073187B" w:rsidRDefault="003B61E1" w:rsidP="00D726D8">
                            <w:pPr>
                              <w:pStyle w:val="Tekstkomentarza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95118" id="Pole tekstowe 541070086" o:spid="_x0000_s1037" type="#_x0000_t202" alt="63,3% rolników zajmujących się uprawą buraków cukrowych prognozuje pogorszenie opłacalność produkcji rolniczej w najbliższym półroczu, a 2,0% spodziewa się poprawy. Pozostali przewidują, że opłacalność produkcji rolniczej pozostanie na niezmienionym poziomie" style="position:absolute;margin-left:458.15pt;margin-top:13.05pt;width:134pt;height:144.5pt;z-index:-2503004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" filled="f" stroked="f">
                <v:textbox>
                  <w:txbxContent>
                    <w:p w14:paraId="553C07A4" w14:textId="77777777" w:rsidR="003B61E1" w:rsidRPr="00E93606" w:rsidRDefault="003B61E1" w:rsidP="00D726D8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</w:pPr>
                      <w:r w:rsidRPr="00E93606">
                        <w:rPr>
                          <w:rFonts w:ascii="Fira Sans" w:hAnsi="Fira Sans"/>
                          <w:color w:val="002060"/>
                          <w:sz w:val="18"/>
                          <w:szCs w:val="19"/>
                        </w:rPr>
                        <w:t>54,8% rolników zajmujących się uprawą buraków cukrowych prognozuje pogorszenie opłacalność produkcji rolniczej w najbliższym półroczu, a 4,0% spodziewa się poprawy. Pozostali przewidują, że opłacalność produkcji rolniczej nie zmieni się</w:t>
                      </w:r>
                    </w:p>
                    <w:p w14:paraId="7AFDF531" w14:textId="77777777" w:rsidR="003B61E1" w:rsidRPr="0073187B" w:rsidRDefault="003B61E1" w:rsidP="00D726D8">
                      <w:pPr>
                        <w:pStyle w:val="Tekstkomentarza"/>
                        <w:rPr>
                          <w:rFonts w:ascii="Fira Sans" w:hAnsi="Fira Sans"/>
                          <w:color w:val="002060"/>
                          <w:sz w:val="18"/>
                          <w:szCs w:val="16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6D8">
        <w:rPr>
          <w:rFonts w:ascii="Fira Sans" w:hAnsi="Fira Sans" w:cs="Myriad Pro"/>
          <w:b/>
          <w:bCs/>
          <w:noProof/>
          <w:color w:val="000000"/>
          <w:sz w:val="19"/>
          <w:szCs w:val="19"/>
        </w:rPr>
        <w:drawing>
          <wp:inline distT="0" distB="0" distL="0" distR="0" wp14:anchorId="57317465" wp14:editId="1F4B2720">
            <wp:extent cx="5187950" cy="2524125"/>
            <wp:effectExtent l="0" t="0" r="0" b="0"/>
            <wp:docPr id="4" name="Obraz 4" descr="Wykres 8. Saldo odpowiedzi dotyczące prognozowanej opłacalności produkcji rolniczej według ukierunkowania produkcyj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8. Saldo odpowiedzi dotyczące prognozowanej opłacalności produkcji rolniczej według ukierunkowania produkcyjnego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9651DE" w14:textId="77777777" w:rsidR="003D1FCC" w:rsidRDefault="003D1FCC" w:rsidP="00F2379F">
      <w:pPr>
        <w:spacing w:before="240" w:after="120" w:line="288" w:lineRule="auto"/>
        <w:rPr>
          <w:rFonts w:ascii="Fira Sans" w:hAnsi="Fira Sans"/>
          <w:bCs/>
          <w:sz w:val="19"/>
          <w:szCs w:val="19"/>
        </w:rPr>
      </w:pPr>
      <w:r w:rsidRPr="003D1FCC">
        <w:rPr>
          <w:rFonts w:ascii="Fira Sans" w:hAnsi="Fira Sans"/>
          <w:bCs/>
          <w:sz w:val="19"/>
          <w:szCs w:val="19"/>
        </w:rPr>
        <w:t>Uwzględniając wielkość gospodarstw rolnych najniższą wartość salda odnotowano w grupie gospodarstw o powierzchni od 15 do 20 ha (minus 44,1), natomiast najwyższą – w</w:t>
      </w:r>
      <w:r w:rsidR="00246328">
        <w:rPr>
          <w:rFonts w:ascii="Fira Sans" w:hAnsi="Fira Sans"/>
          <w:bCs/>
          <w:sz w:val="19"/>
          <w:szCs w:val="19"/>
        </w:rPr>
        <w:t> </w:t>
      </w:r>
      <w:r w:rsidRPr="003D1FCC">
        <w:rPr>
          <w:rFonts w:ascii="Fira Sans" w:hAnsi="Fira Sans"/>
          <w:bCs/>
          <w:sz w:val="19"/>
          <w:szCs w:val="19"/>
        </w:rPr>
        <w:t>gospodarstwach o powierzchni od 2 do 5 ha (minus 37,0). W porównaniu z prognozami na</w:t>
      </w:r>
      <w:r w:rsidR="00E93606">
        <w:rPr>
          <w:rFonts w:ascii="Fira Sans" w:hAnsi="Fira Sans"/>
          <w:bCs/>
          <w:sz w:val="19"/>
          <w:szCs w:val="19"/>
        </w:rPr>
        <w:t> </w:t>
      </w:r>
      <w:r w:rsidRPr="003D1FCC">
        <w:rPr>
          <w:rFonts w:ascii="Fira Sans" w:hAnsi="Fira Sans"/>
          <w:bCs/>
          <w:sz w:val="19"/>
          <w:szCs w:val="19"/>
        </w:rPr>
        <w:t>1.</w:t>
      </w:r>
      <w:r w:rsidR="00F2379F">
        <w:rPr>
          <w:rFonts w:ascii="Fira Sans" w:hAnsi="Fira Sans"/>
          <w:bCs/>
          <w:sz w:val="19"/>
          <w:szCs w:val="19"/>
        </w:rPr>
        <w:t> </w:t>
      </w:r>
      <w:r w:rsidRPr="003D1FCC">
        <w:rPr>
          <w:rFonts w:ascii="Fira Sans" w:hAnsi="Fira Sans"/>
          <w:bCs/>
          <w:sz w:val="19"/>
          <w:szCs w:val="19"/>
        </w:rPr>
        <w:t>półrocze 2026 r. oceny poprawiły się w większości grup obszarowych.</w:t>
      </w:r>
      <w:r>
        <w:rPr>
          <w:rFonts w:ascii="Fira Sans" w:hAnsi="Fira Sans"/>
          <w:bCs/>
          <w:sz w:val="19"/>
          <w:szCs w:val="19"/>
        </w:rPr>
        <w:t xml:space="preserve"> </w:t>
      </w:r>
    </w:p>
    <w:p w14:paraId="35CF78C2" w14:textId="77777777" w:rsidR="00D726D8" w:rsidRDefault="00D726D8" w:rsidP="00D726D8">
      <w:pPr>
        <w:spacing w:before="360" w:after="120" w:line="240" w:lineRule="auto"/>
        <w:rPr>
          <w:rFonts w:ascii="Fira Sans" w:hAnsi="Fira Sans"/>
          <w:b/>
          <w:color w:val="002060"/>
          <w:sz w:val="19"/>
          <w:szCs w:val="19"/>
        </w:rPr>
      </w:pPr>
      <w:r w:rsidRPr="00185238">
        <w:rPr>
          <w:rFonts w:ascii="Fira Sans" w:hAnsi="Fira Sans"/>
          <w:b/>
          <w:color w:val="002060"/>
          <w:sz w:val="19"/>
          <w:szCs w:val="19"/>
        </w:rPr>
        <w:t xml:space="preserve">Popyt na produkty wytwarzane w </w:t>
      </w:r>
      <w:r>
        <w:rPr>
          <w:rFonts w:ascii="Fira Sans" w:hAnsi="Fira Sans"/>
          <w:b/>
          <w:color w:val="002060"/>
          <w:sz w:val="19"/>
          <w:szCs w:val="19"/>
        </w:rPr>
        <w:t>gospodarstwach rolnych</w:t>
      </w:r>
    </w:p>
    <w:p w14:paraId="73586C69" w14:textId="77777777" w:rsidR="005443A3" w:rsidRDefault="005443A3" w:rsidP="00D726D8">
      <w:pPr>
        <w:spacing w:before="120" w:after="120" w:line="288" w:lineRule="auto"/>
        <w:rPr>
          <w:rStyle w:val="cf01"/>
          <w:rFonts w:ascii="Fira Sans" w:hAnsi="Fira Sans"/>
          <w:sz w:val="19"/>
          <w:szCs w:val="19"/>
        </w:rPr>
      </w:pPr>
      <w:r w:rsidRPr="005443A3">
        <w:rPr>
          <w:rStyle w:val="cf01"/>
          <w:rFonts w:ascii="Fira Sans" w:hAnsi="Fira Sans"/>
          <w:sz w:val="19"/>
          <w:szCs w:val="19"/>
        </w:rPr>
        <w:t>Według użytkowników gospodarstw rolnych w 2. półroczu 2026 r. popyt na produkty wytwarzane w ich gospodarstwach zmniejszy się. Prognozy te poprawiły się jednak w</w:t>
      </w:r>
      <w:r w:rsidR="00F2379F">
        <w:rPr>
          <w:rStyle w:val="cf01"/>
          <w:rFonts w:ascii="Fira Sans" w:hAnsi="Fira Sans"/>
          <w:sz w:val="19"/>
          <w:szCs w:val="19"/>
        </w:rPr>
        <w:t> </w:t>
      </w:r>
      <w:r w:rsidRPr="005443A3">
        <w:rPr>
          <w:rStyle w:val="cf01"/>
          <w:rFonts w:ascii="Fira Sans" w:hAnsi="Fira Sans"/>
          <w:sz w:val="19"/>
          <w:szCs w:val="19"/>
        </w:rPr>
        <w:t>porównaniu z przewidywaniami na 1. półrocze 2026 r. – saldo odpowiedzi wzrosło o 9,4 pkt i</w:t>
      </w:r>
      <w:r w:rsidR="000932D8">
        <w:rPr>
          <w:rStyle w:val="cf01"/>
          <w:rFonts w:ascii="Fira Sans" w:hAnsi="Fira Sans"/>
          <w:sz w:val="19"/>
          <w:szCs w:val="19"/>
        </w:rPr>
        <w:t> </w:t>
      </w:r>
      <w:r w:rsidRPr="005443A3">
        <w:rPr>
          <w:rStyle w:val="cf01"/>
          <w:rFonts w:ascii="Fira Sans" w:hAnsi="Fira Sans"/>
          <w:sz w:val="19"/>
          <w:szCs w:val="19"/>
        </w:rPr>
        <w:t>wyniosło minus 16,3. Natomiast w porównaniu z prognozami na 2. półrocze 2025 r. saldo zmniejszyło się o 5,4 pkt.</w:t>
      </w:r>
    </w:p>
    <w:p w14:paraId="2243F25B" w14:textId="77777777" w:rsidR="00D73811" w:rsidRDefault="00D726D8" w:rsidP="00D726D8">
      <w:pPr>
        <w:spacing w:before="120" w:after="120" w:line="288" w:lineRule="auto"/>
        <w:rPr>
          <w:rFonts w:ascii="Fira Sans" w:hAnsi="Fira Sans"/>
          <w:bCs/>
          <w:iCs/>
          <w:sz w:val="19"/>
          <w:szCs w:val="19"/>
        </w:rPr>
      </w:pPr>
      <w:r w:rsidRPr="0088293F">
        <w:rPr>
          <w:rStyle w:val="cf01"/>
          <w:rFonts w:ascii="Fira Sans" w:hAnsi="Fira Sans"/>
          <w:sz w:val="19"/>
          <w:szCs w:val="19"/>
        </w:rPr>
        <w:t xml:space="preserve">Uwzględniając rodzaj działalności gospodarstw rolnych, najbardziej pesymistyczne prognozy </w:t>
      </w:r>
      <w:r w:rsidRPr="0088293F">
        <w:rPr>
          <w:rFonts w:ascii="Fira Sans" w:hAnsi="Fira Sans"/>
          <w:sz w:val="19"/>
          <w:szCs w:val="19"/>
        </w:rPr>
        <w:t xml:space="preserve">dotyczące popytu </w:t>
      </w:r>
      <w:r>
        <w:rPr>
          <w:rStyle w:val="cf01"/>
          <w:rFonts w:ascii="Fira Sans" w:hAnsi="Fira Sans"/>
          <w:sz w:val="19"/>
          <w:szCs w:val="19"/>
        </w:rPr>
        <w:t>zaobserwowano</w:t>
      </w:r>
      <w:r w:rsidRPr="0088293F">
        <w:rPr>
          <w:rStyle w:val="cf01"/>
          <w:rFonts w:ascii="Fira Sans" w:hAnsi="Fira Sans"/>
          <w:sz w:val="19"/>
          <w:szCs w:val="19"/>
        </w:rPr>
        <w:t xml:space="preserve"> </w:t>
      </w:r>
      <w:r w:rsidRPr="0088293F">
        <w:rPr>
          <w:rFonts w:ascii="Fira Sans" w:hAnsi="Fira Sans"/>
          <w:bCs/>
          <w:sz w:val="19"/>
          <w:szCs w:val="19"/>
        </w:rPr>
        <w:t xml:space="preserve">wśród gospodarstw ukierunkowanych na produkcję roślinną </w:t>
      </w:r>
      <w:r w:rsidRPr="0088293F">
        <w:rPr>
          <w:rStyle w:val="cf01"/>
          <w:rFonts w:ascii="Fira Sans" w:hAnsi="Fira Sans"/>
          <w:sz w:val="19"/>
          <w:szCs w:val="19"/>
        </w:rPr>
        <w:t xml:space="preserve">(saldo minus 17,2). </w:t>
      </w:r>
      <w:r w:rsidRPr="008668B3">
        <w:rPr>
          <w:rFonts w:ascii="Fira Sans" w:hAnsi="Fira Sans"/>
          <w:bCs/>
          <w:iCs/>
          <w:sz w:val="19"/>
          <w:szCs w:val="19"/>
        </w:rPr>
        <w:t xml:space="preserve">W tej grupie najniższe </w:t>
      </w:r>
      <w:r w:rsidR="007343B3" w:rsidRPr="008668B3">
        <w:rPr>
          <w:rFonts w:ascii="Fira Sans" w:hAnsi="Fira Sans"/>
          <w:bCs/>
          <w:iCs/>
          <w:sz w:val="19"/>
          <w:szCs w:val="19"/>
        </w:rPr>
        <w:t>sald</w:t>
      </w:r>
      <w:r w:rsidR="007343B3">
        <w:rPr>
          <w:rFonts w:ascii="Fira Sans" w:hAnsi="Fira Sans"/>
          <w:bCs/>
          <w:iCs/>
          <w:sz w:val="19"/>
          <w:szCs w:val="19"/>
        </w:rPr>
        <w:t>o</w:t>
      </w:r>
      <w:r w:rsidR="007343B3" w:rsidRPr="008668B3">
        <w:rPr>
          <w:rFonts w:ascii="Fira Sans" w:hAnsi="Fira Sans"/>
          <w:bCs/>
          <w:iCs/>
          <w:sz w:val="19"/>
          <w:szCs w:val="19"/>
        </w:rPr>
        <w:t xml:space="preserve"> </w:t>
      </w:r>
      <w:r w:rsidRPr="008668B3">
        <w:rPr>
          <w:rFonts w:ascii="Fira Sans" w:hAnsi="Fira Sans"/>
          <w:bCs/>
          <w:iCs/>
          <w:sz w:val="19"/>
          <w:szCs w:val="19"/>
        </w:rPr>
        <w:t xml:space="preserve">odnotowano w gospodarstwach prowadzących uprawę ziemniaków (minus 23,5) oraz buraków cukrowych (minus 20,7). </w:t>
      </w:r>
    </w:p>
    <w:p w14:paraId="23B54A6D" w14:textId="77777777" w:rsidR="00D73811" w:rsidRDefault="00D73811" w:rsidP="00D726D8">
      <w:pPr>
        <w:spacing w:before="120" w:after="120" w:line="288" w:lineRule="auto"/>
        <w:rPr>
          <w:rFonts w:ascii="Fira Sans" w:hAnsi="Fira Sans"/>
          <w:bCs/>
          <w:iCs/>
          <w:sz w:val="19"/>
          <w:szCs w:val="19"/>
        </w:rPr>
      </w:pPr>
      <w:r w:rsidRPr="00D73811">
        <w:rPr>
          <w:rFonts w:ascii="Fira Sans" w:hAnsi="Fira Sans"/>
          <w:bCs/>
          <w:iCs/>
          <w:sz w:val="19"/>
          <w:szCs w:val="19"/>
        </w:rPr>
        <w:t>W gospodarstwach ukierunkowanych na produkcję zwierzęcą saldo wyniosło minus 11,7 i było najwyższe spośród analizowanych specjalizacji. W grupie tej najwyższe saldo odpowiedzi na pytanie o przewidywany popyt odnotowano</w:t>
      </w:r>
      <w:r>
        <w:rPr>
          <w:rFonts w:ascii="Fira Sans" w:hAnsi="Fira Sans"/>
          <w:bCs/>
          <w:iCs/>
          <w:sz w:val="19"/>
          <w:szCs w:val="19"/>
        </w:rPr>
        <w:t xml:space="preserve"> </w:t>
      </w:r>
      <w:r w:rsidRPr="00D73811">
        <w:rPr>
          <w:rFonts w:ascii="Fira Sans" w:hAnsi="Fira Sans"/>
          <w:bCs/>
          <w:iCs/>
          <w:sz w:val="19"/>
          <w:szCs w:val="19"/>
        </w:rPr>
        <w:t>w gospodarstwach prowadzących chów trzody chlewnej (minus 14,8) oraz brojlerów (minus 13,3).</w:t>
      </w:r>
    </w:p>
    <w:p w14:paraId="7CF5085E" w14:textId="77777777" w:rsidR="00D726D8" w:rsidRDefault="00D726D8" w:rsidP="00D726D8">
      <w:pPr>
        <w:keepNext/>
        <w:spacing w:before="360" w:after="120" w:line="240" w:lineRule="auto"/>
        <w:rPr>
          <w:rFonts w:ascii="Fira Sans" w:hAnsi="Fira Sans"/>
          <w:b/>
          <w:sz w:val="19"/>
          <w:szCs w:val="19"/>
        </w:rPr>
      </w:pPr>
      <w:r w:rsidRPr="00185238">
        <w:rPr>
          <w:rFonts w:ascii="Fira Sans" w:hAnsi="Fira Sans"/>
          <w:b/>
          <w:sz w:val="19"/>
          <w:szCs w:val="19"/>
        </w:rPr>
        <w:lastRenderedPageBreak/>
        <w:t xml:space="preserve">Wykres 9. </w:t>
      </w:r>
      <w:r w:rsidR="004221E0" w:rsidRPr="00185238">
        <w:rPr>
          <w:rFonts w:ascii="Fira Sans" w:hAnsi="Fira Sans"/>
          <w:b/>
          <w:sz w:val="19"/>
          <w:szCs w:val="19"/>
        </w:rPr>
        <w:t>Sald</w:t>
      </w:r>
      <w:r w:rsidR="004221E0">
        <w:rPr>
          <w:rFonts w:ascii="Fira Sans" w:hAnsi="Fira Sans"/>
          <w:b/>
          <w:sz w:val="19"/>
          <w:szCs w:val="19"/>
        </w:rPr>
        <w:t>o</w:t>
      </w:r>
      <w:r w:rsidR="004221E0" w:rsidRPr="00185238">
        <w:rPr>
          <w:rFonts w:ascii="Fira Sans" w:hAnsi="Fira Sans"/>
          <w:b/>
          <w:sz w:val="19"/>
          <w:szCs w:val="19"/>
        </w:rPr>
        <w:t xml:space="preserve"> </w:t>
      </w:r>
      <w:r w:rsidRPr="00185238">
        <w:rPr>
          <w:rFonts w:ascii="Fira Sans" w:hAnsi="Fira Sans"/>
          <w:b/>
          <w:sz w:val="19"/>
          <w:szCs w:val="19"/>
        </w:rPr>
        <w:t>odpowiedzi dotyczące prognozowanego popytu na produkty wytwarzane w</w:t>
      </w:r>
      <w:r>
        <w:rPr>
          <w:rFonts w:ascii="Fira Sans" w:hAnsi="Fira Sans"/>
          <w:b/>
          <w:sz w:val="19"/>
          <w:szCs w:val="19"/>
        </w:rPr>
        <w:t> </w:t>
      </w:r>
      <w:r w:rsidRPr="00185238">
        <w:rPr>
          <w:rFonts w:ascii="Fira Sans" w:hAnsi="Fira Sans"/>
          <w:b/>
          <w:sz w:val="19"/>
          <w:szCs w:val="19"/>
        </w:rPr>
        <w:t>gospodarstwach rolnych według ukierunkowania produkcyjnego</w:t>
      </w:r>
    </w:p>
    <w:p w14:paraId="5F4EF702" w14:textId="77777777" w:rsidR="00D726D8" w:rsidRPr="00185238" w:rsidRDefault="00150E0D" w:rsidP="00D726D8">
      <w:pPr>
        <w:spacing w:before="120" w:after="120" w:line="240" w:lineRule="auto"/>
        <w:rPr>
          <w:rFonts w:ascii="Fira Sans" w:hAnsi="Fira Sans"/>
          <w:bCs/>
          <w:sz w:val="19"/>
          <w:szCs w:val="19"/>
        </w:rPr>
      </w:pPr>
      <w:r w:rsidRPr="00185238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17088" behindDoc="1" locked="0" layoutInCell="1" allowOverlap="1" wp14:anchorId="2128C7B3" wp14:editId="3481E609">
                <wp:simplePos x="0" y="0"/>
                <wp:positionH relativeFrom="page">
                  <wp:posOffset>5819360</wp:posOffset>
                </wp:positionH>
                <wp:positionV relativeFrom="paragraph">
                  <wp:posOffset>6985</wp:posOffset>
                </wp:positionV>
                <wp:extent cx="1637665" cy="1502410"/>
                <wp:effectExtent l="0" t="0" r="0" b="2540"/>
                <wp:wrapTight wrapText="bothSides">
                  <wp:wrapPolygon edited="0">
                    <wp:start x="754" y="0"/>
                    <wp:lineTo x="754" y="21363"/>
                    <wp:lineTo x="20603" y="21363"/>
                    <wp:lineTo x="20603" y="0"/>
                    <wp:lineTo x="754" y="0"/>
                  </wp:wrapPolygon>
                </wp:wrapTight>
                <wp:docPr id="2016582249" name="Pole tekstowe 2016582249" descr="84,3% rolników zajmujących się chowem drobiu nieśnego przewiduje, że popyt na wytwarzane przez nich produkty rolne w najbliższym półroczu pozostanie na niezmienionym poziomie. Zwiększenia popytu spodziewa się 10,0% rolników, pozostali prognozują jego spad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665" cy="1502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4CEA9" w14:textId="77777777" w:rsidR="003B61E1" w:rsidRPr="00E9425A" w:rsidRDefault="00CF3C5C" w:rsidP="00E66B75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hAnsi="Fira Sans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W</w:t>
                            </w:r>
                            <w:r w:rsidR="003B61E1"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szyscy rolnicy prowadzący chów owiec, biorący udział w badaniu, przewidują, że</w:t>
                            </w:r>
                            <w:r w:rsidR="00E66B75"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="003B61E1"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w</w:t>
                            </w:r>
                            <w:r w:rsidR="00E66B75"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="003B61E1"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najbliższym półroczu popyt na wytwarzane przez nich produkty rolne pozostanie na niezmienionym poziomie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8C7B3" id="Pole tekstowe 2016582249" o:spid="_x0000_s1038" type="#_x0000_t202" alt="84,3% rolników zajmujących się chowem drobiu nieśnego przewiduje, że popyt na wytwarzane przez nich produkty rolne w najbliższym półroczu pozostanie na niezmienionym poziomie. Zwiększenia popytu spodziewa się 10,0% rolników, pozostali prognozują jego spadek" style="position:absolute;margin-left:458.2pt;margin-top:.55pt;width:128.95pt;height:118.3pt;z-index:-2502993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" filled="f" stroked="f">
                <v:textbox inset=",0">
                  <w:txbxContent>
                    <w:p w14:paraId="50A4CEA9" w14:textId="77777777" w:rsidR="003B61E1" w:rsidRPr="00E9425A" w:rsidRDefault="00CF3C5C" w:rsidP="00E66B75">
                      <w:pPr>
                        <w:pStyle w:val="Tekstkomentarza"/>
                        <w:spacing w:after="0" w:line="240" w:lineRule="exact"/>
                        <w:rPr>
                          <w:rFonts w:ascii="Fira Sans" w:hAnsi="Fira Sans"/>
                          <w:color w:val="002060"/>
                          <w:sz w:val="18"/>
                          <w:szCs w:val="18"/>
                        </w:rPr>
                      </w:pPr>
                      <w:r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W</w:t>
                      </w:r>
                      <w:r w:rsidR="003B61E1"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szyscy rolnicy prowadzący chów owiec, biorący udział w badaniu, przewidują, że</w:t>
                      </w:r>
                      <w:r w:rsidR="00E66B75"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="003B61E1"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w</w:t>
                      </w:r>
                      <w:r w:rsidR="00E66B75"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="003B61E1"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najbliższym półroczu popyt na wytwarzane przez nich produkty rolne pozostanie na niezmienionym poziomie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6D8">
        <w:rPr>
          <w:rFonts w:ascii="Fira Sans" w:hAnsi="Fira Sans"/>
          <w:bCs/>
          <w:noProof/>
          <w:sz w:val="19"/>
          <w:szCs w:val="19"/>
        </w:rPr>
        <w:drawing>
          <wp:inline distT="0" distB="0" distL="0" distR="0" wp14:anchorId="7662B019" wp14:editId="430A9E33">
            <wp:extent cx="5187950" cy="2517775"/>
            <wp:effectExtent l="0" t="0" r="0" b="0"/>
            <wp:docPr id="5" name="Obraz 5" descr="Wykres 9. Saldo odpowiedzi dotyczące prognozowanego popytu na produkty wytwarzane w gospodarstwach rolnych według ukierunkowania produkcyj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9. Saldo odpowiedzi dotyczące prognozowanego popytu na produkty wytwarzane w gospodarstwach rolnych według ukierunkowania produkcyjneg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66E11D" w14:textId="77777777" w:rsidR="00897294" w:rsidRPr="00897294" w:rsidRDefault="00897294" w:rsidP="00FD40C2">
      <w:pPr>
        <w:spacing w:before="120" w:after="120" w:line="288" w:lineRule="auto"/>
        <w:rPr>
          <w:rFonts w:ascii="Fira Sans" w:hAnsi="Fira Sans"/>
          <w:bCs/>
          <w:sz w:val="19"/>
          <w:szCs w:val="19"/>
        </w:rPr>
      </w:pPr>
      <w:r w:rsidRPr="00897294">
        <w:rPr>
          <w:rFonts w:ascii="Fira Sans" w:hAnsi="Fira Sans"/>
          <w:bCs/>
          <w:sz w:val="19"/>
          <w:szCs w:val="19"/>
        </w:rPr>
        <w:t xml:space="preserve">Pesymistyczne prognozy dotyczące popytu na produkty wytwarzane w gospodarstwach rolnych w najbliższym półroczu zaobserwowano także we wszystkich grupach obszarowych gospodarstw rolnych. </w:t>
      </w:r>
    </w:p>
    <w:p w14:paraId="4CD70A20" w14:textId="77777777" w:rsidR="00D726D8" w:rsidRPr="008668B3" w:rsidRDefault="00897294" w:rsidP="00FD40C2">
      <w:pPr>
        <w:spacing w:before="120" w:after="120" w:line="288" w:lineRule="auto"/>
        <w:rPr>
          <w:rFonts w:ascii="Fira Sans" w:hAnsi="Fira Sans"/>
          <w:bCs/>
          <w:sz w:val="19"/>
          <w:szCs w:val="19"/>
        </w:rPr>
      </w:pPr>
      <w:r w:rsidRPr="00897294">
        <w:rPr>
          <w:rFonts w:ascii="Fira Sans" w:hAnsi="Fira Sans"/>
          <w:bCs/>
          <w:sz w:val="19"/>
          <w:szCs w:val="19"/>
        </w:rPr>
        <w:t>Najniższe saldo odpowiedzi na pytanie o przewidywany popyt odnotowano w</w:t>
      </w:r>
      <w:r w:rsidR="00E66B75">
        <w:rPr>
          <w:rFonts w:ascii="Fira Sans" w:hAnsi="Fira Sans"/>
          <w:bCs/>
          <w:sz w:val="19"/>
          <w:szCs w:val="19"/>
        </w:rPr>
        <w:t> </w:t>
      </w:r>
      <w:r w:rsidRPr="00897294">
        <w:rPr>
          <w:rFonts w:ascii="Fira Sans" w:hAnsi="Fira Sans"/>
          <w:bCs/>
          <w:sz w:val="19"/>
          <w:szCs w:val="19"/>
        </w:rPr>
        <w:t>gospodarstwach o powierzchni od 10 do 15 ha (minus 19,2). W gospodarstwach o</w:t>
      </w:r>
      <w:r w:rsidR="00E66B75">
        <w:rPr>
          <w:rFonts w:ascii="Fira Sans" w:hAnsi="Fira Sans"/>
          <w:bCs/>
          <w:sz w:val="19"/>
          <w:szCs w:val="19"/>
        </w:rPr>
        <w:t> </w:t>
      </w:r>
      <w:r w:rsidRPr="00897294">
        <w:rPr>
          <w:rFonts w:ascii="Fira Sans" w:hAnsi="Fira Sans"/>
          <w:bCs/>
          <w:sz w:val="19"/>
          <w:szCs w:val="19"/>
        </w:rPr>
        <w:t>powierzchni 100 ha i więcej saldo było najwyższe i wyniosło minus 11,3. W tej grupie widoczna była także poprawa prognoz – saldo wzrosło o 16,0 pkt w porównaniu z</w:t>
      </w:r>
      <w:r w:rsidR="00E66B75">
        <w:rPr>
          <w:rFonts w:ascii="Fira Sans" w:hAnsi="Fira Sans"/>
          <w:bCs/>
          <w:sz w:val="19"/>
          <w:szCs w:val="19"/>
        </w:rPr>
        <w:t> </w:t>
      </w:r>
      <w:r w:rsidRPr="00897294">
        <w:rPr>
          <w:rFonts w:ascii="Fira Sans" w:hAnsi="Fira Sans"/>
          <w:bCs/>
          <w:sz w:val="19"/>
          <w:szCs w:val="19"/>
        </w:rPr>
        <w:t>przewidywaniami na 1. półrocze 2026 r. oraz o 2,7 pkt w porównaniu z prognozami na 2.</w:t>
      </w:r>
      <w:r w:rsidR="00E66B75">
        <w:rPr>
          <w:rFonts w:ascii="Fira Sans" w:hAnsi="Fira Sans"/>
          <w:bCs/>
          <w:sz w:val="19"/>
          <w:szCs w:val="19"/>
        </w:rPr>
        <w:t> </w:t>
      </w:r>
      <w:r w:rsidRPr="00897294">
        <w:rPr>
          <w:rFonts w:ascii="Fira Sans" w:hAnsi="Fira Sans"/>
          <w:bCs/>
          <w:sz w:val="19"/>
          <w:szCs w:val="19"/>
        </w:rPr>
        <w:t>półrocze 2025 r.</w:t>
      </w:r>
    </w:p>
    <w:p w14:paraId="70AC3960" w14:textId="77777777" w:rsidR="00D726D8" w:rsidRPr="00185238" w:rsidRDefault="00D726D8" w:rsidP="00D726D8">
      <w:pPr>
        <w:keepNext/>
        <w:spacing w:before="360" w:after="120" w:line="240" w:lineRule="auto"/>
        <w:rPr>
          <w:rFonts w:ascii="Fira Sans" w:eastAsia="Times New Roman" w:hAnsi="Fira Sans" w:cs="Calibri"/>
          <w:b/>
          <w:color w:val="000000"/>
          <w:sz w:val="19"/>
          <w:szCs w:val="19"/>
          <w:lang w:eastAsia="pl-PL"/>
        </w:rPr>
      </w:pPr>
      <w:r w:rsidRPr="00185238">
        <w:rPr>
          <w:rFonts w:ascii="Fira Sans" w:hAnsi="Fira Sans"/>
          <w:b/>
          <w:sz w:val="19"/>
          <w:szCs w:val="19"/>
        </w:rPr>
        <w:t xml:space="preserve">Wykres 10. </w:t>
      </w:r>
      <w:r w:rsidRPr="00C8721D">
        <w:rPr>
          <w:rFonts w:ascii="Fira Sans" w:eastAsia="Times New Roman" w:hAnsi="Fira Sans" w:cs="Calibri"/>
          <w:b/>
          <w:sz w:val="19"/>
          <w:szCs w:val="19"/>
          <w:lang w:eastAsia="pl-PL"/>
        </w:rPr>
        <w:t xml:space="preserve">Przewidywana opłacalność produkcji rolniczej oraz </w:t>
      </w:r>
      <w:r w:rsidR="00272C4F" w:rsidRPr="00C8721D">
        <w:rPr>
          <w:rFonts w:ascii="Fira Sans" w:eastAsia="Times New Roman" w:hAnsi="Fira Sans" w:cs="Calibri"/>
          <w:b/>
          <w:sz w:val="19"/>
          <w:szCs w:val="19"/>
          <w:lang w:eastAsia="pl-PL"/>
        </w:rPr>
        <w:t xml:space="preserve">przewidywany </w:t>
      </w:r>
      <w:r w:rsidRPr="00C8721D">
        <w:rPr>
          <w:rFonts w:ascii="Fira Sans" w:eastAsia="Times New Roman" w:hAnsi="Fira Sans" w:cs="Calibri"/>
          <w:b/>
          <w:sz w:val="19"/>
          <w:szCs w:val="19"/>
          <w:lang w:eastAsia="pl-PL"/>
        </w:rPr>
        <w:t xml:space="preserve">popyt na produkty rolne </w:t>
      </w:r>
      <w:r w:rsidRPr="00C8721D">
        <w:rPr>
          <w:rFonts w:ascii="Fira Sans" w:eastAsia="Times New Roman" w:hAnsi="Fira Sans" w:cs="Calibri"/>
          <w:b/>
          <w:color w:val="000000"/>
          <w:sz w:val="19"/>
          <w:szCs w:val="19"/>
          <w:lang w:eastAsia="pl-PL"/>
        </w:rPr>
        <w:t xml:space="preserve">wytwarzane w gospodarstwach rolnych </w:t>
      </w:r>
      <w:r w:rsidRPr="00C8721D">
        <w:rPr>
          <w:rFonts w:ascii="Fira Sans" w:hAnsi="Fira Sans" w:cs="Myriad Pro"/>
          <w:b/>
          <w:bCs/>
          <w:color w:val="000000"/>
          <w:sz w:val="19"/>
          <w:szCs w:val="19"/>
        </w:rPr>
        <w:t>według ukierunkowania produkcyjnego</w:t>
      </w:r>
    </w:p>
    <w:p w14:paraId="1A220A38" w14:textId="77777777" w:rsidR="00D726D8" w:rsidRPr="00185238" w:rsidRDefault="00D726D8" w:rsidP="00E66B75">
      <w:pPr>
        <w:spacing w:before="120" w:after="120" w:line="240" w:lineRule="auto"/>
        <w:rPr>
          <w:rFonts w:ascii="Fira Sans" w:eastAsia="Times New Roman" w:hAnsi="Fira Sans" w:cs="Calibri"/>
          <w:b/>
          <w:color w:val="000000"/>
          <w:sz w:val="19"/>
          <w:szCs w:val="19"/>
          <w:lang w:eastAsia="pl-PL"/>
        </w:rPr>
      </w:pPr>
      <w:r>
        <w:rPr>
          <w:rFonts w:ascii="Fira Sans" w:eastAsia="Times New Roman" w:hAnsi="Fira Sans" w:cs="Calibri"/>
          <w:b/>
          <w:noProof/>
          <w:color w:val="000000"/>
          <w:sz w:val="19"/>
          <w:szCs w:val="19"/>
          <w:lang w:eastAsia="pl-PL"/>
        </w:rPr>
        <w:drawing>
          <wp:inline distT="0" distB="0" distL="0" distR="0" wp14:anchorId="0963F2C2" wp14:editId="5A64A2FD">
            <wp:extent cx="5182235" cy="2524125"/>
            <wp:effectExtent l="0" t="0" r="0" b="0"/>
            <wp:docPr id="7" name="Obraz 7" descr="Wykres 10. Przewidywana opłacalność produkcji rolniczej oraz przewidywany popyt na produkty rolne wytwarzane w gospodarstwach rolnych według ukierunkowania produkcyj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10. Przewidywana opłacalność produkcji rolniczej oraz przewidywany popyt na produkty rolne wytwarzane w gospodarstwach rolnych według ukierunkowania produkcyjneg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EEC104" w14:textId="77777777" w:rsidR="00E66B75" w:rsidRDefault="00E66B75">
      <w:pPr>
        <w:spacing w:line="259" w:lineRule="auto"/>
        <w:rPr>
          <w:rFonts w:ascii="Fira Sans" w:hAnsi="Fira Sans"/>
          <w:b/>
          <w:color w:val="002060"/>
          <w:sz w:val="24"/>
          <w:szCs w:val="24"/>
        </w:rPr>
      </w:pPr>
      <w:bookmarkStart w:id="8" w:name="_Hlk240620653"/>
      <w:r>
        <w:rPr>
          <w:rFonts w:ascii="Fira Sans" w:hAnsi="Fira Sans"/>
          <w:b/>
          <w:color w:val="002060"/>
          <w:sz w:val="24"/>
          <w:szCs w:val="24"/>
        </w:rPr>
        <w:br w:type="page"/>
      </w:r>
    </w:p>
    <w:p w14:paraId="306F728C" w14:textId="77777777" w:rsidR="00D726D8" w:rsidRDefault="00D726D8" w:rsidP="00D726D8">
      <w:pPr>
        <w:spacing w:before="360" w:after="120" w:line="240" w:lineRule="auto"/>
        <w:rPr>
          <w:rFonts w:ascii="Fira Sans" w:hAnsi="Fira Sans"/>
          <w:b/>
          <w:color w:val="002060"/>
          <w:sz w:val="24"/>
          <w:szCs w:val="24"/>
        </w:rPr>
      </w:pPr>
      <w:r w:rsidRPr="00185238">
        <w:rPr>
          <w:rFonts w:ascii="Fira Sans" w:hAnsi="Fira Sans"/>
          <w:b/>
          <w:color w:val="002060"/>
          <w:sz w:val="24"/>
          <w:szCs w:val="24"/>
        </w:rPr>
        <w:lastRenderedPageBreak/>
        <w:t>Źródła finansowania i inwestycje</w:t>
      </w:r>
      <w:r w:rsidRPr="00185238">
        <w:rPr>
          <w:rStyle w:val="Odwoanieprzypisudolnego"/>
          <w:rFonts w:ascii="Fira Sans" w:hAnsi="Fira Sans"/>
          <w:b/>
          <w:color w:val="002060"/>
          <w:sz w:val="24"/>
          <w:szCs w:val="24"/>
        </w:rPr>
        <w:footnoteReference w:id="1"/>
      </w:r>
    </w:p>
    <w:p w14:paraId="3E8A3243" w14:textId="77777777" w:rsidR="00CD3522" w:rsidRDefault="001C66B6" w:rsidP="001C66B6">
      <w:pPr>
        <w:keepNext/>
        <w:spacing w:before="120" w:after="120" w:line="288" w:lineRule="auto"/>
        <w:rPr>
          <w:rFonts w:ascii="Fira Sans" w:hAnsi="Fira Sans"/>
          <w:sz w:val="19"/>
          <w:szCs w:val="19"/>
        </w:rPr>
      </w:pPr>
      <w:bookmarkStart w:id="9" w:name="_Hlk241227455"/>
      <w:r w:rsidRPr="001C66B6">
        <w:rPr>
          <w:rFonts w:ascii="Fira Sans" w:hAnsi="Fira Sans"/>
          <w:sz w:val="19"/>
          <w:szCs w:val="19"/>
        </w:rPr>
        <w:t xml:space="preserve">W 1. półroczu 2026 r. zdecydowana większość użytkowników gospodarstw rolnych w kraju (95,7%) finansowała swoją działalność ze środków własnych. Istotnym źródłem finansowania były również fundusze unijne, z których korzystało 62,9% badanych gospodarstw. Natomiast kredyty były wykorzystywane znacznie rzadziej – wskazało je 9,8% uczestników badania. </w:t>
      </w:r>
    </w:p>
    <w:p w14:paraId="56B7002B" w14:textId="77777777" w:rsidR="00313EE9" w:rsidRDefault="001C66B6" w:rsidP="001C66B6">
      <w:pPr>
        <w:keepNext/>
        <w:spacing w:before="120" w:after="120" w:line="288" w:lineRule="auto"/>
        <w:rPr>
          <w:rFonts w:ascii="Fira Sans" w:hAnsi="Fira Sans"/>
          <w:sz w:val="19"/>
          <w:szCs w:val="19"/>
        </w:rPr>
      </w:pPr>
      <w:r w:rsidRPr="001C66B6">
        <w:rPr>
          <w:rFonts w:ascii="Fira Sans" w:hAnsi="Fira Sans"/>
          <w:sz w:val="19"/>
          <w:szCs w:val="19"/>
        </w:rPr>
        <w:t xml:space="preserve">W porównaniu z 2. półroczem 2025 r. zwiększył się odsetek gospodarstw finansujących działalność ze środków własnych oraz korzystających z kredytów – odpowiednio o 0,6 p.proc. i 0,1 p.proc. </w:t>
      </w:r>
      <w:bookmarkEnd w:id="9"/>
    </w:p>
    <w:p w14:paraId="458E4491" w14:textId="77777777" w:rsidR="001C66B6" w:rsidRPr="001C66B6" w:rsidRDefault="001C66B6" w:rsidP="001C66B6">
      <w:pPr>
        <w:keepNext/>
        <w:spacing w:before="120" w:after="120" w:line="288" w:lineRule="auto"/>
        <w:rPr>
          <w:rFonts w:ascii="Fira Sans" w:hAnsi="Fira Sans"/>
          <w:sz w:val="19"/>
          <w:szCs w:val="19"/>
        </w:rPr>
      </w:pPr>
      <w:r w:rsidRPr="001C66B6">
        <w:rPr>
          <w:rFonts w:ascii="Fira Sans" w:hAnsi="Fira Sans"/>
          <w:sz w:val="19"/>
          <w:szCs w:val="19"/>
        </w:rPr>
        <w:t xml:space="preserve">Uwzględniając specjalizację gospodarstw rolnych, najwyższy odsetek gospodarstw korzystających ze środków własnych przy prowadzeniu działalności rolniczej odnotowano wśród gospodarstw ukierunkowanych na produkcję zwierzęcą (96,9%). Z funduszy unijnych najczęściej korzystały gospodarstwa wielokierunkowe (63,7%). Z kolei </w:t>
      </w:r>
      <w:r w:rsidR="00977A9F" w:rsidRPr="00977A9F">
        <w:rPr>
          <w:rFonts w:ascii="Fira Sans" w:hAnsi="Fira Sans"/>
          <w:sz w:val="19"/>
          <w:szCs w:val="19"/>
        </w:rPr>
        <w:t>kredyty najczęściej wykorzystywano w gospodarstwach ukierunkowanych na produkcję zwierzęcą (12,3%).</w:t>
      </w:r>
    </w:p>
    <w:p w14:paraId="7DE94B6F" w14:textId="77777777" w:rsidR="00D726D8" w:rsidRPr="00470014" w:rsidRDefault="00D726D8" w:rsidP="00D726D8">
      <w:pPr>
        <w:keepNext/>
        <w:spacing w:before="360" w:after="120" w:line="240" w:lineRule="auto"/>
        <w:rPr>
          <w:rFonts w:ascii="Fira Sans" w:hAnsi="Fira Sans"/>
          <w:sz w:val="19"/>
          <w:szCs w:val="19"/>
        </w:rPr>
      </w:pPr>
      <w:r w:rsidRPr="00185238">
        <w:rPr>
          <w:rFonts w:ascii="Fira Sans" w:hAnsi="Fira Sans"/>
          <w:b/>
          <w:sz w:val="19"/>
          <w:szCs w:val="19"/>
        </w:rPr>
        <w:t xml:space="preserve">Wykres 11. Źródła finansowania w </w:t>
      </w:r>
      <w:r>
        <w:rPr>
          <w:rFonts w:ascii="Fira Sans" w:hAnsi="Fira Sans"/>
          <w:b/>
          <w:sz w:val="19"/>
          <w:szCs w:val="19"/>
        </w:rPr>
        <w:t>1</w:t>
      </w:r>
      <w:r w:rsidR="004221E0">
        <w:rPr>
          <w:rFonts w:ascii="Fira Sans" w:hAnsi="Fira Sans"/>
          <w:b/>
          <w:sz w:val="19"/>
          <w:szCs w:val="19"/>
        </w:rPr>
        <w:t>.</w:t>
      </w:r>
      <w:r w:rsidRPr="00185238">
        <w:rPr>
          <w:rFonts w:ascii="Fira Sans" w:hAnsi="Fira Sans"/>
          <w:b/>
          <w:sz w:val="19"/>
          <w:szCs w:val="19"/>
        </w:rPr>
        <w:t xml:space="preserve"> półroczu 202</w:t>
      </w:r>
      <w:r>
        <w:rPr>
          <w:rFonts w:ascii="Fira Sans" w:hAnsi="Fira Sans"/>
          <w:b/>
          <w:sz w:val="19"/>
          <w:szCs w:val="19"/>
        </w:rPr>
        <w:t>6</w:t>
      </w:r>
      <w:r w:rsidRPr="00185238">
        <w:rPr>
          <w:rFonts w:ascii="Fira Sans" w:hAnsi="Fira Sans"/>
          <w:b/>
          <w:sz w:val="19"/>
          <w:szCs w:val="19"/>
        </w:rPr>
        <w:t xml:space="preserve"> r. w gospodarstwach rolnych według ukierunkowania </w:t>
      </w:r>
      <w:r w:rsidRPr="00185238">
        <w:rPr>
          <w:rFonts w:ascii="Fira Sans" w:hAnsi="Fira Sans" w:cs="Myriad Pro"/>
          <w:b/>
          <w:bCs/>
          <w:color w:val="000000"/>
          <w:sz w:val="19"/>
          <w:szCs w:val="19"/>
        </w:rPr>
        <w:t>produkcyjnego</w:t>
      </w:r>
    </w:p>
    <w:p w14:paraId="79FFDC94" w14:textId="77777777" w:rsidR="00D726D8" w:rsidRPr="00185238" w:rsidRDefault="00D726D8" w:rsidP="00D726D8">
      <w:pPr>
        <w:spacing w:before="120" w:after="120" w:line="240" w:lineRule="auto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noProof/>
          <w:sz w:val="19"/>
          <w:szCs w:val="19"/>
        </w:rPr>
        <w:drawing>
          <wp:inline distT="0" distB="0" distL="0" distR="0" wp14:anchorId="61CDABAF" wp14:editId="2A40485E">
            <wp:extent cx="5187950" cy="2524125"/>
            <wp:effectExtent l="0" t="0" r="0" b="0"/>
            <wp:docPr id="2024109068" name="Obraz 2024109068" descr="Wykres 11. Źródła finansowania w 1. półroczu 2026 r. w gospodarstwach rolnych według ukierunkowania produkcyj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109068" name="Obraz 2024109068" descr="Wykres 11. Źródła finansowania w 1. półroczu 2026 r. w gospodarstwach rolnych według ukierunkowania produkcyjneg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BE1253" w14:textId="77777777" w:rsidR="00D726D8" w:rsidRDefault="00C00AD7" w:rsidP="00E66B75">
      <w:pPr>
        <w:spacing w:before="240" w:line="288" w:lineRule="auto"/>
        <w:rPr>
          <w:rFonts w:ascii="Fira Sans" w:hAnsi="Fira Sans"/>
          <w:sz w:val="19"/>
          <w:szCs w:val="19"/>
        </w:rPr>
      </w:pPr>
      <w:r w:rsidRPr="00C00AD7">
        <w:rPr>
          <w:rFonts w:ascii="Fira Sans" w:hAnsi="Fira Sans"/>
          <w:sz w:val="19"/>
          <w:szCs w:val="19"/>
        </w:rPr>
        <w:t>Biorąc pod uwagę powierzchnię użytków rolnych, ze środków własnych najczęściej korzystały gospodarstwa o powierzchni do 1 ha włącznie (97,0%), z funduszy unijnych – gospodarstwa o</w:t>
      </w:r>
      <w:r w:rsidR="00E66B75">
        <w:rPr>
          <w:rFonts w:ascii="Fira Sans" w:hAnsi="Fira Sans"/>
          <w:sz w:val="19"/>
          <w:szCs w:val="19"/>
        </w:rPr>
        <w:t> </w:t>
      </w:r>
      <w:r w:rsidRPr="00C00AD7">
        <w:rPr>
          <w:rFonts w:ascii="Fira Sans" w:hAnsi="Fira Sans"/>
          <w:sz w:val="19"/>
          <w:szCs w:val="19"/>
        </w:rPr>
        <w:t>powierzchni od 50 do 100 ha (69,1%), natomiast z kredytów – gospodarstwa o powierzchni 100 ha i więcej (32,5%).</w:t>
      </w:r>
    </w:p>
    <w:p w14:paraId="01D1DE09" w14:textId="77777777" w:rsidR="00D726D8" w:rsidRPr="00185238" w:rsidRDefault="00D726D8" w:rsidP="00D726D8">
      <w:pPr>
        <w:keepNext/>
        <w:spacing w:before="360" w:after="120" w:line="240" w:lineRule="auto"/>
        <w:rPr>
          <w:rFonts w:ascii="Fira Sans" w:hAnsi="Fira Sans"/>
          <w:b/>
          <w:sz w:val="19"/>
          <w:szCs w:val="19"/>
        </w:rPr>
      </w:pPr>
      <w:r w:rsidRPr="00185238">
        <w:rPr>
          <w:rFonts w:ascii="Fira Sans" w:hAnsi="Fira Sans"/>
          <w:b/>
          <w:sz w:val="19"/>
          <w:szCs w:val="19"/>
        </w:rPr>
        <w:lastRenderedPageBreak/>
        <w:t xml:space="preserve">Wykres 12. </w:t>
      </w:r>
      <w:r w:rsidR="004221E0" w:rsidRPr="00185238">
        <w:rPr>
          <w:rFonts w:ascii="Fira Sans" w:hAnsi="Fira Sans"/>
          <w:b/>
          <w:sz w:val="19"/>
          <w:szCs w:val="19"/>
        </w:rPr>
        <w:t>Sald</w:t>
      </w:r>
      <w:r w:rsidR="004221E0">
        <w:rPr>
          <w:rFonts w:ascii="Fira Sans" w:hAnsi="Fira Sans"/>
          <w:b/>
          <w:sz w:val="19"/>
          <w:szCs w:val="19"/>
        </w:rPr>
        <w:t>o</w:t>
      </w:r>
      <w:r w:rsidR="004221E0" w:rsidRPr="00185238">
        <w:rPr>
          <w:rFonts w:ascii="Fira Sans" w:hAnsi="Fira Sans"/>
          <w:b/>
          <w:sz w:val="19"/>
          <w:szCs w:val="19"/>
        </w:rPr>
        <w:t xml:space="preserve"> </w:t>
      </w:r>
      <w:r w:rsidRPr="00185238">
        <w:rPr>
          <w:rFonts w:ascii="Fira Sans" w:hAnsi="Fira Sans"/>
          <w:b/>
          <w:sz w:val="19"/>
          <w:szCs w:val="19"/>
        </w:rPr>
        <w:t>odpowiedzi dotyczące wydatków inwestycyjnych gospodarstw rolnych według ukierunkowania produkcyjnego</w:t>
      </w:r>
    </w:p>
    <w:p w14:paraId="6B3FB79D" w14:textId="77777777" w:rsidR="00D726D8" w:rsidRPr="00185238" w:rsidRDefault="00D726D8" w:rsidP="00D726D8">
      <w:pPr>
        <w:spacing w:before="120" w:after="120" w:line="240" w:lineRule="auto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noProof/>
          <w:sz w:val="19"/>
          <w:szCs w:val="19"/>
        </w:rPr>
        <w:drawing>
          <wp:inline distT="0" distB="0" distL="0" distR="0" wp14:anchorId="7F251849" wp14:editId="4D219610">
            <wp:extent cx="5182235" cy="2517775"/>
            <wp:effectExtent l="0" t="0" r="0" b="0"/>
            <wp:docPr id="2024109069" name="Obraz 2024109069" descr="Wykres 12. Saldo odpowiedzi dotyczące wydatków inwestycyjnych gospodarstw rolnych według ukierunkowania produkcyj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109069" name="Obraz 2024109069" descr="Wykres 12. Saldo odpowiedzi dotyczące wydatków inwestycyjnych gospodarstw rolnych według ukierunkowania produkcyjnego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73F2A9" w14:textId="77777777" w:rsidR="00D726D8" w:rsidRDefault="00CD0D4B" w:rsidP="00D83EA8">
      <w:pPr>
        <w:spacing w:before="240" w:after="120" w:line="288" w:lineRule="auto"/>
        <w:rPr>
          <w:rFonts w:ascii="Fira Sans" w:hAnsi="Fira Sans"/>
          <w:sz w:val="19"/>
          <w:szCs w:val="19"/>
        </w:rPr>
      </w:pPr>
      <w:r w:rsidRPr="00185238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3018112" behindDoc="1" locked="0" layoutInCell="1" allowOverlap="1" wp14:anchorId="1C86D33C" wp14:editId="7B625C17">
                <wp:simplePos x="0" y="0"/>
                <wp:positionH relativeFrom="page">
                  <wp:posOffset>5962650</wp:posOffset>
                </wp:positionH>
                <wp:positionV relativeFrom="paragraph">
                  <wp:posOffset>229235</wp:posOffset>
                </wp:positionV>
                <wp:extent cx="1423035" cy="1955800"/>
                <wp:effectExtent l="0" t="0" r="0" b="6350"/>
                <wp:wrapTight wrapText="bothSides">
                  <wp:wrapPolygon edited="0">
                    <wp:start x="867" y="0"/>
                    <wp:lineTo x="867" y="21460"/>
                    <wp:lineTo x="20530" y="21460"/>
                    <wp:lineTo x="20530" y="0"/>
                    <wp:lineTo x="867" y="0"/>
                  </wp:wrapPolygon>
                </wp:wrapTight>
                <wp:docPr id="1911399044" name="Pole tekstowe 1911399044" descr="29,7% rolników specjalizujących się w produkcji roślinnej przewiduje, że wydatki inwestycyjne w pierwszym półroczu 2026 r. pozostaną na tym samym poziomie. Wzrostu wydatków spodziewa się 60,1% respondentów, a pozostali prognozują ich zmniejs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035" cy="195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447F2" w14:textId="77777777" w:rsidR="003B61E1" w:rsidRPr="00E9425A" w:rsidRDefault="003B61E1" w:rsidP="00D726D8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61,0% rolników specjalizujących się w</w:t>
                            </w:r>
                            <w:r w:rsidR="00D83EA8"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produkcji roślinnej przewiduje wzrost wydatków inwestycyjnych w</w:t>
                            </w:r>
                            <w:r w:rsidR="0063737D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2.</w:t>
                            </w:r>
                            <w:r w:rsidR="00D83EA8"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półroczu 2026 r., a</w:t>
                            </w:r>
                            <w:r w:rsidR="00D83EA8"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E9425A">
                              <w:rPr>
                                <w:rFonts w:ascii="Fira Sans" w:eastAsia="Calibri" w:hAnsi="Fira Sans" w:cs="Times New Roman"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28,9% – utrzymanie ich na dotychczasowym poziomie. Pozostali prognozują ich zmniejszenie</w:t>
                            </w:r>
                          </w:p>
                          <w:p w14:paraId="0909012F" w14:textId="77777777" w:rsidR="003B61E1" w:rsidRPr="001B7335" w:rsidRDefault="003B61E1" w:rsidP="00D726D8">
                            <w:pPr>
                              <w:pStyle w:val="Tekstkomentarza"/>
                              <w:spacing w:after="0" w:line="240" w:lineRule="exact"/>
                              <w:rPr>
                                <w:rFonts w:ascii="Fira Sans" w:eastAsia="Calibri" w:hAnsi="Fira Sans" w:cs="Times New Roman"/>
                                <w:bCs/>
                                <w:strike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6D33C" id="Pole tekstowe 1911399044" o:spid="_x0000_s1039" type="#_x0000_t202" alt="29,7% rolników specjalizujących się w produkcji roślinnej przewiduje, że wydatki inwestycyjne w pierwszym półroczu 2026 r. pozostaną na tym samym poziomie. Wzrostu wydatków spodziewa się 60,1% respondentów, a pozostali prognozują ich zmniejszenie" style="position:absolute;margin-left:469.5pt;margin-top:18.05pt;width:112.05pt;height:154pt;z-index:-2502983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" filled="f" stroked="f">
                <v:textbox>
                  <w:txbxContent>
                    <w:p w14:paraId="54C447F2" w14:textId="77777777" w:rsidR="003B61E1" w:rsidRPr="00E9425A" w:rsidRDefault="003B61E1" w:rsidP="00D726D8">
                      <w:pPr>
                        <w:pStyle w:val="Tekstkomentarza"/>
                        <w:spacing w:after="0" w:line="240" w:lineRule="exact"/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61,0% rolników specjalizujących się w</w:t>
                      </w:r>
                      <w:r w:rsidR="00D83EA8"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produkcji roślinnej przewiduje wzrost wydatków inwestycyjnych w</w:t>
                      </w:r>
                      <w:r w:rsidR="0063737D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2.</w:t>
                      </w:r>
                      <w:r w:rsidR="00D83EA8"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półroczu 2026 r., a</w:t>
                      </w:r>
                      <w:r w:rsidR="00D83EA8"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E9425A">
                        <w:rPr>
                          <w:rFonts w:ascii="Fira Sans" w:eastAsia="Calibri" w:hAnsi="Fira Sans" w:cs="Times New Roman"/>
                          <w:bCs/>
                          <w:color w:val="002060"/>
                          <w:sz w:val="18"/>
                          <w:szCs w:val="18"/>
                        </w:rPr>
                        <w:t>28,9% – utrzymanie ich na dotychczasowym poziomie. Pozostali prognozują ich zmniejszenie</w:t>
                      </w:r>
                    </w:p>
                    <w:p w14:paraId="0909012F" w14:textId="77777777" w:rsidR="003B61E1" w:rsidRPr="001B7335" w:rsidRDefault="003B61E1" w:rsidP="00D726D8">
                      <w:pPr>
                        <w:pStyle w:val="Tekstkomentarza"/>
                        <w:spacing w:after="0" w:line="240" w:lineRule="exact"/>
                        <w:rPr>
                          <w:rFonts w:ascii="Fira Sans" w:eastAsia="Calibri" w:hAnsi="Fira Sans" w:cs="Times New Roman"/>
                          <w:bCs/>
                          <w:strike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6D8" w:rsidRPr="000A38FD">
        <w:rPr>
          <w:rFonts w:ascii="Fira Sans" w:hAnsi="Fira Sans"/>
          <w:sz w:val="19"/>
          <w:szCs w:val="19"/>
        </w:rPr>
        <w:t>Wśród użytkowników gospodarstw rolnych, którzy</w:t>
      </w:r>
      <w:r w:rsidR="00D726D8">
        <w:rPr>
          <w:rFonts w:ascii="Fira Sans" w:hAnsi="Fira Sans"/>
          <w:sz w:val="19"/>
          <w:szCs w:val="19"/>
        </w:rPr>
        <w:t xml:space="preserve"> ponosili</w:t>
      </w:r>
      <w:r w:rsidR="00D726D8" w:rsidRPr="000A38FD">
        <w:rPr>
          <w:rFonts w:ascii="Fira Sans" w:hAnsi="Fira Sans"/>
          <w:sz w:val="19"/>
          <w:szCs w:val="19"/>
        </w:rPr>
        <w:t xml:space="preserve"> wydatki inwestycyjne w</w:t>
      </w:r>
      <w:r w:rsidR="00D726D8">
        <w:rPr>
          <w:rFonts w:ascii="Fira Sans" w:hAnsi="Fira Sans"/>
          <w:sz w:val="19"/>
          <w:szCs w:val="19"/>
        </w:rPr>
        <w:t> </w:t>
      </w:r>
      <w:r w:rsidR="001B7335">
        <w:rPr>
          <w:rFonts w:ascii="Fira Sans" w:hAnsi="Fira Sans"/>
          <w:sz w:val="19"/>
          <w:szCs w:val="19"/>
        </w:rPr>
        <w:t>1. </w:t>
      </w:r>
      <w:r w:rsidR="00D726D8" w:rsidRPr="000A38FD">
        <w:rPr>
          <w:rFonts w:ascii="Fira Sans" w:hAnsi="Fira Sans"/>
          <w:sz w:val="19"/>
          <w:szCs w:val="19"/>
        </w:rPr>
        <w:t>półroczu 202</w:t>
      </w:r>
      <w:r w:rsidR="00D726D8">
        <w:rPr>
          <w:rFonts w:ascii="Fira Sans" w:hAnsi="Fira Sans"/>
          <w:sz w:val="19"/>
          <w:szCs w:val="19"/>
        </w:rPr>
        <w:t>6</w:t>
      </w:r>
      <w:r w:rsidR="00D726D8" w:rsidRPr="000A38FD">
        <w:rPr>
          <w:rFonts w:ascii="Fira Sans" w:hAnsi="Fira Sans"/>
          <w:sz w:val="19"/>
          <w:szCs w:val="19"/>
        </w:rPr>
        <w:t xml:space="preserve"> r., odnotowano przewagę odsetka rolników wskazujących na wzrost wydatków nad tymi, którzy </w:t>
      </w:r>
      <w:r w:rsidR="00D726D8">
        <w:rPr>
          <w:rFonts w:ascii="Fira Sans" w:hAnsi="Fira Sans"/>
          <w:sz w:val="19"/>
          <w:szCs w:val="19"/>
        </w:rPr>
        <w:t>zaobserwowali ich zmniejszenie</w:t>
      </w:r>
      <w:r w:rsidR="00D726D8" w:rsidRPr="000A38FD">
        <w:rPr>
          <w:rFonts w:ascii="Fira Sans" w:hAnsi="Fira Sans"/>
          <w:sz w:val="19"/>
          <w:szCs w:val="19"/>
        </w:rPr>
        <w:t>. W rezultacie saldo odpowiedzi na</w:t>
      </w:r>
      <w:r w:rsidR="00D726D8">
        <w:rPr>
          <w:rFonts w:ascii="Fira Sans" w:hAnsi="Fira Sans"/>
          <w:sz w:val="19"/>
          <w:szCs w:val="19"/>
        </w:rPr>
        <w:t> </w:t>
      </w:r>
      <w:r w:rsidR="00D726D8" w:rsidRPr="000A38FD">
        <w:rPr>
          <w:rFonts w:ascii="Fira Sans" w:hAnsi="Fira Sans"/>
          <w:sz w:val="19"/>
          <w:szCs w:val="19"/>
        </w:rPr>
        <w:t xml:space="preserve">pytanie o </w:t>
      </w:r>
      <w:r w:rsidR="00D726D8">
        <w:rPr>
          <w:rFonts w:ascii="Fira Sans" w:hAnsi="Fira Sans"/>
          <w:sz w:val="19"/>
          <w:szCs w:val="19"/>
        </w:rPr>
        <w:t xml:space="preserve">zmianę </w:t>
      </w:r>
      <w:r w:rsidR="00D726D8" w:rsidRPr="000A38FD">
        <w:rPr>
          <w:rFonts w:ascii="Fira Sans" w:hAnsi="Fira Sans"/>
          <w:sz w:val="19"/>
          <w:szCs w:val="19"/>
        </w:rPr>
        <w:t xml:space="preserve">wielkości </w:t>
      </w:r>
      <w:r w:rsidR="00D726D8">
        <w:rPr>
          <w:rFonts w:ascii="Fira Sans" w:hAnsi="Fira Sans"/>
          <w:sz w:val="19"/>
          <w:szCs w:val="19"/>
        </w:rPr>
        <w:t xml:space="preserve">wydatków </w:t>
      </w:r>
      <w:r w:rsidR="00D726D8" w:rsidRPr="000A38FD">
        <w:rPr>
          <w:rFonts w:ascii="Fira Sans" w:hAnsi="Fira Sans"/>
          <w:sz w:val="19"/>
          <w:szCs w:val="19"/>
        </w:rPr>
        <w:t>inwesty</w:t>
      </w:r>
      <w:r w:rsidR="00D726D8">
        <w:rPr>
          <w:rFonts w:ascii="Fira Sans" w:hAnsi="Fira Sans"/>
          <w:sz w:val="19"/>
          <w:szCs w:val="19"/>
        </w:rPr>
        <w:t>cyjnych</w:t>
      </w:r>
      <w:r w:rsidR="00D726D8" w:rsidRPr="000A38FD">
        <w:rPr>
          <w:rFonts w:ascii="Fira Sans" w:hAnsi="Fira Sans"/>
          <w:sz w:val="19"/>
          <w:szCs w:val="19"/>
        </w:rPr>
        <w:t xml:space="preserve"> </w:t>
      </w:r>
      <w:r w:rsidR="00D726D8">
        <w:rPr>
          <w:rFonts w:ascii="Fira Sans" w:hAnsi="Fira Sans"/>
          <w:sz w:val="19"/>
          <w:szCs w:val="19"/>
        </w:rPr>
        <w:t xml:space="preserve">było dodatnie i </w:t>
      </w:r>
      <w:r w:rsidR="00D726D8" w:rsidRPr="000A38FD">
        <w:rPr>
          <w:rFonts w:ascii="Fira Sans" w:hAnsi="Fira Sans"/>
          <w:sz w:val="19"/>
          <w:szCs w:val="19"/>
        </w:rPr>
        <w:t xml:space="preserve">wyniosło </w:t>
      </w:r>
      <w:r w:rsidR="00D726D8">
        <w:rPr>
          <w:rFonts w:ascii="Fira Sans" w:hAnsi="Fira Sans"/>
          <w:sz w:val="19"/>
          <w:szCs w:val="19"/>
        </w:rPr>
        <w:t>48,9</w:t>
      </w:r>
      <w:r w:rsidR="00272C4F">
        <w:rPr>
          <w:rFonts w:ascii="Fira Sans" w:hAnsi="Fira Sans"/>
          <w:sz w:val="19"/>
          <w:szCs w:val="19"/>
        </w:rPr>
        <w:t>.</w:t>
      </w:r>
      <w:r w:rsidR="00D726D8" w:rsidRPr="00B27031">
        <w:t xml:space="preserve"> </w:t>
      </w:r>
      <w:r w:rsidR="00D726D8" w:rsidRPr="00B27031">
        <w:rPr>
          <w:rFonts w:ascii="Fira Sans" w:hAnsi="Fira Sans"/>
          <w:sz w:val="19"/>
          <w:szCs w:val="19"/>
        </w:rPr>
        <w:t>W</w:t>
      </w:r>
      <w:r w:rsidR="00D83EA8">
        <w:rPr>
          <w:rFonts w:ascii="Fira Sans" w:hAnsi="Fira Sans"/>
          <w:sz w:val="19"/>
          <w:szCs w:val="19"/>
        </w:rPr>
        <w:t> </w:t>
      </w:r>
      <w:r w:rsidR="00D726D8" w:rsidRPr="00B27031">
        <w:rPr>
          <w:rFonts w:ascii="Fira Sans" w:hAnsi="Fira Sans"/>
          <w:sz w:val="19"/>
          <w:szCs w:val="19"/>
        </w:rPr>
        <w:t xml:space="preserve">porównaniu z </w:t>
      </w:r>
      <w:r w:rsidR="001B7335">
        <w:rPr>
          <w:rFonts w:ascii="Fira Sans" w:hAnsi="Fira Sans"/>
          <w:sz w:val="19"/>
          <w:szCs w:val="19"/>
        </w:rPr>
        <w:t>2.</w:t>
      </w:r>
      <w:r w:rsidR="001B7335" w:rsidRPr="00B27031">
        <w:rPr>
          <w:rFonts w:ascii="Fira Sans" w:hAnsi="Fira Sans"/>
          <w:sz w:val="19"/>
          <w:szCs w:val="19"/>
        </w:rPr>
        <w:t xml:space="preserve"> </w:t>
      </w:r>
      <w:r w:rsidR="00D726D8" w:rsidRPr="00B27031">
        <w:rPr>
          <w:rFonts w:ascii="Fira Sans" w:hAnsi="Fira Sans"/>
          <w:sz w:val="19"/>
          <w:szCs w:val="19"/>
        </w:rPr>
        <w:t>półroczem 2025 r. saldo wzrosło o 7,7 pkt</w:t>
      </w:r>
      <w:r w:rsidR="00272C4F">
        <w:rPr>
          <w:rFonts w:ascii="Fira Sans" w:hAnsi="Fira Sans"/>
          <w:sz w:val="19"/>
          <w:szCs w:val="19"/>
        </w:rPr>
        <w:t>.</w:t>
      </w:r>
      <w:r w:rsidR="00D726D8" w:rsidRPr="00B27031">
        <w:t xml:space="preserve"> </w:t>
      </w:r>
      <w:r w:rsidR="00D726D8" w:rsidRPr="00B27031">
        <w:rPr>
          <w:rFonts w:ascii="Fira Sans" w:hAnsi="Fira Sans"/>
          <w:sz w:val="19"/>
          <w:szCs w:val="19"/>
        </w:rPr>
        <w:t xml:space="preserve">Jednocześnie użytkownicy gospodarstw rolnych, którzy posiadają plany inwestycyjne na </w:t>
      </w:r>
      <w:r w:rsidR="001B7335">
        <w:rPr>
          <w:rFonts w:ascii="Fira Sans" w:hAnsi="Fira Sans"/>
          <w:sz w:val="19"/>
          <w:szCs w:val="19"/>
        </w:rPr>
        <w:t>2.</w:t>
      </w:r>
      <w:r w:rsidR="001B7335" w:rsidRPr="00B27031">
        <w:rPr>
          <w:rFonts w:ascii="Fira Sans" w:hAnsi="Fira Sans"/>
          <w:sz w:val="19"/>
          <w:szCs w:val="19"/>
        </w:rPr>
        <w:t xml:space="preserve"> </w:t>
      </w:r>
      <w:r w:rsidR="00D726D8" w:rsidRPr="00B27031">
        <w:rPr>
          <w:rFonts w:ascii="Fira Sans" w:hAnsi="Fira Sans"/>
          <w:sz w:val="19"/>
          <w:szCs w:val="19"/>
        </w:rPr>
        <w:t xml:space="preserve">półrocze 2026 r., w większości przewidują dalszy wzrost nakładów. Saldo odpowiedzi na pytanie dotyczące planowanych wydatków wyniosło 44,3. </w:t>
      </w:r>
      <w:r w:rsidR="00D726D8">
        <w:rPr>
          <w:rFonts w:ascii="Fira Sans" w:hAnsi="Fira Sans"/>
          <w:sz w:val="19"/>
          <w:szCs w:val="19"/>
        </w:rPr>
        <w:t>Jednak w</w:t>
      </w:r>
      <w:r w:rsidR="00D726D8" w:rsidRPr="00B27031">
        <w:rPr>
          <w:rFonts w:ascii="Fira Sans" w:hAnsi="Fira Sans"/>
          <w:sz w:val="19"/>
          <w:szCs w:val="19"/>
        </w:rPr>
        <w:t xml:space="preserve"> porównaniu z prognozami na </w:t>
      </w:r>
      <w:r w:rsidR="001B7335">
        <w:rPr>
          <w:rFonts w:ascii="Fira Sans" w:hAnsi="Fira Sans"/>
          <w:sz w:val="19"/>
          <w:szCs w:val="19"/>
        </w:rPr>
        <w:t>1.</w:t>
      </w:r>
      <w:r w:rsidR="001B7335" w:rsidRPr="00B27031">
        <w:rPr>
          <w:rFonts w:ascii="Fira Sans" w:hAnsi="Fira Sans"/>
          <w:sz w:val="19"/>
          <w:szCs w:val="19"/>
        </w:rPr>
        <w:t xml:space="preserve"> </w:t>
      </w:r>
      <w:r w:rsidR="00D726D8" w:rsidRPr="00B27031">
        <w:rPr>
          <w:rFonts w:ascii="Fira Sans" w:hAnsi="Fira Sans"/>
          <w:sz w:val="19"/>
          <w:szCs w:val="19"/>
        </w:rPr>
        <w:t>półrocze 2026 r. omawiane saldo było niższe o 2,9 pkt</w:t>
      </w:r>
      <w:r w:rsidR="0076125B">
        <w:rPr>
          <w:rFonts w:ascii="Fira Sans" w:hAnsi="Fira Sans"/>
          <w:sz w:val="19"/>
          <w:szCs w:val="19"/>
        </w:rPr>
        <w:t>.</w:t>
      </w:r>
    </w:p>
    <w:p w14:paraId="2930E1BD" w14:textId="77777777" w:rsidR="00D726D8" w:rsidRPr="0095353F" w:rsidRDefault="00D726D8" w:rsidP="00D83EA8">
      <w:pPr>
        <w:spacing w:before="120" w:after="120" w:line="288" w:lineRule="auto"/>
        <w:rPr>
          <w:rFonts w:ascii="Fira Sans" w:hAnsi="Fira Sans"/>
          <w:sz w:val="19"/>
          <w:szCs w:val="19"/>
        </w:rPr>
      </w:pPr>
      <w:r w:rsidRPr="0095353F">
        <w:rPr>
          <w:rFonts w:ascii="Fira Sans" w:hAnsi="Fira Sans"/>
          <w:sz w:val="19"/>
          <w:szCs w:val="19"/>
        </w:rPr>
        <w:t>Uwzględniając powierzchnię użytków rolnych,</w:t>
      </w:r>
      <w:r>
        <w:rPr>
          <w:rFonts w:ascii="Fira Sans" w:hAnsi="Fira Sans"/>
          <w:sz w:val="19"/>
          <w:szCs w:val="19"/>
        </w:rPr>
        <w:t xml:space="preserve"> </w:t>
      </w:r>
      <w:r w:rsidR="00C14757">
        <w:rPr>
          <w:rFonts w:ascii="Fira Sans" w:hAnsi="Fira Sans"/>
          <w:sz w:val="19"/>
          <w:szCs w:val="19"/>
        </w:rPr>
        <w:t xml:space="preserve">najwyższe saldo </w:t>
      </w:r>
      <w:r>
        <w:rPr>
          <w:rFonts w:ascii="Fira Sans" w:hAnsi="Fira Sans"/>
          <w:sz w:val="19"/>
          <w:szCs w:val="19"/>
        </w:rPr>
        <w:t xml:space="preserve">odpowiedzi na pytanie dotyczące zmiany poziomu wydatków inwestycyjnych w </w:t>
      </w:r>
      <w:r w:rsidR="00C14757">
        <w:rPr>
          <w:rFonts w:ascii="Fira Sans" w:hAnsi="Fira Sans"/>
          <w:sz w:val="19"/>
          <w:szCs w:val="19"/>
        </w:rPr>
        <w:t xml:space="preserve">1. </w:t>
      </w:r>
      <w:r>
        <w:rPr>
          <w:rFonts w:ascii="Fira Sans" w:hAnsi="Fira Sans"/>
          <w:sz w:val="19"/>
          <w:szCs w:val="19"/>
        </w:rPr>
        <w:t xml:space="preserve">półroczu 2026 r. </w:t>
      </w:r>
      <w:r w:rsidR="00C14757">
        <w:rPr>
          <w:rFonts w:ascii="Fira Sans" w:hAnsi="Fira Sans"/>
          <w:sz w:val="19"/>
          <w:szCs w:val="19"/>
        </w:rPr>
        <w:t xml:space="preserve">odnotowano </w:t>
      </w:r>
      <w:r>
        <w:rPr>
          <w:rFonts w:ascii="Fira Sans" w:hAnsi="Fira Sans"/>
          <w:sz w:val="19"/>
          <w:szCs w:val="19"/>
        </w:rPr>
        <w:t>w</w:t>
      </w:r>
      <w:r w:rsidR="00AE7BDE">
        <w:rPr>
          <w:rFonts w:ascii="Fira Sans" w:hAnsi="Fira Sans"/>
          <w:sz w:val="19"/>
          <w:szCs w:val="19"/>
        </w:rPr>
        <w:t> </w:t>
      </w:r>
      <w:r w:rsidRPr="0095353F">
        <w:rPr>
          <w:rFonts w:ascii="Fira Sans" w:hAnsi="Fira Sans"/>
          <w:sz w:val="19"/>
          <w:szCs w:val="19"/>
        </w:rPr>
        <w:t xml:space="preserve">grupie gospodarstw o powierzchni od </w:t>
      </w:r>
      <w:r>
        <w:rPr>
          <w:rFonts w:ascii="Fira Sans" w:hAnsi="Fira Sans"/>
          <w:sz w:val="19"/>
          <w:szCs w:val="19"/>
        </w:rPr>
        <w:t>1</w:t>
      </w:r>
      <w:r w:rsidRPr="0095353F">
        <w:rPr>
          <w:rFonts w:ascii="Fira Sans" w:hAnsi="Fira Sans"/>
          <w:sz w:val="19"/>
          <w:szCs w:val="19"/>
        </w:rPr>
        <w:t xml:space="preserve"> do </w:t>
      </w:r>
      <w:r>
        <w:rPr>
          <w:rFonts w:ascii="Fira Sans" w:hAnsi="Fira Sans"/>
          <w:sz w:val="19"/>
          <w:szCs w:val="19"/>
        </w:rPr>
        <w:t>2</w:t>
      </w:r>
      <w:r w:rsidRPr="0095353F">
        <w:rPr>
          <w:rFonts w:ascii="Fira Sans" w:hAnsi="Fira Sans"/>
          <w:sz w:val="19"/>
          <w:szCs w:val="19"/>
        </w:rPr>
        <w:t xml:space="preserve"> ha </w:t>
      </w:r>
      <w:r>
        <w:rPr>
          <w:rFonts w:ascii="Fira Sans" w:hAnsi="Fira Sans"/>
          <w:sz w:val="19"/>
          <w:szCs w:val="19"/>
        </w:rPr>
        <w:t xml:space="preserve">(58,0) </w:t>
      </w:r>
      <w:r w:rsidRPr="0095353F">
        <w:rPr>
          <w:rFonts w:ascii="Fira Sans" w:hAnsi="Fira Sans"/>
          <w:sz w:val="19"/>
          <w:szCs w:val="19"/>
        </w:rPr>
        <w:t xml:space="preserve">oraz od </w:t>
      </w:r>
      <w:r>
        <w:rPr>
          <w:rFonts w:ascii="Fira Sans" w:hAnsi="Fira Sans"/>
          <w:sz w:val="19"/>
          <w:szCs w:val="19"/>
        </w:rPr>
        <w:t>10</w:t>
      </w:r>
      <w:r w:rsidRPr="0095353F">
        <w:rPr>
          <w:rFonts w:ascii="Fira Sans" w:hAnsi="Fira Sans"/>
          <w:sz w:val="19"/>
          <w:szCs w:val="19"/>
        </w:rPr>
        <w:t xml:space="preserve"> do 1</w:t>
      </w:r>
      <w:r>
        <w:rPr>
          <w:rFonts w:ascii="Fira Sans" w:hAnsi="Fira Sans"/>
          <w:sz w:val="19"/>
          <w:szCs w:val="19"/>
        </w:rPr>
        <w:t>5 </w:t>
      </w:r>
      <w:r w:rsidRPr="0095353F">
        <w:rPr>
          <w:rFonts w:ascii="Fira Sans" w:hAnsi="Fira Sans"/>
          <w:sz w:val="19"/>
          <w:szCs w:val="19"/>
        </w:rPr>
        <w:t>ha</w:t>
      </w:r>
      <w:r>
        <w:rPr>
          <w:rFonts w:ascii="Fira Sans" w:hAnsi="Fira Sans"/>
          <w:sz w:val="19"/>
          <w:szCs w:val="19"/>
        </w:rPr>
        <w:t xml:space="preserve"> (55,2)</w:t>
      </w:r>
      <w:r w:rsidRPr="0095353F">
        <w:rPr>
          <w:rFonts w:ascii="Fira Sans" w:hAnsi="Fira Sans"/>
          <w:sz w:val="19"/>
          <w:szCs w:val="19"/>
        </w:rPr>
        <w:t>. Natomiast</w:t>
      </w:r>
      <w:r w:rsidR="00AE7BDE">
        <w:rPr>
          <w:rFonts w:ascii="Fira Sans" w:hAnsi="Fira Sans"/>
          <w:sz w:val="19"/>
          <w:szCs w:val="19"/>
        </w:rPr>
        <w:t> </w:t>
      </w:r>
      <w:r w:rsidRPr="0095353F">
        <w:rPr>
          <w:rFonts w:ascii="Fira Sans" w:hAnsi="Fira Sans"/>
          <w:sz w:val="19"/>
          <w:szCs w:val="19"/>
        </w:rPr>
        <w:t xml:space="preserve">wśród </w:t>
      </w:r>
      <w:r>
        <w:rPr>
          <w:rFonts w:ascii="Fira Sans" w:hAnsi="Fira Sans"/>
          <w:sz w:val="19"/>
          <w:szCs w:val="19"/>
        </w:rPr>
        <w:t>gospodarstw, które przewidują podjęcie i</w:t>
      </w:r>
      <w:r w:rsidRPr="0095353F">
        <w:rPr>
          <w:rFonts w:ascii="Fira Sans" w:hAnsi="Fira Sans"/>
          <w:sz w:val="19"/>
          <w:szCs w:val="19"/>
        </w:rPr>
        <w:t>nwestycji w</w:t>
      </w:r>
      <w:r>
        <w:rPr>
          <w:rFonts w:ascii="Fira Sans" w:hAnsi="Fira Sans"/>
          <w:sz w:val="19"/>
          <w:szCs w:val="19"/>
        </w:rPr>
        <w:t xml:space="preserve"> </w:t>
      </w:r>
      <w:r w:rsidR="00C14757">
        <w:rPr>
          <w:rFonts w:ascii="Fira Sans" w:hAnsi="Fira Sans"/>
          <w:sz w:val="19"/>
          <w:szCs w:val="19"/>
        </w:rPr>
        <w:t xml:space="preserve">2. </w:t>
      </w:r>
      <w:r w:rsidRPr="0095353F">
        <w:rPr>
          <w:rFonts w:ascii="Fira Sans" w:hAnsi="Fira Sans"/>
          <w:sz w:val="19"/>
          <w:szCs w:val="19"/>
        </w:rPr>
        <w:t>półroczu 2026 r.,</w:t>
      </w:r>
      <w:r w:rsidR="00AB3E69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najwyższe saldo odnotowano</w:t>
      </w:r>
      <w:r w:rsidRPr="0095353F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w </w:t>
      </w:r>
      <w:r w:rsidRPr="0095353F">
        <w:rPr>
          <w:rFonts w:ascii="Fira Sans" w:hAnsi="Fira Sans"/>
          <w:sz w:val="19"/>
          <w:szCs w:val="19"/>
        </w:rPr>
        <w:t>gospodarstw</w:t>
      </w:r>
      <w:r>
        <w:rPr>
          <w:rFonts w:ascii="Fira Sans" w:hAnsi="Fira Sans"/>
          <w:sz w:val="19"/>
          <w:szCs w:val="19"/>
        </w:rPr>
        <w:t>ach</w:t>
      </w:r>
      <w:r w:rsidRPr="0095353F">
        <w:rPr>
          <w:rFonts w:ascii="Fira Sans" w:hAnsi="Fira Sans"/>
          <w:sz w:val="19"/>
          <w:szCs w:val="19"/>
        </w:rPr>
        <w:t xml:space="preserve"> o</w:t>
      </w:r>
      <w:r>
        <w:rPr>
          <w:rFonts w:ascii="Fira Sans" w:hAnsi="Fira Sans"/>
          <w:sz w:val="19"/>
          <w:szCs w:val="19"/>
        </w:rPr>
        <w:t> </w:t>
      </w:r>
      <w:r w:rsidRPr="0095353F">
        <w:rPr>
          <w:rFonts w:ascii="Fira Sans" w:hAnsi="Fira Sans"/>
          <w:sz w:val="19"/>
          <w:szCs w:val="19"/>
        </w:rPr>
        <w:t xml:space="preserve">powierzchni </w:t>
      </w:r>
      <w:r>
        <w:rPr>
          <w:rFonts w:ascii="Fira Sans" w:hAnsi="Fira Sans"/>
          <w:sz w:val="19"/>
          <w:szCs w:val="19"/>
        </w:rPr>
        <w:t>od 2 do 5 ha</w:t>
      </w:r>
      <w:r w:rsidRPr="0095353F">
        <w:rPr>
          <w:rFonts w:ascii="Fira Sans" w:hAnsi="Fira Sans"/>
          <w:sz w:val="19"/>
          <w:szCs w:val="19"/>
        </w:rPr>
        <w:t xml:space="preserve"> (</w:t>
      </w:r>
      <w:r>
        <w:rPr>
          <w:rFonts w:ascii="Fira Sans" w:hAnsi="Fira Sans"/>
          <w:sz w:val="19"/>
          <w:szCs w:val="19"/>
        </w:rPr>
        <w:t>60</w:t>
      </w:r>
      <w:r w:rsidRPr="0095353F">
        <w:rPr>
          <w:rFonts w:ascii="Fira Sans" w:hAnsi="Fira Sans"/>
          <w:sz w:val="19"/>
          <w:szCs w:val="19"/>
        </w:rPr>
        <w:t>,</w:t>
      </w:r>
      <w:r>
        <w:rPr>
          <w:rFonts w:ascii="Fira Sans" w:hAnsi="Fira Sans"/>
          <w:sz w:val="19"/>
          <w:szCs w:val="19"/>
        </w:rPr>
        <w:t>1</w:t>
      </w:r>
      <w:r w:rsidRPr="0095353F">
        <w:rPr>
          <w:rFonts w:ascii="Fira Sans" w:hAnsi="Fira Sans"/>
          <w:sz w:val="19"/>
          <w:szCs w:val="19"/>
        </w:rPr>
        <w:t xml:space="preserve">) oraz od </w:t>
      </w:r>
      <w:r>
        <w:rPr>
          <w:rFonts w:ascii="Fira Sans" w:hAnsi="Fira Sans"/>
          <w:sz w:val="19"/>
          <w:szCs w:val="19"/>
        </w:rPr>
        <w:t>5</w:t>
      </w:r>
      <w:r w:rsidR="000932D8">
        <w:rPr>
          <w:rFonts w:ascii="Fira Sans" w:hAnsi="Fira Sans"/>
          <w:sz w:val="19"/>
          <w:szCs w:val="19"/>
        </w:rPr>
        <w:t> </w:t>
      </w:r>
      <w:r w:rsidRPr="0095353F">
        <w:rPr>
          <w:rFonts w:ascii="Fira Sans" w:hAnsi="Fira Sans"/>
          <w:sz w:val="19"/>
          <w:szCs w:val="19"/>
        </w:rPr>
        <w:t>do</w:t>
      </w:r>
      <w:r>
        <w:rPr>
          <w:rFonts w:ascii="Fira Sans" w:hAnsi="Fira Sans"/>
          <w:sz w:val="19"/>
          <w:szCs w:val="19"/>
        </w:rPr>
        <w:t> 10</w:t>
      </w:r>
      <w:r w:rsidRPr="0095353F">
        <w:rPr>
          <w:rFonts w:ascii="Fira Sans" w:hAnsi="Fira Sans"/>
          <w:sz w:val="19"/>
          <w:szCs w:val="19"/>
        </w:rPr>
        <w:t xml:space="preserve"> ha (5</w:t>
      </w:r>
      <w:r>
        <w:rPr>
          <w:rFonts w:ascii="Fira Sans" w:hAnsi="Fira Sans"/>
          <w:sz w:val="19"/>
          <w:szCs w:val="19"/>
        </w:rPr>
        <w:t>0</w:t>
      </w:r>
      <w:r w:rsidRPr="0095353F">
        <w:rPr>
          <w:rFonts w:ascii="Fira Sans" w:hAnsi="Fira Sans"/>
          <w:sz w:val="19"/>
          <w:szCs w:val="19"/>
        </w:rPr>
        <w:t>,</w:t>
      </w:r>
      <w:r>
        <w:rPr>
          <w:rFonts w:ascii="Fira Sans" w:hAnsi="Fira Sans"/>
          <w:sz w:val="19"/>
          <w:szCs w:val="19"/>
        </w:rPr>
        <w:t>2</w:t>
      </w:r>
      <w:r w:rsidRPr="0095353F">
        <w:rPr>
          <w:rFonts w:ascii="Fira Sans" w:hAnsi="Fira Sans"/>
          <w:sz w:val="19"/>
          <w:szCs w:val="19"/>
        </w:rPr>
        <w:t>).</w:t>
      </w:r>
    </w:p>
    <w:p w14:paraId="5350C6CE" w14:textId="77777777" w:rsidR="00D726D8" w:rsidRDefault="00D726D8" w:rsidP="00AE7BDE">
      <w:pPr>
        <w:spacing w:before="240" w:after="120" w:line="288" w:lineRule="auto"/>
        <w:rPr>
          <w:rFonts w:ascii="Fira Sans" w:hAnsi="Fira Sans"/>
          <w:sz w:val="19"/>
          <w:szCs w:val="19"/>
        </w:rPr>
      </w:pPr>
      <w:r w:rsidRPr="00185238">
        <w:rPr>
          <w:rFonts w:ascii="Fira Sans" w:hAnsi="Fira Sans"/>
          <w:b/>
          <w:color w:val="002060"/>
          <w:sz w:val="24"/>
          <w:szCs w:val="24"/>
        </w:rPr>
        <w:t>Czynniki sprzyjające i ograniczające rozwój gospodarstw rolnych</w:t>
      </w:r>
      <w:r w:rsidRPr="006336E2">
        <w:rPr>
          <w:rFonts w:ascii="Fira Sans" w:hAnsi="Fira Sans"/>
          <w:sz w:val="19"/>
          <w:szCs w:val="19"/>
        </w:rPr>
        <w:t xml:space="preserve"> </w:t>
      </w:r>
    </w:p>
    <w:p w14:paraId="5CE7C10C" w14:textId="77777777" w:rsidR="00D726D8" w:rsidRDefault="005E74D7" w:rsidP="005E74D7">
      <w:pPr>
        <w:spacing w:before="120" w:after="120" w:line="288" w:lineRule="auto"/>
        <w:rPr>
          <w:rFonts w:ascii="Fira Sans" w:hAnsi="Fira Sans"/>
          <w:sz w:val="19"/>
          <w:szCs w:val="19"/>
        </w:rPr>
      </w:pPr>
      <w:r w:rsidRPr="005E74D7">
        <w:rPr>
          <w:rFonts w:ascii="Fira Sans" w:hAnsi="Fira Sans"/>
          <w:sz w:val="19"/>
          <w:szCs w:val="19"/>
        </w:rPr>
        <w:t>Według użytkowników gospodarstw rolnych najważniejszym czynnikiem sprzyjającym rozwojowi gospodarstw w 1. półroczu 2026 r. była możliwość korzystania ze wsparcia unijnego - wskazało ją 66,1% rolników biorących udział w badaniu (o 3,1 p.proc. więcej niż w</w:t>
      </w:r>
      <w:r w:rsidR="00AE7BDE">
        <w:rPr>
          <w:rFonts w:ascii="Fira Sans" w:hAnsi="Fira Sans"/>
          <w:sz w:val="19"/>
          <w:szCs w:val="19"/>
        </w:rPr>
        <w:t> </w:t>
      </w:r>
      <w:r w:rsidRPr="005E74D7">
        <w:rPr>
          <w:rFonts w:ascii="Fira Sans" w:hAnsi="Fira Sans"/>
          <w:sz w:val="19"/>
          <w:szCs w:val="19"/>
        </w:rPr>
        <w:t>2.</w:t>
      </w:r>
      <w:r w:rsidR="00AE7BDE">
        <w:rPr>
          <w:rFonts w:ascii="Fira Sans" w:hAnsi="Fira Sans"/>
          <w:sz w:val="19"/>
          <w:szCs w:val="19"/>
        </w:rPr>
        <w:t> </w:t>
      </w:r>
      <w:r w:rsidRPr="005E74D7">
        <w:rPr>
          <w:rFonts w:ascii="Fira Sans" w:hAnsi="Fira Sans"/>
          <w:sz w:val="19"/>
          <w:szCs w:val="19"/>
        </w:rPr>
        <w:t>półroczu 2025 r.)</w:t>
      </w:r>
      <w:r w:rsidR="003525E7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  <w:r w:rsidR="00D726D8">
        <w:rPr>
          <w:rFonts w:ascii="Fira Sans" w:hAnsi="Fira Sans"/>
          <w:sz w:val="19"/>
          <w:szCs w:val="19"/>
        </w:rPr>
        <w:t xml:space="preserve">Drugim najczęściej wskazywanym czynnikiem była dostępność kredytów preferencyjnych, </w:t>
      </w:r>
      <w:r w:rsidR="00D726D8" w:rsidRPr="00185238">
        <w:rPr>
          <w:rFonts w:ascii="Fira Sans" w:hAnsi="Fira Sans"/>
          <w:sz w:val="19"/>
          <w:szCs w:val="19"/>
        </w:rPr>
        <w:t>któr</w:t>
      </w:r>
      <w:r w:rsidR="00D726D8">
        <w:rPr>
          <w:rFonts w:ascii="Fira Sans" w:hAnsi="Fira Sans"/>
          <w:sz w:val="19"/>
          <w:szCs w:val="19"/>
        </w:rPr>
        <w:t>ą</w:t>
      </w:r>
      <w:r w:rsidR="00D726D8" w:rsidRPr="00185238">
        <w:rPr>
          <w:rFonts w:ascii="Fira Sans" w:hAnsi="Fira Sans"/>
          <w:sz w:val="19"/>
          <w:szCs w:val="19"/>
        </w:rPr>
        <w:t xml:space="preserve"> </w:t>
      </w:r>
      <w:r w:rsidR="00D726D8">
        <w:rPr>
          <w:rFonts w:ascii="Fira Sans" w:hAnsi="Fira Sans"/>
          <w:sz w:val="19"/>
          <w:szCs w:val="19"/>
        </w:rPr>
        <w:t>wymieniło</w:t>
      </w:r>
      <w:r w:rsidR="00D726D8" w:rsidRPr="00185238">
        <w:rPr>
          <w:rFonts w:ascii="Fira Sans" w:hAnsi="Fira Sans"/>
          <w:sz w:val="19"/>
          <w:szCs w:val="19"/>
        </w:rPr>
        <w:t xml:space="preserve"> </w:t>
      </w:r>
      <w:r w:rsidR="00D726D8">
        <w:rPr>
          <w:rFonts w:ascii="Fira Sans" w:hAnsi="Fira Sans"/>
          <w:sz w:val="19"/>
          <w:szCs w:val="19"/>
        </w:rPr>
        <w:t>13</w:t>
      </w:r>
      <w:r w:rsidR="00D726D8" w:rsidRPr="00185238">
        <w:rPr>
          <w:rFonts w:ascii="Fira Sans" w:hAnsi="Fira Sans"/>
          <w:sz w:val="19"/>
          <w:szCs w:val="19"/>
        </w:rPr>
        <w:t>,</w:t>
      </w:r>
      <w:r w:rsidR="00D726D8">
        <w:rPr>
          <w:rFonts w:ascii="Fira Sans" w:hAnsi="Fira Sans"/>
          <w:sz w:val="19"/>
          <w:szCs w:val="19"/>
        </w:rPr>
        <w:t>9</w:t>
      </w:r>
      <w:r w:rsidR="00D726D8" w:rsidRPr="00185238">
        <w:rPr>
          <w:rFonts w:ascii="Fira Sans" w:hAnsi="Fira Sans"/>
          <w:sz w:val="19"/>
          <w:szCs w:val="19"/>
        </w:rPr>
        <w:t xml:space="preserve">% respondentów </w:t>
      </w:r>
      <w:r w:rsidR="00D726D8" w:rsidRPr="00F83BCE">
        <w:rPr>
          <w:rFonts w:ascii="Fira Sans" w:hAnsi="Fira Sans"/>
          <w:sz w:val="19"/>
          <w:szCs w:val="19"/>
        </w:rPr>
        <w:t>(</w:t>
      </w:r>
      <w:r w:rsidR="00D726D8">
        <w:rPr>
          <w:rFonts w:ascii="Fira Sans" w:hAnsi="Fira Sans"/>
          <w:sz w:val="19"/>
          <w:szCs w:val="19"/>
        </w:rPr>
        <w:t xml:space="preserve">wzrost </w:t>
      </w:r>
      <w:r w:rsidR="00D726D8" w:rsidRPr="00F83BCE">
        <w:rPr>
          <w:rFonts w:ascii="Fira Sans" w:hAnsi="Fira Sans"/>
          <w:sz w:val="19"/>
          <w:szCs w:val="19"/>
        </w:rPr>
        <w:t>o</w:t>
      </w:r>
      <w:r w:rsidR="00D726D8">
        <w:rPr>
          <w:rFonts w:ascii="Fira Sans" w:hAnsi="Fira Sans"/>
          <w:sz w:val="19"/>
          <w:szCs w:val="19"/>
        </w:rPr>
        <w:t> 2</w:t>
      </w:r>
      <w:r w:rsidR="00D726D8" w:rsidRPr="00F83BCE">
        <w:rPr>
          <w:rFonts w:ascii="Fira Sans" w:hAnsi="Fira Sans"/>
          <w:sz w:val="19"/>
          <w:szCs w:val="19"/>
        </w:rPr>
        <w:t>,</w:t>
      </w:r>
      <w:r w:rsidR="00D726D8">
        <w:rPr>
          <w:rFonts w:ascii="Fira Sans" w:hAnsi="Fira Sans"/>
          <w:sz w:val="19"/>
          <w:szCs w:val="19"/>
        </w:rPr>
        <w:t>1 </w:t>
      </w:r>
      <w:r w:rsidR="00D726D8" w:rsidRPr="00F83BCE">
        <w:rPr>
          <w:rFonts w:ascii="Fira Sans" w:hAnsi="Fira Sans"/>
          <w:sz w:val="19"/>
          <w:szCs w:val="19"/>
        </w:rPr>
        <w:t>p.proc. w</w:t>
      </w:r>
      <w:r w:rsidR="00AE7BDE">
        <w:rPr>
          <w:rFonts w:ascii="Fira Sans" w:hAnsi="Fira Sans"/>
          <w:sz w:val="19"/>
          <w:szCs w:val="19"/>
        </w:rPr>
        <w:t> </w:t>
      </w:r>
      <w:r w:rsidR="00D726D8" w:rsidRPr="00F83BCE">
        <w:rPr>
          <w:rFonts w:ascii="Fira Sans" w:hAnsi="Fira Sans"/>
          <w:sz w:val="19"/>
          <w:szCs w:val="19"/>
        </w:rPr>
        <w:t>porównaniu z poprzednim półroczem).</w:t>
      </w:r>
      <w:r w:rsidR="00D726D8" w:rsidRPr="00F83BCE">
        <w:t xml:space="preserve"> </w:t>
      </w:r>
      <w:r w:rsidR="00C0015B" w:rsidRPr="00C0015B">
        <w:rPr>
          <w:rFonts w:ascii="Fira Sans" w:hAnsi="Fira Sans"/>
          <w:sz w:val="19"/>
          <w:szCs w:val="19"/>
        </w:rPr>
        <w:t>Do często wskazywanych czynników należały również korzystne ceny sprzedawanych produktów rolnych – wskazało je 11,4% badanych, o</w:t>
      </w:r>
      <w:r w:rsidR="00AE7BDE">
        <w:rPr>
          <w:rFonts w:ascii="Fira Sans" w:hAnsi="Fira Sans"/>
          <w:sz w:val="19"/>
          <w:szCs w:val="19"/>
        </w:rPr>
        <w:t> </w:t>
      </w:r>
      <w:r w:rsidR="00C0015B" w:rsidRPr="00C0015B">
        <w:rPr>
          <w:rFonts w:ascii="Fira Sans" w:hAnsi="Fira Sans"/>
          <w:sz w:val="19"/>
          <w:szCs w:val="19"/>
        </w:rPr>
        <w:t>4,4 p.proc. mniej niż w 2. półroczu 2025 r</w:t>
      </w:r>
      <w:r w:rsidR="00D726D8" w:rsidRPr="00F83BCE">
        <w:rPr>
          <w:rFonts w:ascii="Fira Sans" w:hAnsi="Fira Sans"/>
          <w:sz w:val="19"/>
          <w:szCs w:val="19"/>
        </w:rPr>
        <w:t>.</w:t>
      </w:r>
    </w:p>
    <w:p w14:paraId="41E5DEFF" w14:textId="77777777" w:rsidR="00D726D8" w:rsidRDefault="00DF2EEB" w:rsidP="00DF2EEB">
      <w:pPr>
        <w:spacing w:before="120" w:after="120" w:line="288" w:lineRule="auto"/>
        <w:rPr>
          <w:rFonts w:ascii="Fira Sans" w:hAnsi="Fira Sans"/>
          <w:b/>
          <w:spacing w:val="-2"/>
          <w:sz w:val="19"/>
          <w:szCs w:val="19"/>
        </w:rPr>
      </w:pPr>
      <w:r w:rsidRPr="00DF2EEB">
        <w:rPr>
          <w:rFonts w:ascii="Fira Sans" w:hAnsi="Fira Sans"/>
          <w:sz w:val="19"/>
          <w:szCs w:val="19"/>
        </w:rPr>
        <w:t>Uwzględniając powierzchnię gospodarstw, możliwość korzystania ze wsparcia unijnego najczęściej wskazywali użytkownicy gospodarstw o powierzchni od 2 do 5 ha (71,6%). Korzystne ceny sprzedawanych produktów rolnych najczęściej wymieniali użytkownicy gospodarstw o powierzchni do 1 ha włącznie (23,1%), natomiast dostępność kredytów preferencyjnych – użytkownicy gospodarstw o powierzchni 100 ha i więcej (31,7%).</w:t>
      </w:r>
      <w:bookmarkEnd w:id="8"/>
    </w:p>
    <w:p w14:paraId="2AA8BD39" w14:textId="77777777" w:rsidR="00D726D8" w:rsidRDefault="00D726D8" w:rsidP="00246328">
      <w:pPr>
        <w:keepNext/>
        <w:spacing w:before="360" w:after="120" w:line="240" w:lineRule="auto"/>
        <w:rPr>
          <w:rFonts w:ascii="Fira Sans" w:hAnsi="Fira Sans"/>
          <w:b/>
          <w:spacing w:val="-2"/>
          <w:sz w:val="19"/>
          <w:szCs w:val="19"/>
        </w:rPr>
      </w:pPr>
      <w:r>
        <w:rPr>
          <w:rFonts w:ascii="Fira Sans" w:hAnsi="Fira Sans"/>
          <w:b/>
          <w:spacing w:val="-2"/>
          <w:sz w:val="19"/>
          <w:szCs w:val="19"/>
        </w:rPr>
        <w:lastRenderedPageBreak/>
        <w:t>Wykres 13</w:t>
      </w:r>
      <w:r w:rsidRPr="00E84352">
        <w:rPr>
          <w:rFonts w:ascii="Fira Sans" w:hAnsi="Fira Sans"/>
          <w:b/>
          <w:spacing w:val="-2"/>
          <w:sz w:val="19"/>
          <w:szCs w:val="19"/>
        </w:rPr>
        <w:t xml:space="preserve">. Czynniki </w:t>
      </w:r>
      <w:r>
        <w:rPr>
          <w:rFonts w:ascii="Fira Sans" w:hAnsi="Fira Sans"/>
          <w:b/>
          <w:spacing w:val="-2"/>
          <w:sz w:val="19"/>
          <w:szCs w:val="19"/>
        </w:rPr>
        <w:t>sprzyjające rozwojowi</w:t>
      </w:r>
      <w:r w:rsidRPr="00E84352">
        <w:rPr>
          <w:rFonts w:ascii="Fira Sans" w:hAnsi="Fira Sans"/>
          <w:b/>
          <w:spacing w:val="-2"/>
          <w:sz w:val="19"/>
          <w:szCs w:val="19"/>
        </w:rPr>
        <w:t xml:space="preserve"> gospodarstw roln</w:t>
      </w:r>
      <w:r>
        <w:rPr>
          <w:rFonts w:ascii="Fira Sans" w:hAnsi="Fira Sans"/>
          <w:b/>
          <w:spacing w:val="-2"/>
          <w:sz w:val="19"/>
          <w:szCs w:val="19"/>
        </w:rPr>
        <w:t>ych</w:t>
      </w:r>
      <w:r w:rsidRPr="00E84352">
        <w:rPr>
          <w:rFonts w:ascii="Fira Sans" w:hAnsi="Fira Sans"/>
          <w:b/>
          <w:spacing w:val="-2"/>
          <w:sz w:val="19"/>
          <w:szCs w:val="19"/>
        </w:rPr>
        <w:t xml:space="preserve"> </w:t>
      </w:r>
      <w:r>
        <w:rPr>
          <w:rFonts w:ascii="Fira Sans" w:hAnsi="Fira Sans"/>
          <w:b/>
          <w:spacing w:val="-2"/>
          <w:sz w:val="19"/>
          <w:szCs w:val="19"/>
        </w:rPr>
        <w:t>w 1</w:t>
      </w:r>
      <w:r w:rsidR="004221E0">
        <w:rPr>
          <w:rFonts w:ascii="Fira Sans" w:hAnsi="Fira Sans"/>
          <w:b/>
          <w:spacing w:val="-2"/>
          <w:sz w:val="19"/>
          <w:szCs w:val="19"/>
        </w:rPr>
        <w:t>.</w:t>
      </w:r>
      <w:r>
        <w:rPr>
          <w:rFonts w:ascii="Fira Sans" w:hAnsi="Fira Sans"/>
          <w:b/>
          <w:spacing w:val="-2"/>
          <w:sz w:val="19"/>
          <w:szCs w:val="19"/>
        </w:rPr>
        <w:t xml:space="preserve"> półroczu 2026 r.</w:t>
      </w:r>
    </w:p>
    <w:p w14:paraId="266FEC5B" w14:textId="77777777" w:rsidR="00D726D8" w:rsidRDefault="00AE7BDE" w:rsidP="00AE7BDE">
      <w:pPr>
        <w:spacing w:before="120" w:after="120" w:line="240" w:lineRule="auto"/>
        <w:rPr>
          <w:rFonts w:ascii="Fira Sans" w:hAnsi="Fira Sans"/>
          <w:b/>
          <w:spacing w:val="-2"/>
          <w:sz w:val="19"/>
          <w:szCs w:val="19"/>
        </w:rPr>
      </w:pPr>
      <w:r>
        <w:rPr>
          <w:rFonts w:ascii="Fira Sans" w:hAnsi="Fira Sans"/>
          <w:b/>
          <w:noProof/>
          <w:spacing w:val="-2"/>
          <w:sz w:val="19"/>
          <w:szCs w:val="19"/>
        </w:rPr>
        <w:drawing>
          <wp:inline distT="0" distB="0" distL="0" distR="0" wp14:anchorId="0773E082" wp14:editId="0378A256">
            <wp:extent cx="5187950" cy="2700655"/>
            <wp:effectExtent l="0" t="0" r="0" b="4445"/>
            <wp:docPr id="29" name="Obraz 29" descr="Wykres 13. Czynniki sprzyjające rozwojowi gospodarstw rolnych w 1. półrocz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Wykres 13. Czynniki sprzyjające rozwojowi gospodarstw rolnych w 1. półroczu 2026 r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70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CB1ED3" w14:textId="77777777" w:rsidR="00D726D8" w:rsidRDefault="00D726D8" w:rsidP="00AE7BDE">
      <w:pPr>
        <w:spacing w:before="240" w:after="120" w:line="288" w:lineRule="auto"/>
        <w:rPr>
          <w:rFonts w:ascii="Fira Sans" w:hAnsi="Fira Sans"/>
          <w:sz w:val="19"/>
          <w:szCs w:val="19"/>
        </w:rPr>
      </w:pPr>
      <w:r w:rsidRPr="00F83BCE">
        <w:rPr>
          <w:rFonts w:ascii="Fira Sans" w:hAnsi="Fira Sans"/>
          <w:sz w:val="19"/>
          <w:szCs w:val="19"/>
        </w:rPr>
        <w:t>Niezależnie od rodzaju prowadzonej produkcji rolnej</w:t>
      </w:r>
      <w:r>
        <w:rPr>
          <w:rFonts w:ascii="Fira Sans" w:hAnsi="Fira Sans"/>
          <w:sz w:val="19"/>
          <w:szCs w:val="19"/>
        </w:rPr>
        <w:t>,</w:t>
      </w:r>
      <w:r w:rsidRPr="00F83BCE">
        <w:rPr>
          <w:rFonts w:ascii="Fira Sans" w:hAnsi="Fira Sans"/>
          <w:sz w:val="19"/>
          <w:szCs w:val="19"/>
        </w:rPr>
        <w:t xml:space="preserve"> najczęściej wskazywanymi czynnikami ograniczającymi rozwój gospodarstw rolnych w </w:t>
      </w:r>
      <w:r w:rsidR="00C0015B">
        <w:rPr>
          <w:rFonts w:ascii="Fira Sans" w:hAnsi="Fira Sans"/>
          <w:sz w:val="19"/>
          <w:szCs w:val="19"/>
        </w:rPr>
        <w:t>1.</w:t>
      </w:r>
      <w:r w:rsidR="00C0015B" w:rsidRPr="00F83BCE">
        <w:rPr>
          <w:rFonts w:ascii="Fira Sans" w:hAnsi="Fira Sans"/>
          <w:sz w:val="19"/>
          <w:szCs w:val="19"/>
        </w:rPr>
        <w:t xml:space="preserve"> </w:t>
      </w:r>
      <w:r w:rsidRPr="00F83BCE">
        <w:rPr>
          <w:rFonts w:ascii="Fira Sans" w:hAnsi="Fira Sans"/>
          <w:sz w:val="19"/>
          <w:szCs w:val="19"/>
        </w:rPr>
        <w:t>półroczu 202</w:t>
      </w:r>
      <w:r>
        <w:rPr>
          <w:rFonts w:ascii="Fira Sans" w:hAnsi="Fira Sans"/>
          <w:sz w:val="19"/>
          <w:szCs w:val="19"/>
        </w:rPr>
        <w:t>6</w:t>
      </w:r>
      <w:r w:rsidRPr="00F83BCE">
        <w:rPr>
          <w:rFonts w:ascii="Fira Sans" w:hAnsi="Fira Sans"/>
          <w:sz w:val="19"/>
          <w:szCs w:val="19"/>
        </w:rPr>
        <w:t xml:space="preserve"> r. były </w:t>
      </w:r>
      <w:r w:rsidRPr="0060646E">
        <w:rPr>
          <w:rFonts w:ascii="Fira Sans" w:hAnsi="Fira Sans"/>
          <w:sz w:val="19"/>
          <w:szCs w:val="19"/>
        </w:rPr>
        <w:t xml:space="preserve">zbyt wysokie koszty produkcji </w:t>
      </w:r>
      <w:r w:rsidRPr="00F83BCE">
        <w:rPr>
          <w:rFonts w:ascii="Fira Sans" w:hAnsi="Fira Sans"/>
          <w:sz w:val="19"/>
          <w:szCs w:val="19"/>
        </w:rPr>
        <w:t>(7</w:t>
      </w:r>
      <w:r>
        <w:rPr>
          <w:rFonts w:ascii="Fira Sans" w:hAnsi="Fira Sans"/>
          <w:sz w:val="19"/>
          <w:szCs w:val="19"/>
        </w:rPr>
        <w:t>6</w:t>
      </w:r>
      <w:r w:rsidRPr="00F83BCE">
        <w:rPr>
          <w:rFonts w:ascii="Fira Sans" w:hAnsi="Fira Sans"/>
          <w:sz w:val="19"/>
          <w:szCs w:val="19"/>
        </w:rPr>
        <w:t>,</w:t>
      </w:r>
      <w:r>
        <w:rPr>
          <w:rFonts w:ascii="Fira Sans" w:hAnsi="Fira Sans"/>
          <w:sz w:val="19"/>
          <w:szCs w:val="19"/>
        </w:rPr>
        <w:t>0</w:t>
      </w:r>
      <w:r w:rsidRPr="00F83BCE">
        <w:rPr>
          <w:rFonts w:ascii="Fira Sans" w:hAnsi="Fira Sans"/>
          <w:sz w:val="19"/>
          <w:szCs w:val="19"/>
        </w:rPr>
        <w:t xml:space="preserve">%) oraz </w:t>
      </w:r>
      <w:r w:rsidRPr="0060646E">
        <w:rPr>
          <w:rFonts w:ascii="Fira Sans" w:hAnsi="Fira Sans"/>
          <w:sz w:val="19"/>
          <w:szCs w:val="19"/>
        </w:rPr>
        <w:t>zbyt niskie ceny zbytu produktów rolnych</w:t>
      </w:r>
      <w:r w:rsidRPr="00F83BCE">
        <w:rPr>
          <w:rFonts w:ascii="Fira Sans" w:hAnsi="Fira Sans"/>
          <w:sz w:val="19"/>
          <w:szCs w:val="19"/>
        </w:rPr>
        <w:t xml:space="preserve"> (</w:t>
      </w:r>
      <w:r>
        <w:rPr>
          <w:rFonts w:ascii="Fira Sans" w:hAnsi="Fira Sans"/>
          <w:sz w:val="19"/>
          <w:szCs w:val="19"/>
        </w:rPr>
        <w:t>74,7</w:t>
      </w:r>
      <w:r w:rsidRPr="00F83BCE">
        <w:rPr>
          <w:rFonts w:ascii="Fira Sans" w:hAnsi="Fira Sans"/>
          <w:sz w:val="19"/>
          <w:szCs w:val="19"/>
        </w:rPr>
        <w:t xml:space="preserve">%). Bariery te najczęściej wskazywali użytkownicy gospodarstw </w:t>
      </w:r>
      <w:r w:rsidR="00C77A26" w:rsidRPr="00F83BCE">
        <w:rPr>
          <w:rFonts w:ascii="Fira Sans" w:hAnsi="Fira Sans"/>
          <w:sz w:val="19"/>
          <w:szCs w:val="19"/>
        </w:rPr>
        <w:t>wielokierunkow</w:t>
      </w:r>
      <w:r w:rsidR="00C77A26">
        <w:rPr>
          <w:rFonts w:ascii="Fira Sans" w:hAnsi="Fira Sans"/>
          <w:sz w:val="19"/>
          <w:szCs w:val="19"/>
        </w:rPr>
        <w:t>ych</w:t>
      </w:r>
      <w:r w:rsidR="00C77A26" w:rsidRPr="00F83BCE">
        <w:rPr>
          <w:rFonts w:ascii="Fira Sans" w:hAnsi="Fira Sans"/>
          <w:sz w:val="19"/>
          <w:szCs w:val="19"/>
        </w:rPr>
        <w:t xml:space="preserve"> (7</w:t>
      </w:r>
      <w:r w:rsidR="00C77A26">
        <w:rPr>
          <w:rFonts w:ascii="Fira Sans" w:hAnsi="Fira Sans"/>
          <w:sz w:val="19"/>
          <w:szCs w:val="19"/>
        </w:rPr>
        <w:t>9</w:t>
      </w:r>
      <w:r w:rsidR="00C77A26" w:rsidRPr="00F83BCE">
        <w:rPr>
          <w:rFonts w:ascii="Fira Sans" w:hAnsi="Fira Sans"/>
          <w:sz w:val="19"/>
          <w:szCs w:val="19"/>
        </w:rPr>
        <w:t>,</w:t>
      </w:r>
      <w:r w:rsidR="00C77A26">
        <w:rPr>
          <w:rFonts w:ascii="Fira Sans" w:hAnsi="Fira Sans"/>
          <w:sz w:val="19"/>
          <w:szCs w:val="19"/>
        </w:rPr>
        <w:t>3</w:t>
      </w:r>
      <w:r w:rsidR="00C77A26" w:rsidRPr="00F83BCE">
        <w:rPr>
          <w:rFonts w:ascii="Fira Sans" w:hAnsi="Fira Sans"/>
          <w:sz w:val="19"/>
          <w:szCs w:val="19"/>
        </w:rPr>
        <w:t xml:space="preserve">% i </w:t>
      </w:r>
      <w:r w:rsidR="00C77A26">
        <w:rPr>
          <w:rFonts w:ascii="Fira Sans" w:hAnsi="Fira Sans"/>
          <w:sz w:val="19"/>
          <w:szCs w:val="19"/>
        </w:rPr>
        <w:t>78</w:t>
      </w:r>
      <w:r w:rsidR="00C77A26" w:rsidRPr="00F83BCE">
        <w:rPr>
          <w:rFonts w:ascii="Fira Sans" w:hAnsi="Fira Sans"/>
          <w:sz w:val="19"/>
          <w:szCs w:val="19"/>
        </w:rPr>
        <w:t>,5%)</w:t>
      </w:r>
      <w:r w:rsidRPr="00F83BCE">
        <w:rPr>
          <w:rFonts w:ascii="Fira Sans" w:hAnsi="Fira Sans"/>
          <w:sz w:val="19"/>
          <w:szCs w:val="19"/>
        </w:rPr>
        <w:t xml:space="preserve"> oraz </w:t>
      </w:r>
      <w:r>
        <w:rPr>
          <w:rFonts w:ascii="Fira Sans" w:hAnsi="Fira Sans"/>
          <w:sz w:val="19"/>
          <w:szCs w:val="19"/>
        </w:rPr>
        <w:t xml:space="preserve">użytkownicy </w:t>
      </w:r>
      <w:r w:rsidRPr="00F83BCE">
        <w:rPr>
          <w:rFonts w:ascii="Fira Sans" w:hAnsi="Fira Sans"/>
          <w:sz w:val="19"/>
          <w:szCs w:val="19"/>
        </w:rPr>
        <w:t xml:space="preserve">gospodarstw </w:t>
      </w:r>
      <w:r w:rsidR="00C77A26" w:rsidRPr="00F83BCE">
        <w:rPr>
          <w:rFonts w:ascii="Fira Sans" w:hAnsi="Fira Sans"/>
          <w:sz w:val="19"/>
          <w:szCs w:val="19"/>
        </w:rPr>
        <w:t xml:space="preserve">ukierunkowanych na produkcję roślinną (odpowiednio </w:t>
      </w:r>
      <w:r w:rsidR="00C77A26">
        <w:rPr>
          <w:rFonts w:ascii="Fira Sans" w:hAnsi="Fira Sans"/>
          <w:sz w:val="19"/>
          <w:szCs w:val="19"/>
        </w:rPr>
        <w:t>75,4</w:t>
      </w:r>
      <w:r w:rsidR="00C77A26" w:rsidRPr="00F83BCE">
        <w:rPr>
          <w:rFonts w:ascii="Fira Sans" w:hAnsi="Fira Sans"/>
          <w:sz w:val="19"/>
          <w:szCs w:val="19"/>
        </w:rPr>
        <w:t xml:space="preserve">%, </w:t>
      </w:r>
      <w:r w:rsidR="00C77A26">
        <w:rPr>
          <w:rFonts w:ascii="Fira Sans" w:hAnsi="Fira Sans"/>
          <w:sz w:val="19"/>
          <w:szCs w:val="19"/>
        </w:rPr>
        <w:t>73</w:t>
      </w:r>
      <w:r w:rsidR="00C77A26" w:rsidRPr="00F83BCE">
        <w:rPr>
          <w:rFonts w:ascii="Fira Sans" w:hAnsi="Fira Sans"/>
          <w:sz w:val="19"/>
          <w:szCs w:val="19"/>
        </w:rPr>
        <w:t>,</w:t>
      </w:r>
      <w:r w:rsidR="00C77A26">
        <w:rPr>
          <w:rFonts w:ascii="Fira Sans" w:hAnsi="Fira Sans"/>
          <w:sz w:val="19"/>
          <w:szCs w:val="19"/>
        </w:rPr>
        <w:t>5</w:t>
      </w:r>
      <w:r w:rsidR="00C77A26" w:rsidRPr="00F83BCE">
        <w:rPr>
          <w:rFonts w:ascii="Fira Sans" w:hAnsi="Fira Sans"/>
          <w:sz w:val="19"/>
          <w:szCs w:val="19"/>
        </w:rPr>
        <w:t>%)</w:t>
      </w:r>
      <w:r w:rsidR="00C77A26">
        <w:rPr>
          <w:rFonts w:ascii="Fira Sans" w:hAnsi="Fira Sans"/>
          <w:sz w:val="19"/>
          <w:szCs w:val="19"/>
        </w:rPr>
        <w:t>.</w:t>
      </w:r>
    </w:p>
    <w:p w14:paraId="416A4E3B" w14:textId="77777777" w:rsidR="00EF15C1" w:rsidRDefault="00EF15C1" w:rsidP="00EF15C1">
      <w:pPr>
        <w:spacing w:before="120" w:after="120" w:line="288" w:lineRule="auto"/>
        <w:rPr>
          <w:rFonts w:ascii="Fira Sans" w:hAnsi="Fira Sans"/>
          <w:sz w:val="19"/>
          <w:szCs w:val="19"/>
        </w:rPr>
      </w:pPr>
      <w:r w:rsidRPr="00EF15C1">
        <w:rPr>
          <w:rFonts w:ascii="Fira Sans" w:hAnsi="Fira Sans"/>
          <w:sz w:val="19"/>
          <w:szCs w:val="19"/>
        </w:rPr>
        <w:t>Ważnym czynnikiem ograniczającym rozwój gospodarstw była także niepewność ogólnej sytuacji gospodarczej – najczęściej wskazywali ją użytkownicy gospodarstw wielokierunkowych (32,2%).</w:t>
      </w:r>
      <w:r w:rsidR="005D364E">
        <w:rPr>
          <w:rFonts w:ascii="Fira Sans" w:hAnsi="Fira Sans"/>
          <w:sz w:val="19"/>
          <w:szCs w:val="19"/>
        </w:rPr>
        <w:t xml:space="preserve"> </w:t>
      </w:r>
      <w:r w:rsidRPr="00EF15C1">
        <w:rPr>
          <w:rFonts w:ascii="Fira Sans" w:hAnsi="Fira Sans"/>
          <w:sz w:val="19"/>
          <w:szCs w:val="19"/>
        </w:rPr>
        <w:t>Istotną barierą były również niekorzystne warunki atmosferyczne, na które szczególnie zwracali uwagę rolnicy specjalizujący się w produkcji roślinnej (57,6%)</w:t>
      </w:r>
      <w:r>
        <w:rPr>
          <w:rFonts w:ascii="Fira Sans" w:hAnsi="Fira Sans"/>
          <w:sz w:val="19"/>
          <w:szCs w:val="19"/>
        </w:rPr>
        <w:t>.</w:t>
      </w:r>
    </w:p>
    <w:p w14:paraId="26481583" w14:textId="77777777" w:rsidR="00D726D8" w:rsidRDefault="00D726D8" w:rsidP="00D726D8">
      <w:pPr>
        <w:spacing w:before="360" w:after="120" w:line="240" w:lineRule="auto"/>
        <w:rPr>
          <w:rFonts w:ascii="Fira Sans" w:hAnsi="Fira Sans"/>
          <w:b/>
          <w:spacing w:val="-2"/>
          <w:sz w:val="19"/>
          <w:szCs w:val="19"/>
        </w:rPr>
      </w:pPr>
      <w:r w:rsidRPr="00E84352">
        <w:rPr>
          <w:rFonts w:ascii="Fira Sans" w:hAnsi="Fira Sans"/>
          <w:b/>
          <w:spacing w:val="-2"/>
          <w:sz w:val="19"/>
          <w:szCs w:val="19"/>
        </w:rPr>
        <w:t xml:space="preserve">Wykres </w:t>
      </w:r>
      <w:r>
        <w:rPr>
          <w:rFonts w:ascii="Fira Sans" w:hAnsi="Fira Sans"/>
          <w:b/>
          <w:spacing w:val="-2"/>
          <w:sz w:val="19"/>
          <w:szCs w:val="19"/>
        </w:rPr>
        <w:t>14</w:t>
      </w:r>
      <w:r w:rsidRPr="00E84352">
        <w:rPr>
          <w:rFonts w:ascii="Fira Sans" w:hAnsi="Fira Sans"/>
          <w:b/>
          <w:spacing w:val="-2"/>
          <w:sz w:val="19"/>
          <w:szCs w:val="19"/>
        </w:rPr>
        <w:t xml:space="preserve">. Czynniki </w:t>
      </w:r>
      <w:r>
        <w:rPr>
          <w:rFonts w:ascii="Fira Sans" w:hAnsi="Fira Sans"/>
          <w:b/>
          <w:spacing w:val="-2"/>
          <w:sz w:val="19"/>
          <w:szCs w:val="19"/>
        </w:rPr>
        <w:t>ograniczające rozwój</w:t>
      </w:r>
      <w:r w:rsidRPr="00E84352">
        <w:rPr>
          <w:rFonts w:ascii="Fira Sans" w:hAnsi="Fira Sans"/>
          <w:b/>
          <w:spacing w:val="-2"/>
          <w:sz w:val="19"/>
          <w:szCs w:val="19"/>
        </w:rPr>
        <w:t xml:space="preserve"> gospodarstwa rolnego </w:t>
      </w:r>
      <w:r>
        <w:rPr>
          <w:rFonts w:ascii="Fira Sans" w:hAnsi="Fira Sans"/>
          <w:b/>
          <w:spacing w:val="-2"/>
          <w:sz w:val="19"/>
          <w:szCs w:val="19"/>
        </w:rPr>
        <w:t>w 1</w:t>
      </w:r>
      <w:r w:rsidR="002D0C1B">
        <w:rPr>
          <w:rFonts w:ascii="Fira Sans" w:hAnsi="Fira Sans"/>
          <w:b/>
          <w:spacing w:val="-2"/>
          <w:sz w:val="19"/>
          <w:szCs w:val="19"/>
        </w:rPr>
        <w:t>.</w:t>
      </w:r>
      <w:r>
        <w:rPr>
          <w:rFonts w:ascii="Fira Sans" w:hAnsi="Fira Sans"/>
          <w:b/>
          <w:spacing w:val="-2"/>
          <w:sz w:val="19"/>
          <w:szCs w:val="19"/>
        </w:rPr>
        <w:t xml:space="preserve"> półroczu 2026 r.</w:t>
      </w:r>
    </w:p>
    <w:p w14:paraId="366E0188" w14:textId="77777777" w:rsidR="00D726D8" w:rsidRPr="00F83BCE" w:rsidRDefault="00E33551" w:rsidP="00AE7BDE">
      <w:pPr>
        <w:spacing w:before="120" w:after="120" w:line="240" w:lineRule="auto"/>
        <w:rPr>
          <w:rFonts w:ascii="Fira Sans" w:hAnsi="Fira Sans"/>
          <w:sz w:val="19"/>
          <w:szCs w:val="19"/>
        </w:rPr>
      </w:pPr>
      <w:r>
        <w:rPr>
          <w:rFonts w:ascii="Fira Sans" w:hAnsi="Fira Sans"/>
          <w:noProof/>
          <w:sz w:val="19"/>
          <w:szCs w:val="19"/>
        </w:rPr>
        <w:drawing>
          <wp:inline distT="0" distB="0" distL="0" distR="0" wp14:anchorId="45F87F2E" wp14:editId="6933DB8E">
            <wp:extent cx="5248910" cy="2707005"/>
            <wp:effectExtent l="0" t="0" r="8890" b="0"/>
            <wp:docPr id="9" name="Obraz 9" descr="Wykres 14. Czynniki ograniczające rozwój gospodarstwa rolnego w 1. półrocz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Wykres 14. Czynniki ograniczające rozwój gospodarstwa rolnego w 1. półroczu 2026 r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D8810" w14:textId="77777777" w:rsidR="00D726D8" w:rsidRPr="009A1E9A" w:rsidRDefault="00D726D8" w:rsidP="00AE7BDE">
      <w:pPr>
        <w:spacing w:before="240" w:after="120" w:line="288" w:lineRule="auto"/>
        <w:rPr>
          <w:rFonts w:ascii="Fira Sans" w:hAnsi="Fira Sans"/>
          <w:sz w:val="19"/>
          <w:szCs w:val="19"/>
        </w:rPr>
      </w:pPr>
      <w:r w:rsidRPr="009A1E9A">
        <w:rPr>
          <w:rFonts w:ascii="Fira Sans" w:hAnsi="Fira Sans"/>
          <w:sz w:val="19"/>
          <w:szCs w:val="19"/>
        </w:rPr>
        <w:t xml:space="preserve">Biorąc pod uwagę wielkość gospodarstwa rolnego, zbyt niskie ceny zbytu najczęściej </w:t>
      </w:r>
      <w:r w:rsidR="002A3136">
        <w:rPr>
          <w:rFonts w:ascii="Fira Sans" w:hAnsi="Fira Sans"/>
          <w:sz w:val="19"/>
          <w:szCs w:val="19"/>
        </w:rPr>
        <w:t>wskazywali użytkownicy</w:t>
      </w:r>
      <w:r w:rsidR="002A3136" w:rsidRPr="009A1E9A">
        <w:rPr>
          <w:rFonts w:ascii="Fira Sans" w:hAnsi="Fira Sans"/>
          <w:sz w:val="19"/>
          <w:szCs w:val="19"/>
        </w:rPr>
        <w:t xml:space="preserve"> </w:t>
      </w:r>
      <w:r w:rsidRPr="009A1E9A">
        <w:rPr>
          <w:rFonts w:ascii="Fira Sans" w:hAnsi="Fira Sans"/>
          <w:sz w:val="19"/>
          <w:szCs w:val="19"/>
        </w:rPr>
        <w:t>gospodarstw o powierzchni od 30</w:t>
      </w:r>
      <w:r w:rsidR="0076125B">
        <w:rPr>
          <w:rFonts w:ascii="Fira Sans" w:hAnsi="Fira Sans"/>
          <w:sz w:val="19"/>
          <w:szCs w:val="19"/>
        </w:rPr>
        <w:t xml:space="preserve"> </w:t>
      </w:r>
      <w:r w:rsidRPr="009A1E9A">
        <w:rPr>
          <w:rFonts w:ascii="Fira Sans" w:hAnsi="Fira Sans"/>
          <w:sz w:val="19"/>
          <w:szCs w:val="19"/>
        </w:rPr>
        <w:t xml:space="preserve">do </w:t>
      </w:r>
      <w:r w:rsidR="0076125B">
        <w:rPr>
          <w:rFonts w:ascii="Fira Sans" w:hAnsi="Fira Sans"/>
          <w:sz w:val="19"/>
          <w:szCs w:val="19"/>
        </w:rPr>
        <w:t>50</w:t>
      </w:r>
      <w:r w:rsidRPr="009A1E9A">
        <w:rPr>
          <w:rFonts w:ascii="Fira Sans" w:hAnsi="Fira Sans"/>
          <w:sz w:val="19"/>
          <w:szCs w:val="19"/>
        </w:rPr>
        <w:t xml:space="preserve"> ha </w:t>
      </w:r>
      <w:r w:rsidR="00B11AD8">
        <w:rPr>
          <w:rFonts w:ascii="Fira Sans" w:hAnsi="Fira Sans"/>
          <w:sz w:val="19"/>
          <w:szCs w:val="19"/>
        </w:rPr>
        <w:t>(</w:t>
      </w:r>
      <w:r w:rsidRPr="009A1E9A">
        <w:rPr>
          <w:rFonts w:ascii="Fira Sans" w:hAnsi="Fira Sans"/>
          <w:sz w:val="19"/>
          <w:szCs w:val="19"/>
        </w:rPr>
        <w:t>81,8% rolników</w:t>
      </w:r>
      <w:r w:rsidR="00B11AD8">
        <w:rPr>
          <w:rFonts w:ascii="Fira Sans" w:hAnsi="Fira Sans"/>
          <w:sz w:val="19"/>
          <w:szCs w:val="19"/>
        </w:rPr>
        <w:t>)</w:t>
      </w:r>
      <w:r w:rsidRPr="009A1E9A">
        <w:rPr>
          <w:rFonts w:ascii="Fira Sans" w:hAnsi="Fira Sans"/>
          <w:sz w:val="19"/>
          <w:szCs w:val="19"/>
        </w:rPr>
        <w:t>. Z kolei zbyt wysokie koszty produkcji stanowiły największe utrudnienie przede wszystkim dla gospodarstw o powierzchni od 30 do 50 ha</w:t>
      </w:r>
      <w:r w:rsidR="002A3136">
        <w:rPr>
          <w:rFonts w:ascii="Fira Sans" w:hAnsi="Fira Sans"/>
          <w:sz w:val="19"/>
          <w:szCs w:val="19"/>
        </w:rPr>
        <w:t xml:space="preserve"> (</w:t>
      </w:r>
      <w:r w:rsidRPr="009A1E9A">
        <w:rPr>
          <w:rFonts w:ascii="Fira Sans" w:hAnsi="Fira Sans"/>
          <w:sz w:val="19"/>
          <w:szCs w:val="19"/>
        </w:rPr>
        <w:t>80,7%</w:t>
      </w:r>
      <w:r w:rsidR="002A3136">
        <w:rPr>
          <w:rFonts w:ascii="Fira Sans" w:hAnsi="Fira Sans"/>
          <w:sz w:val="19"/>
          <w:szCs w:val="19"/>
        </w:rPr>
        <w:t>)</w:t>
      </w:r>
      <w:r w:rsidRPr="009A1E9A">
        <w:rPr>
          <w:rFonts w:ascii="Fira Sans" w:hAnsi="Fira Sans"/>
          <w:sz w:val="19"/>
          <w:szCs w:val="19"/>
        </w:rPr>
        <w:t xml:space="preserve">. Niepewność ogólnej sytuacji gospodarczej najczęściej wymieniali </w:t>
      </w:r>
      <w:r>
        <w:rPr>
          <w:rFonts w:ascii="Fira Sans" w:hAnsi="Fira Sans"/>
          <w:sz w:val="19"/>
          <w:szCs w:val="19"/>
        </w:rPr>
        <w:t xml:space="preserve">natomiast </w:t>
      </w:r>
      <w:r w:rsidRPr="009A1E9A">
        <w:rPr>
          <w:rFonts w:ascii="Fira Sans" w:hAnsi="Fira Sans"/>
          <w:sz w:val="19"/>
          <w:szCs w:val="19"/>
        </w:rPr>
        <w:t>użytkownicy gospodarstw rolnych o</w:t>
      </w:r>
      <w:r w:rsidR="00AE7BDE">
        <w:rPr>
          <w:rFonts w:ascii="Fira Sans" w:hAnsi="Fira Sans"/>
          <w:sz w:val="19"/>
          <w:szCs w:val="19"/>
        </w:rPr>
        <w:t> </w:t>
      </w:r>
      <w:r w:rsidRPr="009A1E9A">
        <w:rPr>
          <w:rFonts w:ascii="Fira Sans" w:hAnsi="Fira Sans"/>
          <w:sz w:val="19"/>
          <w:szCs w:val="19"/>
        </w:rPr>
        <w:t>powierzchni 100 ha i więcej (37,4%).</w:t>
      </w:r>
    </w:p>
    <w:p w14:paraId="1499967F" w14:textId="77777777" w:rsidR="00D726D8" w:rsidRPr="00185238" w:rsidRDefault="00D726D8" w:rsidP="00D726D8">
      <w:pPr>
        <w:spacing w:before="360" w:after="120" w:line="240" w:lineRule="auto"/>
        <w:rPr>
          <w:rFonts w:ascii="Fira Sans" w:hAnsi="Fira Sans"/>
          <w:b/>
          <w:color w:val="002060"/>
          <w:sz w:val="24"/>
          <w:szCs w:val="24"/>
        </w:rPr>
      </w:pPr>
      <w:r w:rsidRPr="00185238">
        <w:rPr>
          <w:rFonts w:ascii="Fira Sans" w:hAnsi="Fira Sans"/>
          <w:b/>
          <w:color w:val="002060"/>
          <w:sz w:val="24"/>
          <w:szCs w:val="24"/>
        </w:rPr>
        <w:lastRenderedPageBreak/>
        <w:t>Wpływ nadzwyczajnych czynników na sytuację gospodarstw rolnych</w:t>
      </w:r>
    </w:p>
    <w:p w14:paraId="632F40F4" w14:textId="77777777" w:rsidR="00D726D8" w:rsidRPr="00185238" w:rsidRDefault="00D726D8" w:rsidP="00D726D8">
      <w:pPr>
        <w:spacing w:before="360" w:after="120" w:line="240" w:lineRule="auto"/>
        <w:rPr>
          <w:rFonts w:ascii="Fira Sans" w:hAnsi="Fira Sans"/>
          <w:b/>
          <w:color w:val="002060"/>
          <w:sz w:val="19"/>
          <w:szCs w:val="19"/>
        </w:rPr>
      </w:pPr>
      <w:r w:rsidRPr="00185238">
        <w:rPr>
          <w:rFonts w:ascii="Fira Sans" w:hAnsi="Fira Sans"/>
          <w:b/>
          <w:color w:val="002060"/>
          <w:sz w:val="19"/>
          <w:szCs w:val="19"/>
        </w:rPr>
        <w:t>Wojna w Ukrainie</w:t>
      </w:r>
    </w:p>
    <w:p w14:paraId="26DBC109" w14:textId="77777777" w:rsidR="00D726D8" w:rsidRPr="002A469B" w:rsidRDefault="00D726D8" w:rsidP="00D726D8">
      <w:pPr>
        <w:spacing w:before="120" w:after="120" w:line="288" w:lineRule="auto"/>
        <w:rPr>
          <w:rFonts w:ascii="Fira Sans" w:hAnsi="Fira Sans"/>
          <w:sz w:val="19"/>
          <w:szCs w:val="19"/>
        </w:rPr>
      </w:pPr>
      <w:r w:rsidRPr="002A469B">
        <w:rPr>
          <w:rFonts w:ascii="Fira Sans" w:hAnsi="Fira Sans"/>
          <w:sz w:val="19"/>
          <w:szCs w:val="19"/>
        </w:rPr>
        <w:t xml:space="preserve">Po </w:t>
      </w:r>
      <w:r w:rsidR="007503EB" w:rsidRPr="002A469B">
        <w:rPr>
          <w:rFonts w:ascii="Fira Sans" w:hAnsi="Fira Sans"/>
          <w:sz w:val="19"/>
          <w:szCs w:val="19"/>
        </w:rPr>
        <w:t>obserwowan</w:t>
      </w:r>
      <w:r w:rsidR="007503EB">
        <w:rPr>
          <w:rFonts w:ascii="Fira Sans" w:hAnsi="Fira Sans"/>
          <w:sz w:val="19"/>
          <w:szCs w:val="19"/>
        </w:rPr>
        <w:t>ej</w:t>
      </w:r>
      <w:r w:rsidR="007503EB" w:rsidRPr="002A469B">
        <w:rPr>
          <w:rFonts w:ascii="Fira Sans" w:hAnsi="Fira Sans"/>
          <w:sz w:val="19"/>
          <w:szCs w:val="19"/>
        </w:rPr>
        <w:t xml:space="preserve"> </w:t>
      </w:r>
      <w:r w:rsidRPr="002A469B">
        <w:rPr>
          <w:rFonts w:ascii="Fira Sans" w:hAnsi="Fira Sans"/>
          <w:sz w:val="19"/>
          <w:szCs w:val="19"/>
        </w:rPr>
        <w:t xml:space="preserve">wcześniej </w:t>
      </w:r>
      <w:r w:rsidR="007503EB" w:rsidRPr="002A469B">
        <w:rPr>
          <w:rFonts w:ascii="Fira Sans" w:hAnsi="Fira Sans"/>
          <w:sz w:val="19"/>
          <w:szCs w:val="19"/>
        </w:rPr>
        <w:t>stopniow</w:t>
      </w:r>
      <w:r w:rsidR="007503EB">
        <w:rPr>
          <w:rFonts w:ascii="Fira Sans" w:hAnsi="Fira Sans"/>
          <w:sz w:val="19"/>
          <w:szCs w:val="19"/>
        </w:rPr>
        <w:t>ej</w:t>
      </w:r>
      <w:r w:rsidR="007503EB" w:rsidRPr="002A469B">
        <w:rPr>
          <w:rFonts w:ascii="Fira Sans" w:hAnsi="Fira Sans"/>
          <w:sz w:val="19"/>
          <w:szCs w:val="19"/>
        </w:rPr>
        <w:t xml:space="preserve"> </w:t>
      </w:r>
      <w:r w:rsidR="007503EB">
        <w:rPr>
          <w:rFonts w:ascii="Fira Sans" w:hAnsi="Fira Sans"/>
          <w:sz w:val="19"/>
          <w:szCs w:val="19"/>
        </w:rPr>
        <w:t>poprawie</w:t>
      </w:r>
      <w:r w:rsidR="007503EB" w:rsidRPr="002A469B">
        <w:rPr>
          <w:rFonts w:ascii="Fira Sans" w:hAnsi="Fira Sans"/>
          <w:sz w:val="19"/>
          <w:szCs w:val="19"/>
        </w:rPr>
        <w:t xml:space="preserve"> </w:t>
      </w:r>
      <w:r w:rsidRPr="002A469B">
        <w:rPr>
          <w:rFonts w:ascii="Fira Sans" w:hAnsi="Fira Sans"/>
          <w:sz w:val="19"/>
          <w:szCs w:val="19"/>
        </w:rPr>
        <w:t xml:space="preserve">ocen </w:t>
      </w:r>
      <w:r w:rsidR="007503EB">
        <w:rPr>
          <w:rFonts w:ascii="Fira Sans" w:hAnsi="Fira Sans"/>
          <w:sz w:val="19"/>
          <w:szCs w:val="19"/>
        </w:rPr>
        <w:t xml:space="preserve">wpływu </w:t>
      </w:r>
      <w:r w:rsidRPr="002A469B">
        <w:rPr>
          <w:rFonts w:ascii="Fira Sans" w:hAnsi="Fira Sans"/>
          <w:sz w:val="19"/>
          <w:szCs w:val="19"/>
        </w:rPr>
        <w:t>negatywnych skutków wojny w Ukrainie na funkcjonowanie gospodarstw rolnych, w sierpniu 2026 r. odnotowano ich pogorszenie.</w:t>
      </w:r>
    </w:p>
    <w:p w14:paraId="57893B6D" w14:textId="77777777" w:rsidR="00D726D8" w:rsidRPr="002A469B" w:rsidRDefault="00D726D8" w:rsidP="00D726D8">
      <w:pPr>
        <w:spacing w:before="120" w:after="120" w:line="288" w:lineRule="auto"/>
        <w:rPr>
          <w:rFonts w:ascii="Fira Sans" w:hAnsi="Fira Sans"/>
          <w:sz w:val="19"/>
          <w:szCs w:val="19"/>
        </w:rPr>
      </w:pPr>
      <w:r w:rsidRPr="002A469B">
        <w:rPr>
          <w:rFonts w:ascii="Fira Sans" w:hAnsi="Fira Sans"/>
          <w:sz w:val="19"/>
          <w:szCs w:val="19"/>
        </w:rPr>
        <w:t>Brak negatywnych skutków konfliktu wskazało 29,6% rolników, tj. o 4,4 p.proc. mniej niż w</w:t>
      </w:r>
      <w:r w:rsidR="00433953">
        <w:rPr>
          <w:rFonts w:ascii="Fira Sans" w:hAnsi="Fira Sans"/>
          <w:sz w:val="19"/>
          <w:szCs w:val="19"/>
        </w:rPr>
        <w:t> </w:t>
      </w:r>
      <w:r w:rsidRPr="002A469B">
        <w:rPr>
          <w:rFonts w:ascii="Fira Sans" w:hAnsi="Fira Sans"/>
          <w:sz w:val="19"/>
          <w:szCs w:val="19"/>
        </w:rPr>
        <w:t>roku poprzednim. Rzadziej rolnicy oceniali także, że wojna ma jedynie nieznaczny wpływ na prowadzenie gospodarstwa. Taką opinię wyraziło 31,1% badanych, czyli o 1,5 p.proc. mniej niż przed rokiem.</w:t>
      </w:r>
    </w:p>
    <w:p w14:paraId="46B9B78A" w14:textId="77777777" w:rsidR="00D726D8" w:rsidRPr="002A469B" w:rsidRDefault="00D726D8" w:rsidP="00D726D8">
      <w:pPr>
        <w:spacing w:before="120" w:after="120" w:line="288" w:lineRule="auto"/>
        <w:rPr>
          <w:rFonts w:ascii="Fira Sans" w:hAnsi="Fira Sans"/>
          <w:sz w:val="19"/>
          <w:szCs w:val="19"/>
        </w:rPr>
      </w:pPr>
      <w:r w:rsidRPr="002A469B">
        <w:rPr>
          <w:rFonts w:ascii="Fira Sans" w:hAnsi="Fira Sans"/>
          <w:sz w:val="19"/>
          <w:szCs w:val="19"/>
        </w:rPr>
        <w:t xml:space="preserve">Jednocześnie wzrósł odsetek rolników wskazujących na poważne skutki konfliktu. W sierpniu 2026 r. 22,5% badanych uznało, że wojna poważnie wpływa na funkcjonowanie ich gospodarstw, tj. o 3,5 p.proc. więcej niż rok wcześniej. Zwiększył się również odsetek rolników, którzy postrzegają wojnę jako czynnik zagrażający stabilności gospodarstwa. Taką opinię wyraziło 16,8% badanych, tj. o 2,4 p.proc. więcej niż </w:t>
      </w:r>
      <w:r w:rsidR="00A53EB0">
        <w:rPr>
          <w:rFonts w:ascii="Fira Sans" w:hAnsi="Fira Sans"/>
          <w:sz w:val="19"/>
          <w:szCs w:val="19"/>
        </w:rPr>
        <w:t>przed rokiem</w:t>
      </w:r>
      <w:r w:rsidRPr="002A469B">
        <w:rPr>
          <w:rFonts w:ascii="Fira Sans" w:hAnsi="Fira Sans"/>
          <w:sz w:val="19"/>
          <w:szCs w:val="19"/>
        </w:rPr>
        <w:t>.</w:t>
      </w:r>
    </w:p>
    <w:p w14:paraId="5DC2F509" w14:textId="77777777" w:rsidR="00CF70FD" w:rsidRDefault="00D726D8" w:rsidP="003A66BC">
      <w:pPr>
        <w:spacing w:before="360" w:after="120" w:line="240" w:lineRule="auto"/>
        <w:rPr>
          <w:rFonts w:ascii="Fira Sans" w:hAnsi="Fira Sans"/>
          <w:b/>
          <w:spacing w:val="-2"/>
          <w:sz w:val="18"/>
        </w:rPr>
      </w:pPr>
      <w:r w:rsidRPr="002432F3">
        <w:rPr>
          <w:rFonts w:ascii="Fira Sans" w:hAnsi="Fira Sans"/>
          <w:b/>
          <w:spacing w:val="-2"/>
          <w:sz w:val="18"/>
        </w:rPr>
        <w:t xml:space="preserve">Wykres </w:t>
      </w:r>
      <w:r>
        <w:rPr>
          <w:rFonts w:ascii="Fira Sans" w:hAnsi="Fira Sans"/>
          <w:b/>
          <w:spacing w:val="-2"/>
          <w:sz w:val="18"/>
        </w:rPr>
        <w:t>15</w:t>
      </w:r>
      <w:r w:rsidRPr="002432F3">
        <w:rPr>
          <w:rFonts w:ascii="Fira Sans" w:hAnsi="Fira Sans"/>
          <w:b/>
          <w:spacing w:val="-2"/>
          <w:sz w:val="18"/>
        </w:rPr>
        <w:t xml:space="preserve">. </w:t>
      </w:r>
      <w:r w:rsidRPr="00C8721D">
        <w:rPr>
          <w:rFonts w:ascii="Fira Sans" w:hAnsi="Fira Sans"/>
          <w:b/>
          <w:spacing w:val="-2"/>
          <w:sz w:val="18"/>
        </w:rPr>
        <w:t>Wpływ wojny w Ukrainie na gospodarstwa rolne</w:t>
      </w:r>
      <w:r w:rsidR="00C8721D" w:rsidRPr="00C8721D">
        <w:rPr>
          <w:rFonts w:ascii="Fira Sans" w:hAnsi="Fira Sans"/>
          <w:b/>
          <w:spacing w:val="-2"/>
          <w:sz w:val="18"/>
        </w:rPr>
        <w:t xml:space="preserve"> </w:t>
      </w:r>
      <w:r w:rsidRPr="00C8721D">
        <w:rPr>
          <w:rFonts w:ascii="Fira Sans" w:hAnsi="Fira Sans"/>
          <w:b/>
          <w:spacing w:val="-2"/>
          <w:sz w:val="18"/>
        </w:rPr>
        <w:t>– struktura odpowiedzi (%)</w:t>
      </w:r>
    </w:p>
    <w:p w14:paraId="1B3F3430" w14:textId="77777777" w:rsidR="003A66BC" w:rsidRDefault="003A66BC" w:rsidP="003A66BC">
      <w:pPr>
        <w:spacing w:before="120" w:after="120" w:line="240" w:lineRule="auto"/>
        <w:rPr>
          <w:rFonts w:ascii="Fira Sans" w:hAnsi="Fira Sans"/>
          <w:b/>
          <w:spacing w:val="-2"/>
          <w:sz w:val="18"/>
        </w:rPr>
      </w:pPr>
      <w:r>
        <w:rPr>
          <w:rFonts w:ascii="Fira Sans" w:hAnsi="Fira Sans"/>
          <w:b/>
          <w:noProof/>
          <w:spacing w:val="-2"/>
          <w:sz w:val="18"/>
        </w:rPr>
        <w:drawing>
          <wp:inline distT="0" distB="0" distL="0" distR="0" wp14:anchorId="057ABA3F" wp14:editId="5047A654">
            <wp:extent cx="5187950" cy="2524125"/>
            <wp:effectExtent l="0" t="0" r="0" b="0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1C7B6" w14:textId="77777777" w:rsidR="003A66BC" w:rsidRDefault="003A66BC" w:rsidP="003A66BC">
      <w:pPr>
        <w:spacing w:before="360" w:after="120" w:line="259" w:lineRule="auto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</w:p>
    <w:p w14:paraId="3F178CC0" w14:textId="77777777" w:rsidR="003A66BC" w:rsidRPr="00185238" w:rsidRDefault="003A66BC" w:rsidP="003A66BC">
      <w:pPr>
        <w:spacing w:before="360" w:after="120" w:line="259" w:lineRule="auto"/>
        <w:rPr>
          <w:rFonts w:ascii="Fira Sans" w:eastAsia="Times New Roman" w:hAnsi="Fira Sans" w:cs="Times New Roman"/>
          <w:bCs/>
          <w:sz w:val="19"/>
          <w:szCs w:val="19"/>
          <w:lang w:eastAsia="pl-PL"/>
        </w:rPr>
        <w:sectPr w:rsidR="003A66BC" w:rsidRPr="00185238" w:rsidSect="005D28CA">
          <w:headerReference w:type="default" r:id="rId26"/>
          <w:footerReference w:type="default" r:id="rId27"/>
          <w:headerReference w:type="first" r:id="rId28"/>
          <w:footerReference w:type="first" r:id="rId29"/>
          <w:type w:val="continuous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1"/>
        <w:tblW w:w="992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cje o autorze i rozpowszechnianiu"/>
      </w:tblPr>
      <w:tblGrid>
        <w:gridCol w:w="4926"/>
        <w:gridCol w:w="5001"/>
      </w:tblGrid>
      <w:tr w:rsidR="00FF0DFB" w:rsidRPr="00185238" w14:paraId="7E1B7A20" w14:textId="77777777" w:rsidTr="003B6FFA">
        <w:trPr>
          <w:trHeight w:val="1626"/>
        </w:trPr>
        <w:tc>
          <w:tcPr>
            <w:tcW w:w="4926" w:type="dxa"/>
          </w:tcPr>
          <w:p w14:paraId="057F705B" w14:textId="77777777" w:rsidR="00FF0DFB" w:rsidRPr="00185238" w:rsidRDefault="00FF0DFB" w:rsidP="003B6FFA">
            <w:pPr>
              <w:spacing w:line="276" w:lineRule="auto"/>
              <w:rPr>
                <w:rFonts w:ascii="Fira Sans" w:eastAsia="Calibri" w:hAnsi="Fira Sans" w:cs="Arial"/>
                <w:sz w:val="20"/>
              </w:rPr>
            </w:pPr>
            <w:r w:rsidRPr="00185238">
              <w:rPr>
                <w:rFonts w:ascii="Fira Sans" w:eastAsia="Calibri" w:hAnsi="Fira Sans" w:cs="Arial"/>
                <w:sz w:val="20"/>
              </w:rPr>
              <w:lastRenderedPageBreak/>
              <w:t>Opracowanie merytoryczne:</w:t>
            </w:r>
          </w:p>
          <w:p w14:paraId="0505F4EE" w14:textId="77777777" w:rsidR="00FF0DFB" w:rsidRPr="00185238" w:rsidRDefault="00FF0DFB" w:rsidP="003B6FFA">
            <w:pPr>
              <w:spacing w:after="120" w:line="276" w:lineRule="auto"/>
              <w:rPr>
                <w:rFonts w:ascii="Fira Sans" w:eastAsia="Calibri" w:hAnsi="Fira Sans" w:cs="Arial"/>
                <w:b/>
                <w:color w:val="000000"/>
                <w:sz w:val="20"/>
              </w:rPr>
            </w:pPr>
            <w:r w:rsidRPr="00185238">
              <w:rPr>
                <w:rFonts w:ascii="Fira Sans" w:eastAsia="Calibri" w:hAnsi="Fira Sans" w:cs="Arial"/>
                <w:b/>
                <w:sz w:val="20"/>
              </w:rPr>
              <w:t>Urząd Statystyczny w Zielonej Górze</w:t>
            </w:r>
          </w:p>
          <w:p w14:paraId="509205D5" w14:textId="77777777" w:rsidR="00FF0DFB" w:rsidRPr="00185238" w:rsidRDefault="00CF6371" w:rsidP="003B6FFA">
            <w:pPr>
              <w:keepNext/>
              <w:keepLines/>
              <w:spacing w:after="120" w:line="240" w:lineRule="auto"/>
              <w:outlineLvl w:val="2"/>
              <w:rPr>
                <w:rFonts w:ascii="Fira Sans" w:eastAsia="Calibri" w:hAnsi="Fira Sans" w:cs="Times New Roman"/>
                <w:b/>
                <w:bCs/>
                <w:sz w:val="19"/>
                <w:lang w:val="en-US"/>
              </w:rPr>
            </w:pPr>
            <w:r w:rsidRPr="00185238">
              <w:rPr>
                <w:rFonts w:ascii="Fira Sans" w:eastAsia="Calibri" w:hAnsi="Fira Sans" w:cs="Times New Roman"/>
                <w:b/>
                <w:bCs/>
                <w:sz w:val="19"/>
                <w:lang w:val="en-US"/>
              </w:rPr>
              <w:t>p.o. Dyrektor Robert Wróbel</w:t>
            </w:r>
          </w:p>
          <w:p w14:paraId="0CF69F23" w14:textId="77777777" w:rsidR="00CF6371" w:rsidRPr="00185238" w:rsidRDefault="00CF6371" w:rsidP="003B6FFA">
            <w:pPr>
              <w:keepNext/>
              <w:keepLines/>
              <w:spacing w:after="120" w:line="240" w:lineRule="auto"/>
              <w:outlineLvl w:val="2"/>
              <w:rPr>
                <w:rFonts w:ascii="Fira Sans" w:eastAsia="Times New Roman" w:hAnsi="Fira Sans" w:cs="Arial"/>
                <w:color w:val="000000"/>
                <w:sz w:val="20"/>
                <w:szCs w:val="24"/>
                <w:lang w:val="fi-FI"/>
              </w:rPr>
            </w:pPr>
            <w:r w:rsidRPr="00185238">
              <w:rPr>
                <w:rFonts w:ascii="Fira Sans" w:eastAsia="Times New Roman" w:hAnsi="Fira Sans" w:cs="Arial"/>
                <w:color w:val="000000"/>
                <w:sz w:val="20"/>
                <w:szCs w:val="24"/>
                <w:lang w:val="en-US"/>
              </w:rPr>
              <w:t>Tel: 68 322 31 12</w:t>
            </w:r>
          </w:p>
        </w:tc>
        <w:tc>
          <w:tcPr>
            <w:tcW w:w="5001" w:type="dxa"/>
          </w:tcPr>
          <w:p w14:paraId="6C43C4A0" w14:textId="77777777" w:rsidR="00112041" w:rsidRPr="00185238" w:rsidRDefault="00FF0DFB" w:rsidP="00112041">
            <w:pPr>
              <w:spacing w:line="276" w:lineRule="auto"/>
              <w:rPr>
                <w:rFonts w:ascii="Fira Sans" w:hAnsi="Fira Sans" w:cs="Arial"/>
                <w:b/>
                <w:sz w:val="20"/>
              </w:rPr>
            </w:pPr>
            <w:r w:rsidRPr="00185238">
              <w:rPr>
                <w:rFonts w:ascii="Fira Sans" w:eastAsia="Calibri" w:hAnsi="Fira Sans" w:cs="Arial"/>
                <w:sz w:val="20"/>
              </w:rPr>
              <w:t>Rozpowszechnianie:</w:t>
            </w:r>
            <w:r w:rsidRPr="00185238">
              <w:rPr>
                <w:rFonts w:ascii="Fira Sans" w:eastAsia="Calibri" w:hAnsi="Fira Sans" w:cs="Arial"/>
                <w:sz w:val="20"/>
              </w:rPr>
              <w:br/>
            </w:r>
            <w:r w:rsidR="00112041" w:rsidRPr="00185238">
              <w:rPr>
                <w:rFonts w:ascii="Fira Sans" w:hAnsi="Fira Sans" w:cs="Arial"/>
                <w:b/>
                <w:sz w:val="20"/>
              </w:rPr>
              <w:t xml:space="preserve">Wydział </w:t>
            </w:r>
            <w:r w:rsidR="0074477D">
              <w:rPr>
                <w:rFonts w:ascii="Fira Sans" w:hAnsi="Fira Sans" w:cs="Arial"/>
                <w:b/>
                <w:sz w:val="20"/>
              </w:rPr>
              <w:t>Prasowy</w:t>
            </w:r>
          </w:p>
          <w:p w14:paraId="7EDB0FD4" w14:textId="77777777" w:rsidR="00112041" w:rsidRPr="008E1F75" w:rsidRDefault="00112041" w:rsidP="00112041">
            <w:pPr>
              <w:spacing w:before="120" w:after="120"/>
              <w:rPr>
                <w:rFonts w:ascii="Fira Sans" w:hAnsi="Fira Sans"/>
                <w:sz w:val="19"/>
              </w:rPr>
            </w:pPr>
            <w:r w:rsidRPr="008E1F75">
              <w:rPr>
                <w:rFonts w:ascii="Fira Sans" w:hAnsi="Fira Sans"/>
                <w:sz w:val="19"/>
              </w:rPr>
              <w:t>Tel. komórkowy: +48 695 255 032</w:t>
            </w:r>
          </w:p>
          <w:p w14:paraId="34FB32D3" w14:textId="77777777" w:rsidR="005F6358" w:rsidRPr="008E1F75" w:rsidRDefault="00112041" w:rsidP="00112041">
            <w:pPr>
              <w:spacing w:before="120" w:after="120"/>
              <w:ind w:left="1494" w:hanging="1494"/>
              <w:rPr>
                <w:rFonts w:ascii="Fira Sans" w:hAnsi="Fira Sans"/>
                <w:sz w:val="19"/>
              </w:rPr>
            </w:pPr>
            <w:r w:rsidRPr="008E1F75">
              <w:rPr>
                <w:rFonts w:ascii="Fira Sans" w:hAnsi="Fira Sans"/>
                <w:sz w:val="19"/>
              </w:rPr>
              <w:t xml:space="preserve">Tel. stacjonarne: +48 22 608 38 04, +48 22 449 41 </w:t>
            </w:r>
            <w:r w:rsidR="005F6358" w:rsidRPr="008E1F75">
              <w:rPr>
                <w:rFonts w:ascii="Fira Sans" w:hAnsi="Fira Sans"/>
                <w:sz w:val="19"/>
              </w:rPr>
              <w:t>45,</w:t>
            </w:r>
          </w:p>
          <w:p w14:paraId="23D99767" w14:textId="77777777" w:rsidR="00112041" w:rsidRPr="008E1F75" w:rsidRDefault="00112041" w:rsidP="00112041">
            <w:pPr>
              <w:spacing w:before="120" w:after="120"/>
              <w:ind w:left="1494" w:hanging="1494"/>
              <w:rPr>
                <w:rFonts w:ascii="Fira Sans" w:hAnsi="Fira Sans"/>
                <w:sz w:val="19"/>
              </w:rPr>
            </w:pPr>
            <w:r w:rsidRPr="008E1F75">
              <w:rPr>
                <w:rFonts w:ascii="Fira Sans" w:hAnsi="Fira Sans"/>
                <w:sz w:val="19"/>
              </w:rPr>
              <w:t xml:space="preserve"> +48 22 608 30 09</w:t>
            </w:r>
          </w:p>
          <w:p w14:paraId="6D922095" w14:textId="77777777" w:rsidR="00112041" w:rsidRPr="00185238" w:rsidRDefault="00112041" w:rsidP="00112041">
            <w:pPr>
              <w:keepNext/>
              <w:keepLines/>
              <w:spacing w:line="240" w:lineRule="auto"/>
              <w:outlineLvl w:val="2"/>
              <w:rPr>
                <w:rFonts w:ascii="Fira Sans" w:eastAsia="Times New Roman" w:hAnsi="Fira Sans" w:cs="Arial"/>
                <w:sz w:val="20"/>
                <w:szCs w:val="24"/>
                <w:lang w:val="fi-FI"/>
              </w:rPr>
            </w:pPr>
            <w:r w:rsidRPr="008E1F75">
              <w:rPr>
                <w:rFonts w:ascii="Fira Sans" w:hAnsi="Fira Sans"/>
                <w:b/>
                <w:sz w:val="20"/>
              </w:rPr>
              <w:t>e-mail:</w:t>
            </w:r>
            <w:r w:rsidRPr="008E1F75">
              <w:rPr>
                <w:rFonts w:ascii="Fira Sans" w:hAnsi="Fira Sans"/>
                <w:sz w:val="20"/>
              </w:rPr>
              <w:t xml:space="preserve"> </w:t>
            </w:r>
            <w:hyperlink r:id="rId30" w:history="1">
              <w:r w:rsidRPr="008E1F75">
                <w:rPr>
                  <w:rFonts w:ascii="Fira Sans" w:eastAsiaTheme="majorEastAsia" w:hAnsi="Fira Sans" w:cs="Arial"/>
                  <w:b/>
                  <w:sz w:val="20"/>
                  <w:szCs w:val="20"/>
                  <w:u w:val="single"/>
                </w:rPr>
                <w:t>obslugaprasowa@stat.gov.pl</w:t>
              </w:r>
            </w:hyperlink>
          </w:p>
          <w:p w14:paraId="19F8EFFD" w14:textId="77777777" w:rsidR="00FF0DFB" w:rsidRPr="00185238" w:rsidRDefault="00FF0DFB" w:rsidP="003B6FFA">
            <w:pPr>
              <w:spacing w:before="120" w:after="120"/>
              <w:rPr>
                <w:rFonts w:ascii="Fira Sans" w:eastAsia="Calibri" w:hAnsi="Fira Sans" w:cs="Times New Roman"/>
                <w:sz w:val="18"/>
              </w:rPr>
            </w:pPr>
          </w:p>
        </w:tc>
      </w:tr>
      <w:tr w:rsidR="00FF0DFB" w:rsidRPr="00185238" w14:paraId="2EDD7FF8" w14:textId="77777777" w:rsidTr="003B6FFA">
        <w:trPr>
          <w:trHeight w:val="418"/>
        </w:trPr>
        <w:tc>
          <w:tcPr>
            <w:tcW w:w="4926" w:type="dxa"/>
            <w:vMerge w:val="restart"/>
          </w:tcPr>
          <w:p w14:paraId="7F2906D2" w14:textId="77777777" w:rsidR="00FF0DFB" w:rsidRPr="00185238" w:rsidRDefault="00FF0DFB" w:rsidP="003B6FFA">
            <w:pPr>
              <w:spacing w:before="120" w:after="120"/>
              <w:rPr>
                <w:rFonts w:ascii="Fira Sans" w:eastAsia="Calibri" w:hAnsi="Fira Sans" w:cs="Times New Roman"/>
                <w:sz w:val="18"/>
                <w:lang w:val="en-US"/>
              </w:rPr>
            </w:pPr>
          </w:p>
        </w:tc>
        <w:tc>
          <w:tcPr>
            <w:tcW w:w="5001" w:type="dxa"/>
            <w:vAlign w:val="center"/>
          </w:tcPr>
          <w:p w14:paraId="63F7A763" w14:textId="2E9F832E" w:rsidR="00FF0DFB" w:rsidRPr="007533AC" w:rsidRDefault="007533AC" w:rsidP="003B6FFA">
            <w:pPr>
              <w:spacing w:before="120" w:after="120"/>
              <w:ind w:firstLine="680"/>
              <w:rPr>
                <w:rFonts w:ascii="Fira Sans" w:eastAsia="Calibri" w:hAnsi="Fira Sans" w:cs="Times New Roman"/>
                <w:b/>
                <w:bCs/>
                <w:sz w:val="18"/>
              </w:rPr>
            </w:pPr>
            <w:r w:rsidRPr="007533AC">
              <w:rPr>
                <w:b/>
                <w:bCs/>
                <w:noProof/>
                <w:sz w:val="20"/>
                <w:lang w:eastAsia="pl-PL"/>
              </w:rPr>
              <w:drawing>
                <wp:anchor distT="0" distB="0" distL="114300" distR="114300" simplePos="0" relativeHeight="253022208" behindDoc="0" locked="0" layoutInCell="1" allowOverlap="1" wp14:anchorId="6939BA06" wp14:editId="62A4EA13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44450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history="1">
              <w:r w:rsidRPr="007533AC">
                <w:rPr>
                  <w:rStyle w:val="Hipercze"/>
                  <w:rFonts w:cstheme="minorBidi"/>
                  <w:b/>
                  <w:bCs/>
                  <w:sz w:val="20"/>
                </w:rPr>
                <w:t>stat.gov.</w:t>
              </w:r>
              <w:r w:rsidRPr="007533AC">
                <w:rPr>
                  <w:rStyle w:val="Hipercze"/>
                  <w:rFonts w:cstheme="minorBidi"/>
                  <w:b/>
                  <w:bCs/>
                  <w:sz w:val="20"/>
                </w:rPr>
                <w:t>p</w:t>
              </w:r>
              <w:r w:rsidRPr="007533AC">
                <w:rPr>
                  <w:rStyle w:val="Hipercze"/>
                  <w:rFonts w:cstheme="minorBidi"/>
                  <w:b/>
                  <w:bCs/>
                  <w:sz w:val="20"/>
                </w:rPr>
                <w:t>l</w:t>
              </w:r>
              <w:r w:rsidRPr="007533AC">
                <w:rPr>
                  <w:rStyle w:val="Hipercze"/>
                  <w:rFonts w:cstheme="minorBidi"/>
                  <w:b/>
                  <w:bCs/>
                  <w:sz w:val="18"/>
                </w:rPr>
                <w:t xml:space="preserve">     </w:t>
              </w:r>
            </w:hyperlink>
          </w:p>
        </w:tc>
      </w:tr>
      <w:tr w:rsidR="00FF0DFB" w:rsidRPr="00185238" w14:paraId="13165633" w14:textId="77777777" w:rsidTr="003B6FFA">
        <w:trPr>
          <w:trHeight w:val="418"/>
        </w:trPr>
        <w:tc>
          <w:tcPr>
            <w:tcW w:w="4926" w:type="dxa"/>
            <w:vMerge/>
          </w:tcPr>
          <w:p w14:paraId="0283225E" w14:textId="77777777" w:rsidR="00FF0DFB" w:rsidRPr="00185238" w:rsidRDefault="00FF0DFB" w:rsidP="003B6FFA">
            <w:pPr>
              <w:spacing w:before="120" w:after="120"/>
              <w:rPr>
                <w:rFonts w:ascii="Fira Sans" w:eastAsia="Calibri" w:hAnsi="Fira Sans" w:cs="Times New Roman"/>
                <w:b/>
                <w:sz w:val="20"/>
              </w:rPr>
            </w:pPr>
          </w:p>
        </w:tc>
        <w:tc>
          <w:tcPr>
            <w:tcW w:w="5001" w:type="dxa"/>
            <w:vAlign w:val="center"/>
          </w:tcPr>
          <w:p w14:paraId="7BCA1862" w14:textId="5F159B04" w:rsidR="00FF0DFB" w:rsidRPr="00185238" w:rsidRDefault="00A12E83" w:rsidP="00D735C2">
            <w:pPr>
              <w:spacing w:before="120" w:after="120"/>
              <w:rPr>
                <w:rFonts w:ascii="Fira Sans" w:eastAsia="Calibri" w:hAnsi="Fira Sans" w:cs="Times New Roman"/>
                <w:sz w:val="18"/>
              </w:rPr>
            </w:pPr>
            <w:r w:rsidRPr="0018523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3003776" behindDoc="0" locked="0" layoutInCell="1" allowOverlap="1" wp14:anchorId="56E86806" wp14:editId="2CEB92A9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24765</wp:posOffset>
                  </wp:positionV>
                  <wp:extent cx="251460" cy="251460"/>
                  <wp:effectExtent l="0" t="0" r="0" b="0"/>
                  <wp:wrapThrough wrapText="bothSides">
                    <wp:wrapPolygon edited="0">
                      <wp:start x="1636" y="0"/>
                      <wp:lineTo x="0" y="4909"/>
                      <wp:lineTo x="0" y="16364"/>
                      <wp:lineTo x="1636" y="19636"/>
                      <wp:lineTo x="18000" y="19636"/>
                      <wp:lineTo x="19636" y="16364"/>
                      <wp:lineTo x="19636" y="4909"/>
                      <wp:lineTo x="18000" y="0"/>
                      <wp:lineTo x="1636" y="0"/>
                    </wp:wrapPolygon>
                  </wp:wrapThrough>
                  <wp:docPr id="22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4" w:history="1">
              <w:r w:rsidR="007533AC" w:rsidRPr="007533AC">
                <w:rPr>
                  <w:rStyle w:val="Hipercze"/>
                  <w:rFonts w:ascii="Fira Sans" w:eastAsia="Calibri" w:hAnsi="Fira Sans"/>
                  <w:sz w:val="20"/>
                </w:rPr>
                <w:t>@GUS_STAT</w:t>
              </w:r>
            </w:hyperlink>
          </w:p>
        </w:tc>
      </w:tr>
      <w:tr w:rsidR="00FF0DFB" w:rsidRPr="00185238" w14:paraId="1329F94D" w14:textId="77777777" w:rsidTr="003B6FFA">
        <w:trPr>
          <w:trHeight w:val="476"/>
        </w:trPr>
        <w:tc>
          <w:tcPr>
            <w:tcW w:w="4926" w:type="dxa"/>
            <w:vMerge/>
          </w:tcPr>
          <w:p w14:paraId="5AF5B0FA" w14:textId="77777777" w:rsidR="00FF0DFB" w:rsidRPr="00185238" w:rsidRDefault="00FF0DFB" w:rsidP="003B6FFA">
            <w:pPr>
              <w:spacing w:before="120" w:after="120"/>
              <w:rPr>
                <w:rFonts w:ascii="Fira Sans" w:eastAsia="Calibri" w:hAnsi="Fira Sans" w:cs="Times New Roman"/>
                <w:b/>
                <w:sz w:val="20"/>
              </w:rPr>
            </w:pPr>
          </w:p>
        </w:tc>
        <w:tc>
          <w:tcPr>
            <w:tcW w:w="5001" w:type="dxa"/>
          </w:tcPr>
          <w:p w14:paraId="1E93477B" w14:textId="6DCA5A3F" w:rsidR="00FF0DFB" w:rsidRPr="00185238" w:rsidRDefault="00FF0DFB" w:rsidP="003B6FFA">
            <w:pPr>
              <w:spacing w:before="120" w:after="120"/>
              <w:ind w:firstLine="680"/>
              <w:rPr>
                <w:rFonts w:ascii="Fira Sans" w:eastAsia="Calibri" w:hAnsi="Fira Sans" w:cs="Times New Roman"/>
                <w:sz w:val="18"/>
              </w:rPr>
            </w:pPr>
            <w:r w:rsidRPr="00185238">
              <w:rPr>
                <w:rFonts w:ascii="Fira Sans" w:eastAsia="Calibri" w:hAnsi="Fira Sans" w:cs="Times New Roman"/>
                <w:noProof/>
                <w:sz w:val="20"/>
                <w:lang w:eastAsia="pl-PL"/>
              </w:rPr>
              <w:drawing>
                <wp:anchor distT="0" distB="0" distL="114300" distR="114300" simplePos="0" relativeHeight="252802048" behindDoc="0" locked="0" layoutInCell="1" allowOverlap="1" wp14:anchorId="64663296" wp14:editId="14F0777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6" w:history="1">
              <w:r w:rsidR="007533AC" w:rsidRPr="007533AC">
                <w:rPr>
                  <w:rStyle w:val="Hipercze"/>
                  <w:rFonts w:ascii="Fira Sans" w:eastAsia="Calibri" w:hAnsi="Fira Sans"/>
                  <w:sz w:val="20"/>
                </w:rPr>
                <w:t>@GlownyUrzadStatystyczny</w:t>
              </w:r>
            </w:hyperlink>
          </w:p>
        </w:tc>
      </w:tr>
      <w:tr w:rsidR="00FF0DFB" w:rsidRPr="00185238" w14:paraId="725CA63F" w14:textId="77777777" w:rsidTr="003B6FFA">
        <w:trPr>
          <w:trHeight w:val="476"/>
        </w:trPr>
        <w:tc>
          <w:tcPr>
            <w:tcW w:w="4926" w:type="dxa"/>
          </w:tcPr>
          <w:p w14:paraId="4C4DBA9D" w14:textId="77777777" w:rsidR="00FF0DFB" w:rsidRPr="00185238" w:rsidRDefault="00FF0DFB" w:rsidP="003B6FFA">
            <w:pPr>
              <w:spacing w:before="120" w:after="120"/>
              <w:rPr>
                <w:rFonts w:ascii="Fira Sans" w:eastAsia="Calibri" w:hAnsi="Fira Sans" w:cs="Times New Roman"/>
                <w:b/>
                <w:sz w:val="20"/>
              </w:rPr>
            </w:pPr>
          </w:p>
        </w:tc>
        <w:tc>
          <w:tcPr>
            <w:tcW w:w="5001" w:type="dxa"/>
          </w:tcPr>
          <w:p w14:paraId="5CFD095A" w14:textId="3DFCA3EE" w:rsidR="00FF0DFB" w:rsidRPr="00185238" w:rsidRDefault="00FF0DFB" w:rsidP="003B6FFA">
            <w:pPr>
              <w:spacing w:before="120" w:after="120"/>
              <w:ind w:firstLine="680"/>
              <w:rPr>
                <w:rFonts w:ascii="Fira Sans" w:eastAsia="Calibri" w:hAnsi="Fira Sans" w:cs="Times New Roman"/>
                <w:sz w:val="20"/>
              </w:rPr>
            </w:pPr>
            <w:r w:rsidRPr="00185238">
              <w:rPr>
                <w:rFonts w:ascii="Fira Sans" w:eastAsia="Calibri" w:hAnsi="Fira Sans" w:cs="Times New Roman"/>
                <w:noProof/>
                <w:sz w:val="20"/>
                <w:lang w:eastAsia="pl-PL"/>
              </w:rPr>
              <w:drawing>
                <wp:anchor distT="0" distB="0" distL="114300" distR="114300" simplePos="0" relativeHeight="252803072" behindDoc="0" locked="0" layoutInCell="1" allowOverlap="1" wp14:anchorId="4D9391C3" wp14:editId="5024201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8" w:history="1">
              <w:r w:rsidR="007533AC" w:rsidRPr="007533AC">
                <w:rPr>
                  <w:rStyle w:val="Hipercze"/>
                  <w:rFonts w:ascii="Fira Sans" w:eastAsia="Calibri" w:hAnsi="Fira Sans"/>
                  <w:sz w:val="20"/>
                </w:rPr>
                <w:t>@gus_stat</w:t>
              </w:r>
            </w:hyperlink>
          </w:p>
        </w:tc>
      </w:tr>
      <w:tr w:rsidR="00FF0DFB" w:rsidRPr="00185238" w14:paraId="610DFA24" w14:textId="77777777" w:rsidTr="003B6FFA">
        <w:trPr>
          <w:trHeight w:val="476"/>
        </w:trPr>
        <w:tc>
          <w:tcPr>
            <w:tcW w:w="4926" w:type="dxa"/>
          </w:tcPr>
          <w:p w14:paraId="6762B5F2" w14:textId="77777777" w:rsidR="00FF0DFB" w:rsidRPr="00185238" w:rsidRDefault="00FF0DFB" w:rsidP="003B6FFA">
            <w:pPr>
              <w:spacing w:before="120" w:after="120"/>
              <w:rPr>
                <w:rFonts w:ascii="Fira Sans" w:eastAsia="Calibri" w:hAnsi="Fira Sans" w:cs="Times New Roman"/>
                <w:b/>
                <w:sz w:val="20"/>
              </w:rPr>
            </w:pPr>
          </w:p>
        </w:tc>
        <w:tc>
          <w:tcPr>
            <w:tcW w:w="5001" w:type="dxa"/>
          </w:tcPr>
          <w:p w14:paraId="50EAF6E1" w14:textId="3F09F8A5" w:rsidR="00FF0DFB" w:rsidRPr="00185238" w:rsidRDefault="007533AC" w:rsidP="003B6FFA">
            <w:pPr>
              <w:spacing w:before="120" w:after="120"/>
              <w:ind w:firstLine="680"/>
              <w:rPr>
                <w:rFonts w:ascii="Fira Sans" w:eastAsia="Calibri" w:hAnsi="Fira Sans" w:cs="Times New Roman"/>
                <w:sz w:val="20"/>
              </w:rPr>
            </w:pPr>
            <w:hyperlink r:id="rId39" w:history="1">
              <w:r w:rsidRPr="007533AC">
                <w:rPr>
                  <w:rStyle w:val="Hipercze"/>
                  <w:rFonts w:ascii="Fira Sans" w:eastAsia="Calibri" w:hAnsi="Fira Sans"/>
                  <w:sz w:val="20"/>
                </w:rPr>
                <w:t>@GłównyUrządStatystycznyGUS</w:t>
              </w:r>
            </w:hyperlink>
            <w:r w:rsidR="00FF0DFB" w:rsidRPr="00185238">
              <w:rPr>
                <w:rFonts w:ascii="Fira Sans" w:eastAsia="Calibri" w:hAnsi="Fira Sans" w:cs="Times New Roman"/>
                <w:noProof/>
                <w:sz w:val="20"/>
                <w:lang w:eastAsia="pl-PL"/>
              </w:rPr>
              <w:drawing>
                <wp:anchor distT="0" distB="0" distL="114300" distR="114300" simplePos="0" relativeHeight="252804096" behindDoc="0" locked="0" layoutInCell="1" allowOverlap="1" wp14:anchorId="428C61CE" wp14:editId="3797A8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" name="Obraz 2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F0DFB" w:rsidRPr="00185238" w14:paraId="56A2B63B" w14:textId="77777777" w:rsidTr="003B6FFA">
        <w:trPr>
          <w:trHeight w:val="953"/>
        </w:trPr>
        <w:tc>
          <w:tcPr>
            <w:tcW w:w="4926" w:type="dxa"/>
          </w:tcPr>
          <w:p w14:paraId="70422033" w14:textId="77777777" w:rsidR="00FF0DFB" w:rsidRPr="00185238" w:rsidRDefault="00FF0DFB" w:rsidP="003B6FFA">
            <w:pPr>
              <w:spacing w:before="120" w:after="120"/>
              <w:rPr>
                <w:rFonts w:ascii="Fira Sans" w:eastAsia="Calibri" w:hAnsi="Fira Sans" w:cs="Times New Roman"/>
                <w:b/>
                <w:sz w:val="20"/>
              </w:rPr>
            </w:pPr>
          </w:p>
        </w:tc>
        <w:tc>
          <w:tcPr>
            <w:tcW w:w="5001" w:type="dxa"/>
          </w:tcPr>
          <w:p w14:paraId="33DA3EA9" w14:textId="033FA46C" w:rsidR="00FF0DFB" w:rsidRPr="00185238" w:rsidRDefault="007533AC" w:rsidP="003B6FFA">
            <w:pPr>
              <w:spacing w:before="120" w:after="120"/>
              <w:ind w:firstLine="680"/>
              <w:rPr>
                <w:rFonts w:ascii="Fira Sans" w:eastAsia="Calibri" w:hAnsi="Fira Sans" w:cs="Times New Roman"/>
                <w:sz w:val="20"/>
              </w:rPr>
            </w:pPr>
            <w:hyperlink r:id="rId41" w:history="1">
              <w:r>
                <w:rPr>
                  <w:rStyle w:val="Hipercze"/>
                  <w:rFonts w:ascii="Fira Sans" w:eastAsia="Calibri" w:hAnsi="Fira Sans"/>
                  <w:noProof/>
                  <w:sz w:val="20"/>
                  <w:lang w:eastAsia="pl-PL"/>
                </w:rPr>
                <w:t>@Główny Urząd Statystyczny</w:t>
              </w:r>
            </w:hyperlink>
            <w:r w:rsidR="00FF0DFB" w:rsidRPr="00185238">
              <w:rPr>
                <w:rFonts w:ascii="Fira Sans" w:eastAsia="Calibri" w:hAnsi="Fira Sans" w:cs="Times New Roman"/>
                <w:noProof/>
                <w:sz w:val="20"/>
                <w:lang w:eastAsia="pl-PL"/>
              </w:rPr>
              <w:drawing>
                <wp:anchor distT="0" distB="0" distL="114300" distR="114300" simplePos="0" relativeHeight="252805120" behindDoc="0" locked="0" layoutInCell="1" allowOverlap="1" wp14:anchorId="39D4A388" wp14:editId="3F1C312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7" name="Obraz 17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F0DFB" w:rsidRPr="00185238" w14:paraId="21C95628" w14:textId="77777777" w:rsidTr="003B6FFA">
        <w:trPr>
          <w:trHeight w:val="4114"/>
        </w:trPr>
        <w:tc>
          <w:tcPr>
            <w:tcW w:w="9927" w:type="dxa"/>
            <w:gridSpan w:val="2"/>
            <w:shd w:val="clear" w:color="auto" w:fill="D9D9D9"/>
          </w:tcPr>
          <w:p w14:paraId="3B35D14C" w14:textId="77777777" w:rsidR="00FF0DFB" w:rsidRPr="00185238" w:rsidRDefault="00FF0DFB" w:rsidP="003B6FFA">
            <w:pPr>
              <w:shd w:val="clear" w:color="auto" w:fill="D9D9D9"/>
              <w:spacing w:before="120" w:after="120"/>
              <w:rPr>
                <w:rFonts w:ascii="Fira Sans" w:eastAsia="Calibri" w:hAnsi="Fira Sans" w:cs="Times New Roman"/>
                <w:b/>
                <w:sz w:val="19"/>
              </w:rPr>
            </w:pPr>
            <w:r w:rsidRPr="00185238">
              <w:rPr>
                <w:rFonts w:ascii="Fira Sans" w:eastAsia="Calibri" w:hAnsi="Fira Sans" w:cs="Times New Roman"/>
                <w:b/>
                <w:sz w:val="19"/>
              </w:rPr>
              <w:t>Powiązane opracowania</w:t>
            </w:r>
          </w:p>
          <w:p w14:paraId="1AAB1E9D" w14:textId="77777777" w:rsidR="00772335" w:rsidRPr="007533AC" w:rsidRDefault="00000000" w:rsidP="00772335">
            <w:pPr>
              <w:spacing w:before="120" w:after="120"/>
              <w:rPr>
                <w:rFonts w:ascii="Fira Sans" w:eastAsia="Fira Sans Light" w:hAnsi="Fira Sans" w:cs="Times New Roman"/>
                <w:color w:val="0000FF"/>
                <w:sz w:val="19"/>
                <w:szCs w:val="19"/>
                <w:u w:val="single"/>
              </w:rPr>
            </w:pPr>
            <w:hyperlink r:id="rId43" w:history="1">
              <w:r w:rsidR="00772335" w:rsidRPr="007533AC">
                <w:rPr>
                  <w:rStyle w:val="Hipercze"/>
                  <w:rFonts w:ascii="Fira Sans" w:eastAsia="Fira Sans Light" w:hAnsi="Fira Sans"/>
                  <w:sz w:val="19"/>
                  <w:szCs w:val="19"/>
                </w:rPr>
                <w:t>Koniunktura w gospodarstwach rolnych w 2. półroczu 2025 r.</w:t>
              </w:r>
            </w:hyperlink>
            <w:r w:rsidR="00772335" w:rsidRPr="007533AC">
              <w:rPr>
                <w:rFonts w:ascii="Fira Sans" w:eastAsia="Fira Sans Light" w:hAnsi="Fira Sans" w:cs="Times New Roman"/>
                <w:color w:val="0000FF"/>
                <w:sz w:val="19"/>
                <w:szCs w:val="19"/>
                <w:u w:val="single"/>
              </w:rPr>
              <w:t xml:space="preserve"> </w:t>
            </w:r>
          </w:p>
          <w:p w14:paraId="31C223E2" w14:textId="77777777" w:rsidR="007C046A" w:rsidRPr="007533AC" w:rsidRDefault="00D80B51" w:rsidP="007C046A">
            <w:pPr>
              <w:spacing w:before="120" w:after="120"/>
              <w:rPr>
                <w:rStyle w:val="Hipercze"/>
                <w:rFonts w:ascii="Fira Sans" w:eastAsia="Calibri" w:hAnsi="Fira Sans"/>
                <w:sz w:val="19"/>
              </w:rPr>
            </w:pPr>
            <w:r>
              <w:rPr>
                <w:rFonts w:ascii="Fira Sans" w:eastAsia="Calibri" w:hAnsi="Fira Sans" w:cs="Times New Roman"/>
                <w:sz w:val="19"/>
              </w:rPr>
              <w:fldChar w:fldCharType="begin"/>
            </w:r>
            <w:r>
              <w:rPr>
                <w:rFonts w:ascii="Fira Sans" w:eastAsia="Calibri" w:hAnsi="Fira Sans" w:cs="Times New Roman"/>
                <w:sz w:val="19"/>
              </w:rPr>
              <w:instrText>HYPERLINK "https://stat.gov.pl/obszary-tematyczne/koniunktura/" \o "Link do obszaru tematycznego - Koniunktura"</w:instrText>
            </w:r>
            <w:r>
              <w:rPr>
                <w:rFonts w:ascii="Fira Sans" w:eastAsia="Calibri" w:hAnsi="Fira Sans" w:cs="Times New Roman"/>
                <w:sz w:val="19"/>
              </w:rPr>
            </w:r>
            <w:r>
              <w:rPr>
                <w:rFonts w:ascii="Fira Sans" w:eastAsia="Calibri" w:hAnsi="Fira Sans" w:cs="Times New Roman"/>
                <w:sz w:val="19"/>
              </w:rPr>
              <w:fldChar w:fldCharType="separate"/>
            </w:r>
            <w:r w:rsidR="005D28CA" w:rsidRPr="007533AC">
              <w:rPr>
                <w:rStyle w:val="Hipercze"/>
                <w:rFonts w:ascii="Fira Sans" w:eastAsia="Calibri" w:hAnsi="Fira Sans"/>
                <w:sz w:val="19"/>
              </w:rPr>
              <w:t>Obszary tematyczne-</w:t>
            </w:r>
            <w:r w:rsidR="00AD3F2E" w:rsidRPr="007533AC">
              <w:rPr>
                <w:rStyle w:val="Hipercze"/>
                <w:rFonts w:ascii="Fira Sans" w:eastAsia="Calibri" w:hAnsi="Fira Sans"/>
                <w:sz w:val="19"/>
              </w:rPr>
              <w:t xml:space="preserve"> </w:t>
            </w:r>
            <w:r w:rsidR="005D28CA" w:rsidRPr="007533AC">
              <w:rPr>
                <w:rStyle w:val="Hipercze"/>
                <w:rFonts w:ascii="Fira Sans" w:eastAsia="Calibri" w:hAnsi="Fira Sans"/>
                <w:sz w:val="19"/>
              </w:rPr>
              <w:t>Koniunktura</w:t>
            </w:r>
          </w:p>
          <w:p w14:paraId="7FE76D70" w14:textId="77777777" w:rsidR="007C046A" w:rsidRPr="00185238" w:rsidRDefault="00D80B51" w:rsidP="007C046A">
            <w:pPr>
              <w:shd w:val="clear" w:color="auto" w:fill="D9D9D9"/>
              <w:spacing w:before="360" w:after="120"/>
              <w:rPr>
                <w:rFonts w:ascii="Fira Sans" w:eastAsia="Calibri" w:hAnsi="Fira Sans" w:cs="Times New Roman"/>
                <w:b/>
                <w:color w:val="000000"/>
                <w:sz w:val="19"/>
                <w:szCs w:val="24"/>
              </w:rPr>
            </w:pPr>
            <w:r>
              <w:rPr>
                <w:rFonts w:ascii="Fira Sans" w:eastAsia="Calibri" w:hAnsi="Fira Sans" w:cs="Times New Roman"/>
                <w:sz w:val="19"/>
              </w:rPr>
              <w:fldChar w:fldCharType="end"/>
            </w:r>
            <w:r w:rsidR="007C046A" w:rsidRPr="00185238">
              <w:rPr>
                <w:rFonts w:ascii="Fira Sans" w:eastAsia="Calibri" w:hAnsi="Fira Sans" w:cs="Times New Roman"/>
                <w:b/>
                <w:color w:val="000000"/>
                <w:sz w:val="19"/>
                <w:szCs w:val="24"/>
              </w:rPr>
              <w:t>Ważniejsze pojęcia dostępne w słowniku</w:t>
            </w:r>
          </w:p>
          <w:p w14:paraId="6C5E67CF" w14:textId="77777777" w:rsidR="007C046A" w:rsidRPr="007533AC" w:rsidRDefault="00961423" w:rsidP="007C046A">
            <w:pPr>
              <w:spacing w:before="120" w:after="120"/>
              <w:rPr>
                <w:rStyle w:val="Hipercze"/>
                <w:rFonts w:ascii="Fira Sans" w:eastAsia="Fira Sans Light" w:hAnsi="Fira Sans"/>
                <w:sz w:val="18"/>
                <w:szCs w:val="18"/>
              </w:rPr>
            </w:pP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begin"/>
            </w:r>
            <w:r w:rsidR="00ED5CAE"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instrText>HYPERLINK "http://stat.gov.pl/metainformacje/slownik-pojec/pojecia-stosowane-w-statystyce-publicznej/3137,pojecie.html" \o "Link do definicji gospodarstwa rolnego zamieszczonej w Słowniku pojęć stosowanych w statystyce publicznej "</w:instrText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separate"/>
            </w:r>
            <w:r w:rsidR="007C046A" w:rsidRPr="007533AC">
              <w:rPr>
                <w:rStyle w:val="Hipercze"/>
                <w:rFonts w:ascii="Fira Sans" w:eastAsia="Fira Sans Light" w:hAnsi="Fira Sans"/>
                <w:sz w:val="18"/>
                <w:szCs w:val="18"/>
              </w:rPr>
              <w:t>Gospodarstwo rolne</w:t>
            </w:r>
          </w:p>
          <w:p w14:paraId="7CC14F6E" w14:textId="77777777" w:rsidR="007C046A" w:rsidRPr="007533AC" w:rsidRDefault="00961423" w:rsidP="007C046A">
            <w:pPr>
              <w:spacing w:before="120" w:after="120"/>
              <w:rPr>
                <w:rStyle w:val="Hipercze"/>
                <w:rFonts w:ascii="Fira Sans" w:eastAsia="Fira Sans Light" w:hAnsi="Fira Sans"/>
                <w:sz w:val="18"/>
                <w:szCs w:val="18"/>
              </w:rPr>
            </w:pP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end"/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begin"/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instrText>HYPERLINK "http://stat.gov.pl/metainformacje/slownik-pojec/pojecia-stosowane-w-statystyce-publicznej/1064,pojecie.html" \o "Link do definicji działalności rolniczej zamieszczonej w Słowniku pojęć stosowanych w statystyce publicznej "</w:instrText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separate"/>
            </w:r>
            <w:r w:rsidR="007C046A" w:rsidRPr="007533AC">
              <w:rPr>
                <w:rStyle w:val="Hipercze"/>
                <w:rFonts w:ascii="Fira Sans" w:eastAsia="Fira Sans Light" w:hAnsi="Fira Sans"/>
                <w:sz w:val="18"/>
                <w:szCs w:val="18"/>
              </w:rPr>
              <w:t>Działalność rolnicza</w:t>
            </w:r>
          </w:p>
          <w:p w14:paraId="1F112A12" w14:textId="77777777" w:rsidR="007C046A" w:rsidRPr="007533AC" w:rsidRDefault="00961423" w:rsidP="007C046A">
            <w:pPr>
              <w:spacing w:before="120" w:after="120"/>
              <w:rPr>
                <w:rStyle w:val="Hipercze"/>
                <w:rFonts w:ascii="Fira Sans" w:eastAsia="Fira Sans Light" w:hAnsi="Fira Sans"/>
                <w:sz w:val="18"/>
                <w:szCs w:val="18"/>
              </w:rPr>
            </w:pP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end"/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begin"/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instrText>HYPERLINK "http://stat.gov.pl/metainformacje/slownik-pojec/pojecia-stosowane-w-statystyce-publicznej/2076,pojecie.html" \o "Link do definicji koniunktury zamieszczonej w Słowniku pojęć stosowanych w statystyce publicznej "</w:instrText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</w: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separate"/>
            </w:r>
            <w:r w:rsidR="007C046A" w:rsidRPr="007533AC">
              <w:rPr>
                <w:rStyle w:val="Hipercze"/>
                <w:rFonts w:ascii="Fira Sans" w:eastAsia="Fira Sans Light" w:hAnsi="Fira Sans"/>
                <w:sz w:val="18"/>
                <w:szCs w:val="18"/>
              </w:rPr>
              <w:t>Koniunktura</w:t>
            </w:r>
          </w:p>
          <w:p w14:paraId="7087B8CC" w14:textId="77777777" w:rsidR="00FF0DFB" w:rsidRPr="00185238" w:rsidRDefault="00961423" w:rsidP="009E03B7">
            <w:pPr>
              <w:spacing w:before="120" w:after="120"/>
              <w:rPr>
                <w:rFonts w:ascii="Fira Sans" w:eastAsia="Calibri" w:hAnsi="Fira Sans" w:cs="Times New Roman"/>
                <w:b/>
                <w:color w:val="000000"/>
                <w:sz w:val="19"/>
                <w:szCs w:val="24"/>
              </w:rPr>
            </w:pPr>
            <w:r w:rsidRPr="007533AC">
              <w:rPr>
                <w:rFonts w:ascii="Fira Sans" w:eastAsia="Fira Sans Light" w:hAnsi="Fira Sans" w:cs="Times New Roman"/>
                <w:color w:val="0000FF"/>
                <w:sz w:val="18"/>
                <w:szCs w:val="18"/>
                <w:u w:val="single"/>
              </w:rPr>
              <w:fldChar w:fldCharType="end"/>
            </w:r>
            <w:hyperlink r:id="rId44" w:tooltip="Link do definicji popytu zamieszczonej w Słowniku pojęć stosowanych w statystyce publicznej " w:history="1">
              <w:r w:rsidR="007C046A" w:rsidRPr="007533AC">
                <w:rPr>
                  <w:rStyle w:val="Hipercze"/>
                  <w:rFonts w:ascii="Fira Sans" w:eastAsia="Fira Sans Light" w:hAnsi="Fira Sans"/>
                  <w:sz w:val="18"/>
                  <w:szCs w:val="18"/>
                </w:rPr>
                <w:t>Popyt</w:t>
              </w:r>
            </w:hyperlink>
          </w:p>
        </w:tc>
      </w:tr>
    </w:tbl>
    <w:p w14:paraId="43FB13AC" w14:textId="77777777" w:rsidR="00A813A1" w:rsidRPr="00185238" w:rsidRDefault="00A813A1" w:rsidP="00246328">
      <w:pPr>
        <w:spacing w:before="120" w:after="320"/>
        <w:rPr>
          <w:rFonts w:ascii="Fira Sans" w:eastAsia="Calibri" w:hAnsi="Fira Sans" w:cs="Times New Roman"/>
          <w:sz w:val="18"/>
        </w:rPr>
      </w:pPr>
    </w:p>
    <w:sectPr w:rsidR="00A813A1" w:rsidRPr="00185238" w:rsidSect="003B6FFA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A33F4" w14:textId="77777777" w:rsidR="00376703" w:rsidRDefault="00376703" w:rsidP="000662E2">
      <w:pPr>
        <w:spacing w:after="0" w:line="240" w:lineRule="auto"/>
      </w:pPr>
      <w:r>
        <w:separator/>
      </w:r>
    </w:p>
  </w:endnote>
  <w:endnote w:type="continuationSeparator" w:id="0">
    <w:p w14:paraId="0A1C9017" w14:textId="77777777" w:rsidR="00376703" w:rsidRDefault="0037670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2204093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6BBE912E" w14:textId="77777777" w:rsidR="003B61E1" w:rsidRPr="00B7359B" w:rsidRDefault="003B61E1" w:rsidP="00B7359B">
        <w:pPr>
          <w:pStyle w:val="Stopka"/>
          <w:jc w:val="center"/>
          <w:rPr>
            <w:rFonts w:ascii="Fira Sans" w:hAnsi="Fira Sans"/>
            <w:sz w:val="19"/>
            <w:szCs w:val="19"/>
          </w:rPr>
        </w:pPr>
        <w:r w:rsidRPr="00B7359B">
          <w:rPr>
            <w:rFonts w:ascii="Fira Sans" w:hAnsi="Fira Sans"/>
            <w:sz w:val="19"/>
            <w:szCs w:val="19"/>
          </w:rPr>
          <w:fldChar w:fldCharType="begin"/>
        </w:r>
        <w:r w:rsidRPr="00B7359B">
          <w:rPr>
            <w:rFonts w:ascii="Fira Sans" w:hAnsi="Fira Sans"/>
            <w:sz w:val="19"/>
            <w:szCs w:val="19"/>
          </w:rPr>
          <w:instrText>PAGE   \* MERGEFORMAT</w:instrText>
        </w:r>
        <w:r w:rsidRPr="00B7359B">
          <w:rPr>
            <w:rFonts w:ascii="Fira Sans" w:hAnsi="Fira Sans"/>
            <w:sz w:val="19"/>
            <w:szCs w:val="19"/>
          </w:rPr>
          <w:fldChar w:fldCharType="separate"/>
        </w:r>
        <w:r>
          <w:rPr>
            <w:rFonts w:ascii="Fira Sans" w:hAnsi="Fira Sans"/>
            <w:noProof/>
            <w:sz w:val="19"/>
            <w:szCs w:val="19"/>
          </w:rPr>
          <w:t>2</w:t>
        </w:r>
        <w:r w:rsidRPr="00B7359B">
          <w:rPr>
            <w:rFonts w:ascii="Fira Sans" w:hAnsi="Fira Sans"/>
            <w:sz w:val="19"/>
            <w:szCs w:val="19"/>
          </w:rPr>
          <w:fldChar w:fldCharType="end"/>
        </w:r>
      </w:p>
    </w:sdtContent>
  </w:sdt>
  <w:p w14:paraId="08D48029" w14:textId="77777777" w:rsidR="003B61E1" w:rsidRDefault="003B61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7788554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6285D2B0" w14:textId="77777777" w:rsidR="003B61E1" w:rsidRPr="002B1A65" w:rsidRDefault="003B61E1" w:rsidP="002B1A65">
        <w:pPr>
          <w:pStyle w:val="Stopka"/>
          <w:jc w:val="center"/>
          <w:rPr>
            <w:rFonts w:ascii="Fira Sans" w:hAnsi="Fira Sans"/>
            <w:sz w:val="19"/>
            <w:szCs w:val="19"/>
          </w:rPr>
        </w:pPr>
        <w:r w:rsidRPr="002B1A65">
          <w:rPr>
            <w:rFonts w:ascii="Fira Sans" w:hAnsi="Fira Sans"/>
            <w:sz w:val="19"/>
            <w:szCs w:val="19"/>
          </w:rPr>
          <w:fldChar w:fldCharType="begin"/>
        </w:r>
        <w:r w:rsidRPr="002B1A65">
          <w:rPr>
            <w:rFonts w:ascii="Fira Sans" w:hAnsi="Fira Sans"/>
            <w:sz w:val="19"/>
            <w:szCs w:val="19"/>
          </w:rPr>
          <w:instrText>PAGE   \* MERGEFORMAT</w:instrText>
        </w:r>
        <w:r w:rsidRPr="002B1A65">
          <w:rPr>
            <w:rFonts w:ascii="Fira Sans" w:hAnsi="Fira Sans"/>
            <w:sz w:val="19"/>
            <w:szCs w:val="19"/>
          </w:rPr>
          <w:fldChar w:fldCharType="separate"/>
        </w:r>
        <w:r>
          <w:rPr>
            <w:rFonts w:ascii="Fira Sans" w:hAnsi="Fira Sans"/>
            <w:noProof/>
            <w:sz w:val="19"/>
            <w:szCs w:val="19"/>
          </w:rPr>
          <w:t>1</w:t>
        </w:r>
        <w:r w:rsidRPr="002B1A65">
          <w:rPr>
            <w:rFonts w:ascii="Fira Sans" w:hAnsi="Fira Sans"/>
            <w:sz w:val="19"/>
            <w:szCs w:val="19"/>
          </w:rPr>
          <w:fldChar w:fldCharType="end"/>
        </w:r>
      </w:p>
    </w:sdtContent>
  </w:sdt>
  <w:p w14:paraId="42F0A08D" w14:textId="77777777" w:rsidR="003B61E1" w:rsidRDefault="003B61E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015802DC" w14:textId="77777777" w:rsidR="003B61E1" w:rsidRDefault="003B61E1" w:rsidP="003B6FF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5CD74" w14:textId="77777777" w:rsidR="00376703" w:rsidRDefault="00376703" w:rsidP="000662E2">
      <w:pPr>
        <w:spacing w:after="0" w:line="240" w:lineRule="auto"/>
      </w:pPr>
      <w:r>
        <w:separator/>
      </w:r>
    </w:p>
  </w:footnote>
  <w:footnote w:type="continuationSeparator" w:id="0">
    <w:p w14:paraId="5F77ECB8" w14:textId="77777777" w:rsidR="00376703" w:rsidRDefault="00376703" w:rsidP="000662E2">
      <w:pPr>
        <w:spacing w:after="0" w:line="240" w:lineRule="auto"/>
      </w:pPr>
      <w:r>
        <w:continuationSeparator/>
      </w:r>
    </w:p>
  </w:footnote>
  <w:footnote w:id="1">
    <w:p w14:paraId="4D8B5B0F" w14:textId="77777777" w:rsidR="003B61E1" w:rsidRPr="009952D0" w:rsidRDefault="003B61E1" w:rsidP="00D726D8">
      <w:pPr>
        <w:pStyle w:val="Tekstprzypisudolnego"/>
        <w:rPr>
          <w:rFonts w:ascii="Fira Sans" w:hAnsi="Fira Sans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Fira Sans" w:hAnsi="Fira Sans"/>
          <w:sz w:val="16"/>
          <w:szCs w:val="16"/>
        </w:rPr>
        <w:t>W lipcu 2025 r. zmieniono częstotliwość zadawania pytań z cyklu rocznego na półroczny.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D9C88" w14:textId="77777777" w:rsidR="003B61E1" w:rsidRDefault="003B61E1" w:rsidP="008A4518">
    <w:pPr>
      <w:pStyle w:val="Nagwek"/>
      <w:tabs>
        <w:tab w:val="clear" w:pos="4536"/>
        <w:tab w:val="clear" w:pos="9072"/>
        <w:tab w:val="left" w:pos="6601"/>
      </w:tabs>
      <w:spacing w:before="120"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89F3D98" wp14:editId="700ACB54">
              <wp:simplePos x="0" y="0"/>
              <wp:positionH relativeFrom="column">
                <wp:posOffset>5267325</wp:posOffset>
              </wp:positionH>
              <wp:positionV relativeFrom="paragraph">
                <wp:posOffset>-10325100</wp:posOffset>
              </wp:positionV>
              <wp:extent cx="1875600" cy="22680000"/>
              <wp:effectExtent l="0" t="0" r="0" b="8890"/>
              <wp:wrapNone/>
              <wp:docPr id="60" name="Prostokąt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5600" cy="22680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2FC399" id="Prostokąt 60" o:spid="_x0000_s1026" style="position:absolute;margin-left:414.75pt;margin-top:-813pt;width:147.7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09742" w14:textId="77777777" w:rsidR="003B61E1" w:rsidRDefault="003B61E1" w:rsidP="00D34814">
    <w:pPr>
      <w:pStyle w:val="Nagwek"/>
      <w:tabs>
        <w:tab w:val="clear" w:pos="4536"/>
        <w:tab w:val="clear" w:pos="9072"/>
        <w:tab w:val="center" w:pos="2611"/>
      </w:tabs>
      <w:spacing w:before="120" w:after="1080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1" locked="0" layoutInCell="1" allowOverlap="1" wp14:anchorId="692750EC" wp14:editId="24584DDF">
          <wp:simplePos x="0" y="0"/>
          <wp:positionH relativeFrom="column">
            <wp:posOffset>0</wp:posOffset>
          </wp:positionH>
          <wp:positionV relativeFrom="paragraph">
            <wp:posOffset>76835</wp:posOffset>
          </wp:positionV>
          <wp:extent cx="1114425" cy="619171"/>
          <wp:effectExtent l="0" t="0" r="0" b="9525"/>
          <wp:wrapTight wrapText="bothSides">
            <wp:wrapPolygon edited="0">
              <wp:start x="0" y="0"/>
              <wp:lineTo x="0" y="21268"/>
              <wp:lineTo x="21046" y="21268"/>
              <wp:lineTo x="21046" y="0"/>
              <wp:lineTo x="0" y="0"/>
            </wp:wrapPolygon>
          </wp:wrapTight>
          <wp:docPr id="13" name="Obraz 1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 GUS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6191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6AB01935" wp14:editId="00C4051D">
              <wp:simplePos x="0" y="0"/>
              <wp:positionH relativeFrom="column">
                <wp:posOffset>5266690</wp:posOffset>
              </wp:positionH>
              <wp:positionV relativeFrom="paragraph">
                <wp:posOffset>197485</wp:posOffset>
              </wp:positionV>
              <wp:extent cx="1872000" cy="2290680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62" name="Prostokąt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F98CB1" id="Prostokąt 62" o:spid="_x0000_s1026" style="position:absolute;margin-left:414.7pt;margin-top:15.55pt;width:147.4pt;height:1803.7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" fillcolor="#f2f2f2 [3052]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7B04CA80" wp14:editId="01D98DB6">
              <wp:simplePos x="0" y="0"/>
              <wp:positionH relativeFrom="page">
                <wp:posOffset>5760720</wp:posOffset>
              </wp:positionH>
              <wp:positionV relativeFrom="paragraph">
                <wp:posOffset>953516</wp:posOffset>
              </wp:positionV>
              <wp:extent cx="1681200" cy="338400"/>
              <wp:effectExtent l="0" t="0" r="0" b="5080"/>
              <wp:wrapNone/>
              <wp:docPr id="63" name="Pole tekstowe 2" descr="30.09.2025 r.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200" cy="33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F05F2F" w14:textId="77777777" w:rsidR="003B61E1" w:rsidRPr="001123E0" w:rsidRDefault="003B61E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eastAsiaTheme="minorEastAsia" w:hAnsi="Fira Sans SemiBold" w:cs="Fira Sans SemiBold"/>
                              <w:color w:val="000080"/>
                              <w:sz w:val="20"/>
                              <w:szCs w:val="20"/>
                              <w:lang w:eastAsia="pl-PL"/>
                            </w:rPr>
                            <w:t>30</w:t>
                          </w:r>
                          <w:r w:rsidRPr="00392074">
                            <w:rPr>
                              <w:rFonts w:ascii="Fira Sans SemiBold" w:eastAsiaTheme="minorEastAsia" w:hAnsi="Fira Sans SemiBold" w:cs="Fira Sans SemiBold"/>
                              <w:color w:val="000080"/>
                              <w:sz w:val="20"/>
                              <w:szCs w:val="20"/>
                              <w:lang w:eastAsia="pl-PL"/>
                            </w:rPr>
                            <w:t>.0</w:t>
                          </w:r>
                          <w:r>
                            <w:rPr>
                              <w:rFonts w:ascii="Fira Sans SemiBold" w:eastAsiaTheme="minorEastAsia" w:hAnsi="Fira Sans SemiBold" w:cs="Fira Sans SemiBold"/>
                              <w:color w:val="000080"/>
                              <w:sz w:val="20"/>
                              <w:szCs w:val="20"/>
                              <w:lang w:eastAsia="pl-PL"/>
                            </w:rPr>
                            <w:t>9.2026</w:t>
                          </w:r>
                          <w:r w:rsidRPr="00392074">
                            <w:rPr>
                              <w:rFonts w:ascii="Fira Sans SemiBold" w:eastAsiaTheme="minorEastAsia" w:hAnsi="Fira Sans SemiBold" w:cs="Fira Sans SemiBold"/>
                              <w:color w:val="000080"/>
                              <w:sz w:val="20"/>
                              <w:szCs w:val="20"/>
                              <w:lang w:eastAsia="pl-PL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04CA80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30.09.2025 r.&#10;" style="position:absolute;margin-left:453.6pt;margin-top:75.1pt;width:132.4pt;height:26.6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" filled="f" stroked="f">
              <v:textbox>
                <w:txbxContent>
                  <w:p w14:paraId="2BF05F2F" w14:textId="77777777" w:rsidR="003B61E1" w:rsidRPr="001123E0" w:rsidRDefault="003B61E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eastAsiaTheme="minorEastAsia" w:hAnsi="Fira Sans SemiBold" w:cs="Fira Sans SemiBold"/>
                        <w:color w:val="000080"/>
                        <w:sz w:val="20"/>
                        <w:szCs w:val="20"/>
                        <w:lang w:eastAsia="pl-PL"/>
                      </w:rPr>
                      <w:t>30</w:t>
                    </w:r>
                    <w:r w:rsidRPr="00392074">
                      <w:rPr>
                        <w:rFonts w:ascii="Fira Sans SemiBold" w:eastAsiaTheme="minorEastAsia" w:hAnsi="Fira Sans SemiBold" w:cs="Fira Sans SemiBold"/>
                        <w:color w:val="000080"/>
                        <w:sz w:val="20"/>
                        <w:szCs w:val="20"/>
                        <w:lang w:eastAsia="pl-PL"/>
                      </w:rPr>
                      <w:t>.0</w:t>
                    </w:r>
                    <w:r>
                      <w:rPr>
                        <w:rFonts w:ascii="Fira Sans SemiBold" w:eastAsiaTheme="minorEastAsia" w:hAnsi="Fira Sans SemiBold" w:cs="Fira Sans SemiBold"/>
                        <w:color w:val="000080"/>
                        <w:sz w:val="20"/>
                        <w:szCs w:val="20"/>
                        <w:lang w:eastAsia="pl-PL"/>
                      </w:rPr>
                      <w:t>9.2026</w:t>
                    </w:r>
                    <w:r w:rsidRPr="00392074">
                      <w:rPr>
                        <w:rFonts w:ascii="Fira Sans SemiBold" w:eastAsiaTheme="minorEastAsia" w:hAnsi="Fira Sans SemiBold" w:cs="Fira Sans SemiBold"/>
                        <w:color w:val="000080"/>
                        <w:sz w:val="20"/>
                        <w:szCs w:val="20"/>
                        <w:lang w:eastAsia="pl-PL"/>
                      </w:rPr>
                      <w:t xml:space="preserve"> r.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21E2BDA" wp14:editId="2A850E8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61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F5092C" w14:textId="77777777" w:rsidR="003B61E1" w:rsidRPr="000201D2" w:rsidRDefault="003B61E1" w:rsidP="00F37172">
                          <w:pPr>
                            <w:spacing w:after="0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</w:pPr>
                          <w:r w:rsidRPr="000201D2"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1E2BDA" id="Schemat blokowy: opóźnienie 6" o:spid="_x0000_s1041" alt="Napis &quot;Informacje sygnalne&quot;" style="position:absolute;margin-left:396.6pt;margin-top:15.65pt;width:162.25pt;height:28.1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6F5092C" w14:textId="77777777" w:rsidR="003B61E1" w:rsidRPr="000201D2" w:rsidRDefault="003B61E1" w:rsidP="00F37172">
                    <w:pPr>
                      <w:spacing w:after="0"/>
                      <w:ind w:left="227"/>
                      <w:jc w:val="both"/>
                      <w:rPr>
                        <w:rFonts w:ascii="Fira Sans SemiBold" w:hAnsi="Fira Sans SemiBold"/>
                        <w:sz w:val="19"/>
                        <w:szCs w:val="19"/>
                      </w:rPr>
                    </w:pPr>
                    <w:r w:rsidRPr="000201D2">
                      <w:rPr>
                        <w:rFonts w:ascii="Fira Sans SemiBold" w:hAnsi="Fira Sans SemiBold"/>
                        <w:sz w:val="19"/>
                        <w:szCs w:val="19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DC523" w14:textId="77777777" w:rsidR="003B61E1" w:rsidRDefault="003B61E1" w:rsidP="00106D6D">
    <w:pPr>
      <w:pStyle w:val="Nagwek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5" type="#_x0000_t75" style="width:125.9pt;height:125.9pt;visibility:visible;mso-wrap-style:square" o:bullet="t">
        <v:imagedata r:id="rId1" o:title=""/>
      </v:shape>
    </w:pict>
  </w:numPicBullet>
  <w:numPicBullet w:numPicBulletId="1">
    <w:pict>
      <v:shape id="_x0000_i1126" type="#_x0000_t75" style="width:125.9pt;height:125.9pt;visibility:visible;mso-wrap-style:square" o:bullet="t">
        <v:imagedata r:id="rId2" o:title=""/>
      </v:shape>
    </w:pict>
  </w:numPicBullet>
  <w:numPicBullet w:numPicBulletId="2">
    <w:pict>
      <v:shape id="_x0000_i1127" type="#_x0000_t75" style="width:11.95pt;height:18.55pt;visibility:visible;mso-wrap-style:square" o:bullet="t">
        <v:imagedata r:id="rId3" o:title=""/>
      </v:shape>
    </w:pict>
  </w:numPicBullet>
  <w:numPicBullet w:numPicBulletId="3">
    <w:pict>
      <v:shape id="_x0000_i1128" type="#_x0000_t75" style="width:11.95pt;height:18.55pt;visibility:visible;mso-wrap-style:square" o:bullet="t">
        <v:imagedata r:id="rId4" o:title=""/>
      </v:shape>
    </w:pict>
  </w:numPicBullet>
  <w:abstractNum w:abstractNumId="0" w15:restartNumberingAfterBreak="0">
    <w:nsid w:val="0B225BAE"/>
    <w:multiLevelType w:val="hybridMultilevel"/>
    <w:tmpl w:val="D980AD58"/>
    <w:lvl w:ilvl="0" w:tplc="7F0EB95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B00AFD5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47DE5FB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1DA834A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5D7E3BE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2E141D3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489275A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5D981E1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71FAF7F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84933D7"/>
    <w:multiLevelType w:val="hybridMultilevel"/>
    <w:tmpl w:val="77E02E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B0913A9"/>
    <w:multiLevelType w:val="hybridMultilevel"/>
    <w:tmpl w:val="D3CE2574"/>
    <w:lvl w:ilvl="0" w:tplc="18B8AEB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8C4E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263C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BED2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6EAD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3AD4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1A64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242F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C438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3EE78CB"/>
    <w:multiLevelType w:val="hybridMultilevel"/>
    <w:tmpl w:val="297CE606"/>
    <w:lvl w:ilvl="0" w:tplc="FA52CC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2765C3"/>
    <w:multiLevelType w:val="hybridMultilevel"/>
    <w:tmpl w:val="4FF6FEA4"/>
    <w:lvl w:ilvl="0" w:tplc="6E4A78E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B97C458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ADC887F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A3266FC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759C6F5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9AC63C9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80189E8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4CFA6F9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7A24270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num w:numId="1" w16cid:durableId="1861430243">
    <w:abstractNumId w:val="3"/>
  </w:num>
  <w:num w:numId="2" w16cid:durableId="619922334">
    <w:abstractNumId w:val="1"/>
  </w:num>
  <w:num w:numId="3" w16cid:durableId="1919095368">
    <w:abstractNumId w:val="5"/>
  </w:num>
  <w:num w:numId="4" w16cid:durableId="1712462104">
    <w:abstractNumId w:val="2"/>
  </w:num>
  <w:num w:numId="5" w16cid:durableId="1392001348">
    <w:abstractNumId w:val="6"/>
  </w:num>
  <w:num w:numId="6" w16cid:durableId="1095784037">
    <w:abstractNumId w:val="0"/>
  </w:num>
  <w:num w:numId="7" w16cid:durableId="617567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8E5"/>
    <w:rsid w:val="00000DA0"/>
    <w:rsid w:val="00001C5B"/>
    <w:rsid w:val="00002CD0"/>
    <w:rsid w:val="00003437"/>
    <w:rsid w:val="00003F15"/>
    <w:rsid w:val="00004825"/>
    <w:rsid w:val="00004D41"/>
    <w:rsid w:val="000057E5"/>
    <w:rsid w:val="00005CE7"/>
    <w:rsid w:val="000066AA"/>
    <w:rsid w:val="00006D8E"/>
    <w:rsid w:val="0000709F"/>
    <w:rsid w:val="000072A1"/>
    <w:rsid w:val="0000742A"/>
    <w:rsid w:val="00007455"/>
    <w:rsid w:val="00007D35"/>
    <w:rsid w:val="000108B8"/>
    <w:rsid w:val="000108D5"/>
    <w:rsid w:val="00010CE8"/>
    <w:rsid w:val="00010DE9"/>
    <w:rsid w:val="00011075"/>
    <w:rsid w:val="00011118"/>
    <w:rsid w:val="00011A11"/>
    <w:rsid w:val="00011C7D"/>
    <w:rsid w:val="00012C2B"/>
    <w:rsid w:val="00015053"/>
    <w:rsid w:val="000152F5"/>
    <w:rsid w:val="0001690E"/>
    <w:rsid w:val="000169D1"/>
    <w:rsid w:val="00016D37"/>
    <w:rsid w:val="00017D23"/>
    <w:rsid w:val="000201D2"/>
    <w:rsid w:val="000206DF"/>
    <w:rsid w:val="000207D0"/>
    <w:rsid w:val="00020F5E"/>
    <w:rsid w:val="00021619"/>
    <w:rsid w:val="00021D5F"/>
    <w:rsid w:val="00022730"/>
    <w:rsid w:val="00022ABD"/>
    <w:rsid w:val="000239A1"/>
    <w:rsid w:val="000250E3"/>
    <w:rsid w:val="0002530B"/>
    <w:rsid w:val="000259F3"/>
    <w:rsid w:val="00026D09"/>
    <w:rsid w:val="00027359"/>
    <w:rsid w:val="000277F3"/>
    <w:rsid w:val="00027A7D"/>
    <w:rsid w:val="00030EB1"/>
    <w:rsid w:val="00031F4F"/>
    <w:rsid w:val="000321C9"/>
    <w:rsid w:val="000323DB"/>
    <w:rsid w:val="00032432"/>
    <w:rsid w:val="00033353"/>
    <w:rsid w:val="00033B5D"/>
    <w:rsid w:val="00034B19"/>
    <w:rsid w:val="0003657C"/>
    <w:rsid w:val="000366E9"/>
    <w:rsid w:val="00036C95"/>
    <w:rsid w:val="00036D9A"/>
    <w:rsid w:val="0003726B"/>
    <w:rsid w:val="00037294"/>
    <w:rsid w:val="00040C90"/>
    <w:rsid w:val="00040D2A"/>
    <w:rsid w:val="00041BB2"/>
    <w:rsid w:val="00043AA8"/>
    <w:rsid w:val="000443F9"/>
    <w:rsid w:val="000444E6"/>
    <w:rsid w:val="00045569"/>
    <w:rsid w:val="0004582E"/>
    <w:rsid w:val="0004594F"/>
    <w:rsid w:val="00046699"/>
    <w:rsid w:val="000472E6"/>
    <w:rsid w:val="00047F8D"/>
    <w:rsid w:val="00051244"/>
    <w:rsid w:val="00051931"/>
    <w:rsid w:val="00051981"/>
    <w:rsid w:val="00052861"/>
    <w:rsid w:val="00052A2C"/>
    <w:rsid w:val="00052BBA"/>
    <w:rsid w:val="000534A5"/>
    <w:rsid w:val="00053E30"/>
    <w:rsid w:val="000544C9"/>
    <w:rsid w:val="00055CE8"/>
    <w:rsid w:val="00056277"/>
    <w:rsid w:val="000564BC"/>
    <w:rsid w:val="0005714F"/>
    <w:rsid w:val="0005758E"/>
    <w:rsid w:val="00057B5C"/>
    <w:rsid w:val="00057BCF"/>
    <w:rsid w:val="00057CA1"/>
    <w:rsid w:val="0006060F"/>
    <w:rsid w:val="00060C40"/>
    <w:rsid w:val="00060C4D"/>
    <w:rsid w:val="00061350"/>
    <w:rsid w:val="00061635"/>
    <w:rsid w:val="00062C3F"/>
    <w:rsid w:val="000631E9"/>
    <w:rsid w:val="00063AFD"/>
    <w:rsid w:val="00064D21"/>
    <w:rsid w:val="000656B1"/>
    <w:rsid w:val="00065B13"/>
    <w:rsid w:val="000662E2"/>
    <w:rsid w:val="000665CB"/>
    <w:rsid w:val="00066883"/>
    <w:rsid w:val="00066D5E"/>
    <w:rsid w:val="00067B49"/>
    <w:rsid w:val="00067F0B"/>
    <w:rsid w:val="00070069"/>
    <w:rsid w:val="00071612"/>
    <w:rsid w:val="00071636"/>
    <w:rsid w:val="00071C5B"/>
    <w:rsid w:val="00071F07"/>
    <w:rsid w:val="000723A5"/>
    <w:rsid w:val="00072583"/>
    <w:rsid w:val="00072A38"/>
    <w:rsid w:val="0007385C"/>
    <w:rsid w:val="00074600"/>
    <w:rsid w:val="00074AAE"/>
    <w:rsid w:val="00074D4D"/>
    <w:rsid w:val="00074EF0"/>
    <w:rsid w:val="00075359"/>
    <w:rsid w:val="00075530"/>
    <w:rsid w:val="00075563"/>
    <w:rsid w:val="00075740"/>
    <w:rsid w:val="00076913"/>
    <w:rsid w:val="00076AA5"/>
    <w:rsid w:val="00076C1A"/>
    <w:rsid w:val="00076EB8"/>
    <w:rsid w:val="0008045F"/>
    <w:rsid w:val="000806F7"/>
    <w:rsid w:val="00081471"/>
    <w:rsid w:val="00083125"/>
    <w:rsid w:val="000834E9"/>
    <w:rsid w:val="00086779"/>
    <w:rsid w:val="00087390"/>
    <w:rsid w:val="00087473"/>
    <w:rsid w:val="00090A07"/>
    <w:rsid w:val="00090C44"/>
    <w:rsid w:val="00090DEE"/>
    <w:rsid w:val="00090EF0"/>
    <w:rsid w:val="00091C02"/>
    <w:rsid w:val="0009276C"/>
    <w:rsid w:val="00092A9F"/>
    <w:rsid w:val="000931D9"/>
    <w:rsid w:val="000932D8"/>
    <w:rsid w:val="000934FB"/>
    <w:rsid w:val="0009359E"/>
    <w:rsid w:val="0009439B"/>
    <w:rsid w:val="0009541F"/>
    <w:rsid w:val="0009660E"/>
    <w:rsid w:val="00096AF6"/>
    <w:rsid w:val="00096BB4"/>
    <w:rsid w:val="00097476"/>
    <w:rsid w:val="00097D87"/>
    <w:rsid w:val="00097D95"/>
    <w:rsid w:val="00097FF4"/>
    <w:rsid w:val="000A00C6"/>
    <w:rsid w:val="000A0C17"/>
    <w:rsid w:val="000A1AFF"/>
    <w:rsid w:val="000A2536"/>
    <w:rsid w:val="000A257F"/>
    <w:rsid w:val="000A3489"/>
    <w:rsid w:val="000A388D"/>
    <w:rsid w:val="000A3B1F"/>
    <w:rsid w:val="000A3ECC"/>
    <w:rsid w:val="000A46CA"/>
    <w:rsid w:val="000A4B95"/>
    <w:rsid w:val="000A4EC1"/>
    <w:rsid w:val="000A5463"/>
    <w:rsid w:val="000A552D"/>
    <w:rsid w:val="000A5E67"/>
    <w:rsid w:val="000A5E8B"/>
    <w:rsid w:val="000A6194"/>
    <w:rsid w:val="000A638A"/>
    <w:rsid w:val="000A6754"/>
    <w:rsid w:val="000A7811"/>
    <w:rsid w:val="000A7D61"/>
    <w:rsid w:val="000A7E38"/>
    <w:rsid w:val="000B02FD"/>
    <w:rsid w:val="000B0727"/>
    <w:rsid w:val="000B12CB"/>
    <w:rsid w:val="000B1421"/>
    <w:rsid w:val="000B2FEA"/>
    <w:rsid w:val="000B373B"/>
    <w:rsid w:val="000B4470"/>
    <w:rsid w:val="000B5553"/>
    <w:rsid w:val="000B6929"/>
    <w:rsid w:val="000C0392"/>
    <w:rsid w:val="000C0479"/>
    <w:rsid w:val="000C0FE2"/>
    <w:rsid w:val="000C135D"/>
    <w:rsid w:val="000C1F8B"/>
    <w:rsid w:val="000C2A89"/>
    <w:rsid w:val="000C2B9D"/>
    <w:rsid w:val="000C362F"/>
    <w:rsid w:val="000C394F"/>
    <w:rsid w:val="000C39E5"/>
    <w:rsid w:val="000C3F40"/>
    <w:rsid w:val="000C411C"/>
    <w:rsid w:val="000C4534"/>
    <w:rsid w:val="000C596E"/>
    <w:rsid w:val="000C5AB5"/>
    <w:rsid w:val="000C5E81"/>
    <w:rsid w:val="000C5ECF"/>
    <w:rsid w:val="000C6CC4"/>
    <w:rsid w:val="000C7BAA"/>
    <w:rsid w:val="000C7E57"/>
    <w:rsid w:val="000D08EB"/>
    <w:rsid w:val="000D1D43"/>
    <w:rsid w:val="000D1F25"/>
    <w:rsid w:val="000D225C"/>
    <w:rsid w:val="000D2DC4"/>
    <w:rsid w:val="000D33E8"/>
    <w:rsid w:val="000D3624"/>
    <w:rsid w:val="000D48D8"/>
    <w:rsid w:val="000D4DE5"/>
    <w:rsid w:val="000D51F5"/>
    <w:rsid w:val="000D6482"/>
    <w:rsid w:val="000D6BA9"/>
    <w:rsid w:val="000D71FB"/>
    <w:rsid w:val="000D72BC"/>
    <w:rsid w:val="000D743F"/>
    <w:rsid w:val="000D7E3C"/>
    <w:rsid w:val="000D7E90"/>
    <w:rsid w:val="000E0052"/>
    <w:rsid w:val="000E0315"/>
    <w:rsid w:val="000E0918"/>
    <w:rsid w:val="000E0E05"/>
    <w:rsid w:val="000E1B71"/>
    <w:rsid w:val="000E1BBD"/>
    <w:rsid w:val="000E1DEF"/>
    <w:rsid w:val="000E21BC"/>
    <w:rsid w:val="000E27EF"/>
    <w:rsid w:val="000E2E85"/>
    <w:rsid w:val="000E3131"/>
    <w:rsid w:val="000E3DA6"/>
    <w:rsid w:val="000E583C"/>
    <w:rsid w:val="000E6D03"/>
    <w:rsid w:val="000E724D"/>
    <w:rsid w:val="000E747C"/>
    <w:rsid w:val="000E77DD"/>
    <w:rsid w:val="000E7ED0"/>
    <w:rsid w:val="000F0118"/>
    <w:rsid w:val="000F025E"/>
    <w:rsid w:val="000F03E5"/>
    <w:rsid w:val="000F074D"/>
    <w:rsid w:val="000F0A57"/>
    <w:rsid w:val="000F0AA4"/>
    <w:rsid w:val="000F1321"/>
    <w:rsid w:val="000F13F5"/>
    <w:rsid w:val="000F24CD"/>
    <w:rsid w:val="000F2613"/>
    <w:rsid w:val="000F2757"/>
    <w:rsid w:val="000F2902"/>
    <w:rsid w:val="000F2904"/>
    <w:rsid w:val="000F2E08"/>
    <w:rsid w:val="000F3461"/>
    <w:rsid w:val="000F3662"/>
    <w:rsid w:val="000F42CD"/>
    <w:rsid w:val="000F4581"/>
    <w:rsid w:val="000F466B"/>
    <w:rsid w:val="000F55B1"/>
    <w:rsid w:val="000F702E"/>
    <w:rsid w:val="001005D5"/>
    <w:rsid w:val="00100BB7"/>
    <w:rsid w:val="00100DBC"/>
    <w:rsid w:val="001011C3"/>
    <w:rsid w:val="00101BB6"/>
    <w:rsid w:val="0010248A"/>
    <w:rsid w:val="001027F5"/>
    <w:rsid w:val="00103966"/>
    <w:rsid w:val="00104663"/>
    <w:rsid w:val="00105B28"/>
    <w:rsid w:val="00105B82"/>
    <w:rsid w:val="001067BA"/>
    <w:rsid w:val="001069BB"/>
    <w:rsid w:val="00106A01"/>
    <w:rsid w:val="00106D6D"/>
    <w:rsid w:val="00107915"/>
    <w:rsid w:val="00110D87"/>
    <w:rsid w:val="00110DEB"/>
    <w:rsid w:val="00110F99"/>
    <w:rsid w:val="00111CDB"/>
    <w:rsid w:val="00111D88"/>
    <w:rsid w:val="00112041"/>
    <w:rsid w:val="001123E0"/>
    <w:rsid w:val="00112B83"/>
    <w:rsid w:val="00112E06"/>
    <w:rsid w:val="00112E88"/>
    <w:rsid w:val="00114ADF"/>
    <w:rsid w:val="00114D3F"/>
    <w:rsid w:val="00114DB9"/>
    <w:rsid w:val="00114E77"/>
    <w:rsid w:val="00114F89"/>
    <w:rsid w:val="0011518C"/>
    <w:rsid w:val="00116087"/>
    <w:rsid w:val="00116F15"/>
    <w:rsid w:val="001178EE"/>
    <w:rsid w:val="00117F9F"/>
    <w:rsid w:val="001203AA"/>
    <w:rsid w:val="0012124A"/>
    <w:rsid w:val="001215E4"/>
    <w:rsid w:val="00121816"/>
    <w:rsid w:val="00121976"/>
    <w:rsid w:val="00121D99"/>
    <w:rsid w:val="00122B62"/>
    <w:rsid w:val="00123319"/>
    <w:rsid w:val="00123D72"/>
    <w:rsid w:val="001244A5"/>
    <w:rsid w:val="00124665"/>
    <w:rsid w:val="00124C9D"/>
    <w:rsid w:val="001250AF"/>
    <w:rsid w:val="001259F0"/>
    <w:rsid w:val="00125DB6"/>
    <w:rsid w:val="00125EB9"/>
    <w:rsid w:val="00125ECF"/>
    <w:rsid w:val="00126049"/>
    <w:rsid w:val="0012746E"/>
    <w:rsid w:val="0012798D"/>
    <w:rsid w:val="00130296"/>
    <w:rsid w:val="00130519"/>
    <w:rsid w:val="00130C99"/>
    <w:rsid w:val="001311B5"/>
    <w:rsid w:val="0013126B"/>
    <w:rsid w:val="001327F1"/>
    <w:rsid w:val="00132BDF"/>
    <w:rsid w:val="0013311A"/>
    <w:rsid w:val="001337CC"/>
    <w:rsid w:val="00133B51"/>
    <w:rsid w:val="001340A2"/>
    <w:rsid w:val="00134852"/>
    <w:rsid w:val="00134962"/>
    <w:rsid w:val="00134F39"/>
    <w:rsid w:val="00134F51"/>
    <w:rsid w:val="00136557"/>
    <w:rsid w:val="00137568"/>
    <w:rsid w:val="00137929"/>
    <w:rsid w:val="001411DC"/>
    <w:rsid w:val="001423B6"/>
    <w:rsid w:val="001423DA"/>
    <w:rsid w:val="0014293E"/>
    <w:rsid w:val="00142C02"/>
    <w:rsid w:val="00142FFB"/>
    <w:rsid w:val="0014307A"/>
    <w:rsid w:val="001448A7"/>
    <w:rsid w:val="00144E19"/>
    <w:rsid w:val="00144EC0"/>
    <w:rsid w:val="0014508D"/>
    <w:rsid w:val="001458F0"/>
    <w:rsid w:val="00145C03"/>
    <w:rsid w:val="0014601F"/>
    <w:rsid w:val="00146621"/>
    <w:rsid w:val="00146677"/>
    <w:rsid w:val="0014698C"/>
    <w:rsid w:val="001475FF"/>
    <w:rsid w:val="001479AC"/>
    <w:rsid w:val="0015004F"/>
    <w:rsid w:val="00150BC6"/>
    <w:rsid w:val="00150E0D"/>
    <w:rsid w:val="00150E45"/>
    <w:rsid w:val="00151172"/>
    <w:rsid w:val="00151FAD"/>
    <w:rsid w:val="00152011"/>
    <w:rsid w:val="001523FD"/>
    <w:rsid w:val="001531BB"/>
    <w:rsid w:val="00153768"/>
    <w:rsid w:val="00153917"/>
    <w:rsid w:val="00153AB1"/>
    <w:rsid w:val="00153ABA"/>
    <w:rsid w:val="0015435A"/>
    <w:rsid w:val="001557B1"/>
    <w:rsid w:val="00155A33"/>
    <w:rsid w:val="00155B87"/>
    <w:rsid w:val="00155E45"/>
    <w:rsid w:val="00156477"/>
    <w:rsid w:val="00157707"/>
    <w:rsid w:val="00160956"/>
    <w:rsid w:val="00162325"/>
    <w:rsid w:val="00162486"/>
    <w:rsid w:val="00162D31"/>
    <w:rsid w:val="00163E39"/>
    <w:rsid w:val="0016439D"/>
    <w:rsid w:val="0016451D"/>
    <w:rsid w:val="001645F9"/>
    <w:rsid w:val="00164874"/>
    <w:rsid w:val="00164A2E"/>
    <w:rsid w:val="00164D29"/>
    <w:rsid w:val="00165E66"/>
    <w:rsid w:val="00166FEA"/>
    <w:rsid w:val="001670DF"/>
    <w:rsid w:val="001673EF"/>
    <w:rsid w:val="0016745A"/>
    <w:rsid w:val="00167AC7"/>
    <w:rsid w:val="00167C56"/>
    <w:rsid w:val="00167FB7"/>
    <w:rsid w:val="001701A7"/>
    <w:rsid w:val="00170980"/>
    <w:rsid w:val="00170BD8"/>
    <w:rsid w:val="0017118E"/>
    <w:rsid w:val="00171293"/>
    <w:rsid w:val="00171A1E"/>
    <w:rsid w:val="00171DAD"/>
    <w:rsid w:val="00172888"/>
    <w:rsid w:val="00172A0C"/>
    <w:rsid w:val="00172E2E"/>
    <w:rsid w:val="00173022"/>
    <w:rsid w:val="00173452"/>
    <w:rsid w:val="00173D43"/>
    <w:rsid w:val="00173D48"/>
    <w:rsid w:val="00174773"/>
    <w:rsid w:val="001747DD"/>
    <w:rsid w:val="00174BCC"/>
    <w:rsid w:val="00174C8D"/>
    <w:rsid w:val="001757F2"/>
    <w:rsid w:val="00175A81"/>
    <w:rsid w:val="001762A6"/>
    <w:rsid w:val="00177F83"/>
    <w:rsid w:val="0018029F"/>
    <w:rsid w:val="00180F24"/>
    <w:rsid w:val="00180FC0"/>
    <w:rsid w:val="001816C8"/>
    <w:rsid w:val="001817F8"/>
    <w:rsid w:val="00182D1D"/>
    <w:rsid w:val="00183C21"/>
    <w:rsid w:val="001849C9"/>
    <w:rsid w:val="00185238"/>
    <w:rsid w:val="001852A3"/>
    <w:rsid w:val="001866DD"/>
    <w:rsid w:val="00186B0A"/>
    <w:rsid w:val="0018748E"/>
    <w:rsid w:val="00187851"/>
    <w:rsid w:val="00187A01"/>
    <w:rsid w:val="00187D5F"/>
    <w:rsid w:val="00187EC6"/>
    <w:rsid w:val="00187FC1"/>
    <w:rsid w:val="00190482"/>
    <w:rsid w:val="00191750"/>
    <w:rsid w:val="00191C12"/>
    <w:rsid w:val="00192197"/>
    <w:rsid w:val="00192200"/>
    <w:rsid w:val="0019293D"/>
    <w:rsid w:val="00192B58"/>
    <w:rsid w:val="001931B0"/>
    <w:rsid w:val="00193BDE"/>
    <w:rsid w:val="001940B0"/>
    <w:rsid w:val="001942CB"/>
    <w:rsid w:val="00194A77"/>
    <w:rsid w:val="001951DA"/>
    <w:rsid w:val="00195864"/>
    <w:rsid w:val="001971C5"/>
    <w:rsid w:val="001974CD"/>
    <w:rsid w:val="00197856"/>
    <w:rsid w:val="00197FC5"/>
    <w:rsid w:val="001A06C4"/>
    <w:rsid w:val="001A0DC9"/>
    <w:rsid w:val="001A0F43"/>
    <w:rsid w:val="001A160B"/>
    <w:rsid w:val="001A1B86"/>
    <w:rsid w:val="001A1D09"/>
    <w:rsid w:val="001A2895"/>
    <w:rsid w:val="001A317E"/>
    <w:rsid w:val="001A32DE"/>
    <w:rsid w:val="001A42E2"/>
    <w:rsid w:val="001A6A2E"/>
    <w:rsid w:val="001A784D"/>
    <w:rsid w:val="001A799D"/>
    <w:rsid w:val="001B066E"/>
    <w:rsid w:val="001B0EB6"/>
    <w:rsid w:val="001B1E1C"/>
    <w:rsid w:val="001B2015"/>
    <w:rsid w:val="001B24E0"/>
    <w:rsid w:val="001B286E"/>
    <w:rsid w:val="001B2EB6"/>
    <w:rsid w:val="001B3AB2"/>
    <w:rsid w:val="001B48F9"/>
    <w:rsid w:val="001B4B41"/>
    <w:rsid w:val="001B56B5"/>
    <w:rsid w:val="001B64A6"/>
    <w:rsid w:val="001B64F3"/>
    <w:rsid w:val="001B6AF7"/>
    <w:rsid w:val="001B7335"/>
    <w:rsid w:val="001B74A7"/>
    <w:rsid w:val="001B76F8"/>
    <w:rsid w:val="001B7DD7"/>
    <w:rsid w:val="001C015C"/>
    <w:rsid w:val="001C08FB"/>
    <w:rsid w:val="001C10C8"/>
    <w:rsid w:val="001C223E"/>
    <w:rsid w:val="001C2AD8"/>
    <w:rsid w:val="001C2E1C"/>
    <w:rsid w:val="001C3084"/>
    <w:rsid w:val="001C3269"/>
    <w:rsid w:val="001C3468"/>
    <w:rsid w:val="001C3882"/>
    <w:rsid w:val="001C42BE"/>
    <w:rsid w:val="001C5CA0"/>
    <w:rsid w:val="001C66B6"/>
    <w:rsid w:val="001C678B"/>
    <w:rsid w:val="001C6ED5"/>
    <w:rsid w:val="001C7397"/>
    <w:rsid w:val="001C7E20"/>
    <w:rsid w:val="001D0F04"/>
    <w:rsid w:val="001D1305"/>
    <w:rsid w:val="001D1586"/>
    <w:rsid w:val="001D183A"/>
    <w:rsid w:val="001D1B00"/>
    <w:rsid w:val="001D1DB4"/>
    <w:rsid w:val="001D310B"/>
    <w:rsid w:val="001D4C50"/>
    <w:rsid w:val="001D5205"/>
    <w:rsid w:val="001D5261"/>
    <w:rsid w:val="001D5433"/>
    <w:rsid w:val="001D5E3D"/>
    <w:rsid w:val="001D65E3"/>
    <w:rsid w:val="001D68AC"/>
    <w:rsid w:val="001D7A32"/>
    <w:rsid w:val="001D7C72"/>
    <w:rsid w:val="001E07B6"/>
    <w:rsid w:val="001E14AC"/>
    <w:rsid w:val="001E155C"/>
    <w:rsid w:val="001E1620"/>
    <w:rsid w:val="001E178B"/>
    <w:rsid w:val="001E384E"/>
    <w:rsid w:val="001E3E29"/>
    <w:rsid w:val="001E3F7F"/>
    <w:rsid w:val="001E4FEB"/>
    <w:rsid w:val="001E5D72"/>
    <w:rsid w:val="001E5FFA"/>
    <w:rsid w:val="001E6667"/>
    <w:rsid w:val="001E668B"/>
    <w:rsid w:val="001E6AC0"/>
    <w:rsid w:val="001E6BB9"/>
    <w:rsid w:val="001E6E75"/>
    <w:rsid w:val="001E7232"/>
    <w:rsid w:val="001E7909"/>
    <w:rsid w:val="001F0297"/>
    <w:rsid w:val="001F0562"/>
    <w:rsid w:val="001F0737"/>
    <w:rsid w:val="001F0E57"/>
    <w:rsid w:val="001F0E73"/>
    <w:rsid w:val="001F135A"/>
    <w:rsid w:val="001F1393"/>
    <w:rsid w:val="001F1BE1"/>
    <w:rsid w:val="001F1D7A"/>
    <w:rsid w:val="001F2962"/>
    <w:rsid w:val="001F2F57"/>
    <w:rsid w:val="001F33D0"/>
    <w:rsid w:val="001F347B"/>
    <w:rsid w:val="001F3BF9"/>
    <w:rsid w:val="001F3E25"/>
    <w:rsid w:val="001F44CC"/>
    <w:rsid w:val="001F5BB3"/>
    <w:rsid w:val="001F6AA4"/>
    <w:rsid w:val="001F6F95"/>
    <w:rsid w:val="001F6FFE"/>
    <w:rsid w:val="00200529"/>
    <w:rsid w:val="00200C33"/>
    <w:rsid w:val="00201E92"/>
    <w:rsid w:val="00202845"/>
    <w:rsid w:val="00204030"/>
    <w:rsid w:val="00204467"/>
    <w:rsid w:val="002053BC"/>
    <w:rsid w:val="00205BC2"/>
    <w:rsid w:val="00206741"/>
    <w:rsid w:val="002068A4"/>
    <w:rsid w:val="00207ED8"/>
    <w:rsid w:val="00207F04"/>
    <w:rsid w:val="0021004E"/>
    <w:rsid w:val="002105E1"/>
    <w:rsid w:val="00210632"/>
    <w:rsid w:val="002112C0"/>
    <w:rsid w:val="00211B1D"/>
    <w:rsid w:val="002121A3"/>
    <w:rsid w:val="002124DB"/>
    <w:rsid w:val="002130E1"/>
    <w:rsid w:val="00213F4E"/>
    <w:rsid w:val="002140F5"/>
    <w:rsid w:val="0021419A"/>
    <w:rsid w:val="00214459"/>
    <w:rsid w:val="00214581"/>
    <w:rsid w:val="00216024"/>
    <w:rsid w:val="00216388"/>
    <w:rsid w:val="00216397"/>
    <w:rsid w:val="002164D1"/>
    <w:rsid w:val="00220010"/>
    <w:rsid w:val="00220759"/>
    <w:rsid w:val="002213DC"/>
    <w:rsid w:val="002216DD"/>
    <w:rsid w:val="00221E29"/>
    <w:rsid w:val="002226FE"/>
    <w:rsid w:val="00222797"/>
    <w:rsid w:val="002227FB"/>
    <w:rsid w:val="00223D5A"/>
    <w:rsid w:val="00224302"/>
    <w:rsid w:val="002248CD"/>
    <w:rsid w:val="00224BF7"/>
    <w:rsid w:val="00224FBD"/>
    <w:rsid w:val="002251B0"/>
    <w:rsid w:val="0022695C"/>
    <w:rsid w:val="00226D7A"/>
    <w:rsid w:val="00227A92"/>
    <w:rsid w:val="00227AA4"/>
    <w:rsid w:val="00227B18"/>
    <w:rsid w:val="00230A60"/>
    <w:rsid w:val="00231301"/>
    <w:rsid w:val="002317C9"/>
    <w:rsid w:val="0023186B"/>
    <w:rsid w:val="00231AF4"/>
    <w:rsid w:val="00232255"/>
    <w:rsid w:val="00232420"/>
    <w:rsid w:val="00232B7B"/>
    <w:rsid w:val="00233209"/>
    <w:rsid w:val="00233883"/>
    <w:rsid w:val="00233BC3"/>
    <w:rsid w:val="0023471C"/>
    <w:rsid w:val="00236316"/>
    <w:rsid w:val="00236553"/>
    <w:rsid w:val="00236586"/>
    <w:rsid w:val="00236D7C"/>
    <w:rsid w:val="00236E6D"/>
    <w:rsid w:val="00237257"/>
    <w:rsid w:val="0023792A"/>
    <w:rsid w:val="00237D17"/>
    <w:rsid w:val="00237ED9"/>
    <w:rsid w:val="00240E32"/>
    <w:rsid w:val="00240F98"/>
    <w:rsid w:val="00241A1A"/>
    <w:rsid w:val="00241D11"/>
    <w:rsid w:val="00241ECD"/>
    <w:rsid w:val="0024359D"/>
    <w:rsid w:val="002449D7"/>
    <w:rsid w:val="00244E38"/>
    <w:rsid w:val="0024604E"/>
    <w:rsid w:val="00246328"/>
    <w:rsid w:val="00246B4B"/>
    <w:rsid w:val="002476AC"/>
    <w:rsid w:val="002477A4"/>
    <w:rsid w:val="00247C30"/>
    <w:rsid w:val="00247D62"/>
    <w:rsid w:val="00247DC5"/>
    <w:rsid w:val="00250299"/>
    <w:rsid w:val="002514D2"/>
    <w:rsid w:val="002518BC"/>
    <w:rsid w:val="0025215D"/>
    <w:rsid w:val="0025250A"/>
    <w:rsid w:val="00252628"/>
    <w:rsid w:val="00252B05"/>
    <w:rsid w:val="00252D23"/>
    <w:rsid w:val="00252E18"/>
    <w:rsid w:val="0025316F"/>
    <w:rsid w:val="00253506"/>
    <w:rsid w:val="0025362D"/>
    <w:rsid w:val="00253E18"/>
    <w:rsid w:val="00255670"/>
    <w:rsid w:val="002574F9"/>
    <w:rsid w:val="00260240"/>
    <w:rsid w:val="002605F4"/>
    <w:rsid w:val="00262306"/>
    <w:rsid w:val="00262E47"/>
    <w:rsid w:val="0026306F"/>
    <w:rsid w:val="0026325D"/>
    <w:rsid w:val="00263742"/>
    <w:rsid w:val="0026456F"/>
    <w:rsid w:val="002656CC"/>
    <w:rsid w:val="00265D79"/>
    <w:rsid w:val="00266A16"/>
    <w:rsid w:val="00266F19"/>
    <w:rsid w:val="00266F8B"/>
    <w:rsid w:val="002676BE"/>
    <w:rsid w:val="0027088D"/>
    <w:rsid w:val="00271DB2"/>
    <w:rsid w:val="00272AE5"/>
    <w:rsid w:val="00272C4F"/>
    <w:rsid w:val="00273168"/>
    <w:rsid w:val="00273293"/>
    <w:rsid w:val="0027339B"/>
    <w:rsid w:val="002734DE"/>
    <w:rsid w:val="00273F7D"/>
    <w:rsid w:val="00274289"/>
    <w:rsid w:val="00274B9B"/>
    <w:rsid w:val="00275D41"/>
    <w:rsid w:val="0027623D"/>
    <w:rsid w:val="00276811"/>
    <w:rsid w:val="002768C6"/>
    <w:rsid w:val="0027692E"/>
    <w:rsid w:val="00276993"/>
    <w:rsid w:val="00277047"/>
    <w:rsid w:val="0027719C"/>
    <w:rsid w:val="00277ADD"/>
    <w:rsid w:val="00281073"/>
    <w:rsid w:val="002810A2"/>
    <w:rsid w:val="00281218"/>
    <w:rsid w:val="00281BC2"/>
    <w:rsid w:val="00282312"/>
    <w:rsid w:val="00282326"/>
    <w:rsid w:val="00282699"/>
    <w:rsid w:val="002826F4"/>
    <w:rsid w:val="00282DCD"/>
    <w:rsid w:val="00283A8A"/>
    <w:rsid w:val="00283CC9"/>
    <w:rsid w:val="00283D06"/>
    <w:rsid w:val="00283E75"/>
    <w:rsid w:val="002848A6"/>
    <w:rsid w:val="00284A6F"/>
    <w:rsid w:val="00286003"/>
    <w:rsid w:val="00287290"/>
    <w:rsid w:val="00287F1F"/>
    <w:rsid w:val="00290346"/>
    <w:rsid w:val="002914A7"/>
    <w:rsid w:val="002914E4"/>
    <w:rsid w:val="00291EB1"/>
    <w:rsid w:val="0029253E"/>
    <w:rsid w:val="002926DF"/>
    <w:rsid w:val="00293563"/>
    <w:rsid w:val="00293A75"/>
    <w:rsid w:val="002946A4"/>
    <w:rsid w:val="0029470F"/>
    <w:rsid w:val="002948A7"/>
    <w:rsid w:val="00295492"/>
    <w:rsid w:val="00295A58"/>
    <w:rsid w:val="00295A68"/>
    <w:rsid w:val="00295B9B"/>
    <w:rsid w:val="00296697"/>
    <w:rsid w:val="00297190"/>
    <w:rsid w:val="002A08DD"/>
    <w:rsid w:val="002A0DD4"/>
    <w:rsid w:val="002A11F5"/>
    <w:rsid w:val="002A16E3"/>
    <w:rsid w:val="002A1920"/>
    <w:rsid w:val="002A3136"/>
    <w:rsid w:val="002A39B1"/>
    <w:rsid w:val="002A3C8F"/>
    <w:rsid w:val="002A486C"/>
    <w:rsid w:val="002A5E7C"/>
    <w:rsid w:val="002A6437"/>
    <w:rsid w:val="002A71A0"/>
    <w:rsid w:val="002A7546"/>
    <w:rsid w:val="002B02E1"/>
    <w:rsid w:val="002B0472"/>
    <w:rsid w:val="002B0FF3"/>
    <w:rsid w:val="002B104E"/>
    <w:rsid w:val="002B1A65"/>
    <w:rsid w:val="002B1FAC"/>
    <w:rsid w:val="002B3566"/>
    <w:rsid w:val="002B393D"/>
    <w:rsid w:val="002B3BC7"/>
    <w:rsid w:val="002B3EC3"/>
    <w:rsid w:val="002B5972"/>
    <w:rsid w:val="002B5DD2"/>
    <w:rsid w:val="002B6259"/>
    <w:rsid w:val="002B6B12"/>
    <w:rsid w:val="002B756E"/>
    <w:rsid w:val="002B7D00"/>
    <w:rsid w:val="002B7DA0"/>
    <w:rsid w:val="002C01DB"/>
    <w:rsid w:val="002C1672"/>
    <w:rsid w:val="002C1C3D"/>
    <w:rsid w:val="002C22D7"/>
    <w:rsid w:val="002C2337"/>
    <w:rsid w:val="002C2FBF"/>
    <w:rsid w:val="002C39DC"/>
    <w:rsid w:val="002C3BAF"/>
    <w:rsid w:val="002C3C87"/>
    <w:rsid w:val="002C420B"/>
    <w:rsid w:val="002C4311"/>
    <w:rsid w:val="002C4A43"/>
    <w:rsid w:val="002C4FF0"/>
    <w:rsid w:val="002C573D"/>
    <w:rsid w:val="002C6501"/>
    <w:rsid w:val="002C67FF"/>
    <w:rsid w:val="002C6D90"/>
    <w:rsid w:val="002C7B39"/>
    <w:rsid w:val="002D0554"/>
    <w:rsid w:val="002D0779"/>
    <w:rsid w:val="002D0C1B"/>
    <w:rsid w:val="002D10A9"/>
    <w:rsid w:val="002D15D1"/>
    <w:rsid w:val="002D19E0"/>
    <w:rsid w:val="002D20A4"/>
    <w:rsid w:val="002D22C9"/>
    <w:rsid w:val="002D2459"/>
    <w:rsid w:val="002D2D76"/>
    <w:rsid w:val="002D3F81"/>
    <w:rsid w:val="002D402F"/>
    <w:rsid w:val="002D415A"/>
    <w:rsid w:val="002D4278"/>
    <w:rsid w:val="002D431B"/>
    <w:rsid w:val="002D436D"/>
    <w:rsid w:val="002D492A"/>
    <w:rsid w:val="002D4BB9"/>
    <w:rsid w:val="002D4DEC"/>
    <w:rsid w:val="002D5310"/>
    <w:rsid w:val="002D5776"/>
    <w:rsid w:val="002D58BA"/>
    <w:rsid w:val="002D5A7F"/>
    <w:rsid w:val="002D5C1C"/>
    <w:rsid w:val="002D5D3A"/>
    <w:rsid w:val="002D6119"/>
    <w:rsid w:val="002D6776"/>
    <w:rsid w:val="002D6F2E"/>
    <w:rsid w:val="002D7C90"/>
    <w:rsid w:val="002D7C97"/>
    <w:rsid w:val="002D7CA2"/>
    <w:rsid w:val="002E171D"/>
    <w:rsid w:val="002E198E"/>
    <w:rsid w:val="002E1D54"/>
    <w:rsid w:val="002E2458"/>
    <w:rsid w:val="002E3019"/>
    <w:rsid w:val="002E5495"/>
    <w:rsid w:val="002E6068"/>
    <w:rsid w:val="002E6140"/>
    <w:rsid w:val="002E6985"/>
    <w:rsid w:val="002E6D45"/>
    <w:rsid w:val="002E71B6"/>
    <w:rsid w:val="002E77FB"/>
    <w:rsid w:val="002E7990"/>
    <w:rsid w:val="002E7BA1"/>
    <w:rsid w:val="002F109A"/>
    <w:rsid w:val="002F10D7"/>
    <w:rsid w:val="002F14FA"/>
    <w:rsid w:val="002F2294"/>
    <w:rsid w:val="002F2B58"/>
    <w:rsid w:val="002F2C2E"/>
    <w:rsid w:val="002F2CD6"/>
    <w:rsid w:val="002F43D2"/>
    <w:rsid w:val="002F4D66"/>
    <w:rsid w:val="002F4E60"/>
    <w:rsid w:val="002F4F01"/>
    <w:rsid w:val="002F6610"/>
    <w:rsid w:val="002F66A7"/>
    <w:rsid w:val="002F685E"/>
    <w:rsid w:val="002F77C8"/>
    <w:rsid w:val="00300010"/>
    <w:rsid w:val="00300CE5"/>
    <w:rsid w:val="00300CF4"/>
    <w:rsid w:val="00301633"/>
    <w:rsid w:val="0030263A"/>
    <w:rsid w:val="00302EAE"/>
    <w:rsid w:val="00303D35"/>
    <w:rsid w:val="00303E34"/>
    <w:rsid w:val="003041CB"/>
    <w:rsid w:val="00304F22"/>
    <w:rsid w:val="003055C3"/>
    <w:rsid w:val="00305BCC"/>
    <w:rsid w:val="00305CAD"/>
    <w:rsid w:val="0030652F"/>
    <w:rsid w:val="003065C9"/>
    <w:rsid w:val="00306C7C"/>
    <w:rsid w:val="00307AF7"/>
    <w:rsid w:val="00310936"/>
    <w:rsid w:val="00310C8E"/>
    <w:rsid w:val="00311059"/>
    <w:rsid w:val="003113E1"/>
    <w:rsid w:val="00311CE9"/>
    <w:rsid w:val="0031303D"/>
    <w:rsid w:val="00313722"/>
    <w:rsid w:val="00313ACB"/>
    <w:rsid w:val="00313AD5"/>
    <w:rsid w:val="00313EE9"/>
    <w:rsid w:val="00314148"/>
    <w:rsid w:val="00315067"/>
    <w:rsid w:val="00315142"/>
    <w:rsid w:val="003151BF"/>
    <w:rsid w:val="003156B1"/>
    <w:rsid w:val="00316270"/>
    <w:rsid w:val="003165A3"/>
    <w:rsid w:val="003166A4"/>
    <w:rsid w:val="00316B47"/>
    <w:rsid w:val="00317707"/>
    <w:rsid w:val="0032058B"/>
    <w:rsid w:val="00321488"/>
    <w:rsid w:val="00321A79"/>
    <w:rsid w:val="0032208A"/>
    <w:rsid w:val="003222AC"/>
    <w:rsid w:val="00322D35"/>
    <w:rsid w:val="00322EDD"/>
    <w:rsid w:val="00323111"/>
    <w:rsid w:val="0032388D"/>
    <w:rsid w:val="003238AD"/>
    <w:rsid w:val="003239A4"/>
    <w:rsid w:val="00323EF1"/>
    <w:rsid w:val="00326351"/>
    <w:rsid w:val="003269C6"/>
    <w:rsid w:val="00326DCC"/>
    <w:rsid w:val="0033055D"/>
    <w:rsid w:val="00330949"/>
    <w:rsid w:val="003313BA"/>
    <w:rsid w:val="00332320"/>
    <w:rsid w:val="00332BB4"/>
    <w:rsid w:val="00333612"/>
    <w:rsid w:val="003337DC"/>
    <w:rsid w:val="00333992"/>
    <w:rsid w:val="00334BE9"/>
    <w:rsid w:val="00335366"/>
    <w:rsid w:val="00335E02"/>
    <w:rsid w:val="00336804"/>
    <w:rsid w:val="00336DB9"/>
    <w:rsid w:val="00337091"/>
    <w:rsid w:val="0034052C"/>
    <w:rsid w:val="003407E4"/>
    <w:rsid w:val="00341996"/>
    <w:rsid w:val="003419F3"/>
    <w:rsid w:val="00341F92"/>
    <w:rsid w:val="003430C5"/>
    <w:rsid w:val="00343720"/>
    <w:rsid w:val="00344A32"/>
    <w:rsid w:val="00344BDD"/>
    <w:rsid w:val="00344DCE"/>
    <w:rsid w:val="0034561C"/>
    <w:rsid w:val="00345A28"/>
    <w:rsid w:val="0034619C"/>
    <w:rsid w:val="00346794"/>
    <w:rsid w:val="00346D76"/>
    <w:rsid w:val="0034734A"/>
    <w:rsid w:val="00347A0E"/>
    <w:rsid w:val="00347D72"/>
    <w:rsid w:val="003500C3"/>
    <w:rsid w:val="003501BC"/>
    <w:rsid w:val="00350520"/>
    <w:rsid w:val="00350561"/>
    <w:rsid w:val="00351097"/>
    <w:rsid w:val="0035206A"/>
    <w:rsid w:val="003525E7"/>
    <w:rsid w:val="00352DFD"/>
    <w:rsid w:val="00352E29"/>
    <w:rsid w:val="003538AF"/>
    <w:rsid w:val="00353A7C"/>
    <w:rsid w:val="00354A53"/>
    <w:rsid w:val="00354FA6"/>
    <w:rsid w:val="00355631"/>
    <w:rsid w:val="0035647F"/>
    <w:rsid w:val="00356B8E"/>
    <w:rsid w:val="00357F62"/>
    <w:rsid w:val="003600E3"/>
    <w:rsid w:val="0036049A"/>
    <w:rsid w:val="003608EC"/>
    <w:rsid w:val="0036165F"/>
    <w:rsid w:val="00361BEA"/>
    <w:rsid w:val="00362A7C"/>
    <w:rsid w:val="0036304B"/>
    <w:rsid w:val="00363E95"/>
    <w:rsid w:val="0036425F"/>
    <w:rsid w:val="00364AD4"/>
    <w:rsid w:val="0036581A"/>
    <w:rsid w:val="00365A7C"/>
    <w:rsid w:val="00365F62"/>
    <w:rsid w:val="0036698B"/>
    <w:rsid w:val="00367237"/>
    <w:rsid w:val="0036763D"/>
    <w:rsid w:val="00367C61"/>
    <w:rsid w:val="003703DC"/>
    <w:rsid w:val="0037077F"/>
    <w:rsid w:val="00371234"/>
    <w:rsid w:val="0037141A"/>
    <w:rsid w:val="00371D1D"/>
    <w:rsid w:val="003733E7"/>
    <w:rsid w:val="00373882"/>
    <w:rsid w:val="003740C7"/>
    <w:rsid w:val="00374A15"/>
    <w:rsid w:val="00374CAC"/>
    <w:rsid w:val="00374EC8"/>
    <w:rsid w:val="00375024"/>
    <w:rsid w:val="00375B4D"/>
    <w:rsid w:val="00376703"/>
    <w:rsid w:val="00377EC9"/>
    <w:rsid w:val="0038178F"/>
    <w:rsid w:val="003823E5"/>
    <w:rsid w:val="00382578"/>
    <w:rsid w:val="0038337F"/>
    <w:rsid w:val="00383821"/>
    <w:rsid w:val="003848F9"/>
    <w:rsid w:val="00384A68"/>
    <w:rsid w:val="003855E8"/>
    <w:rsid w:val="003858DA"/>
    <w:rsid w:val="003860FF"/>
    <w:rsid w:val="003863E8"/>
    <w:rsid w:val="0038684E"/>
    <w:rsid w:val="0038792C"/>
    <w:rsid w:val="00390010"/>
    <w:rsid w:val="003904F8"/>
    <w:rsid w:val="00391145"/>
    <w:rsid w:val="00391BE8"/>
    <w:rsid w:val="00391E93"/>
    <w:rsid w:val="00392074"/>
    <w:rsid w:val="0039281E"/>
    <w:rsid w:val="003929A3"/>
    <w:rsid w:val="003937DB"/>
    <w:rsid w:val="00393C8C"/>
    <w:rsid w:val="00393CB1"/>
    <w:rsid w:val="003945BD"/>
    <w:rsid w:val="00395702"/>
    <w:rsid w:val="00395DB5"/>
    <w:rsid w:val="00395E8E"/>
    <w:rsid w:val="003967C2"/>
    <w:rsid w:val="003968EC"/>
    <w:rsid w:val="003972AF"/>
    <w:rsid w:val="0039759D"/>
    <w:rsid w:val="00397D18"/>
    <w:rsid w:val="003A04BC"/>
    <w:rsid w:val="003A0847"/>
    <w:rsid w:val="003A0ABA"/>
    <w:rsid w:val="003A0E92"/>
    <w:rsid w:val="003A15A8"/>
    <w:rsid w:val="003A1B36"/>
    <w:rsid w:val="003A1E6D"/>
    <w:rsid w:val="003A1EF7"/>
    <w:rsid w:val="003A2052"/>
    <w:rsid w:val="003A271E"/>
    <w:rsid w:val="003A2905"/>
    <w:rsid w:val="003A2A75"/>
    <w:rsid w:val="003A2DFB"/>
    <w:rsid w:val="003A311C"/>
    <w:rsid w:val="003A3943"/>
    <w:rsid w:val="003A3FED"/>
    <w:rsid w:val="003A403C"/>
    <w:rsid w:val="003A42AD"/>
    <w:rsid w:val="003A48C2"/>
    <w:rsid w:val="003A5036"/>
    <w:rsid w:val="003A66BC"/>
    <w:rsid w:val="003A67CE"/>
    <w:rsid w:val="003A7FB6"/>
    <w:rsid w:val="003B1297"/>
    <w:rsid w:val="003B16F5"/>
    <w:rsid w:val="003B1FED"/>
    <w:rsid w:val="003B2183"/>
    <w:rsid w:val="003B22FE"/>
    <w:rsid w:val="003B2B69"/>
    <w:rsid w:val="003B2C96"/>
    <w:rsid w:val="003B2FE4"/>
    <w:rsid w:val="003B30FD"/>
    <w:rsid w:val="003B4893"/>
    <w:rsid w:val="003B504F"/>
    <w:rsid w:val="003B580C"/>
    <w:rsid w:val="003B5B72"/>
    <w:rsid w:val="003B5ECD"/>
    <w:rsid w:val="003B5EE4"/>
    <w:rsid w:val="003B61E1"/>
    <w:rsid w:val="003B635A"/>
    <w:rsid w:val="003B64D0"/>
    <w:rsid w:val="003B6740"/>
    <w:rsid w:val="003B6C59"/>
    <w:rsid w:val="003B6E59"/>
    <w:rsid w:val="003B6FDC"/>
    <w:rsid w:val="003B6FFA"/>
    <w:rsid w:val="003C0845"/>
    <w:rsid w:val="003C0978"/>
    <w:rsid w:val="003C09C0"/>
    <w:rsid w:val="003C0BF7"/>
    <w:rsid w:val="003C15A2"/>
    <w:rsid w:val="003C196E"/>
    <w:rsid w:val="003C1DDE"/>
    <w:rsid w:val="003C2AFF"/>
    <w:rsid w:val="003C3C1A"/>
    <w:rsid w:val="003C4226"/>
    <w:rsid w:val="003C4464"/>
    <w:rsid w:val="003C4528"/>
    <w:rsid w:val="003C555C"/>
    <w:rsid w:val="003C5758"/>
    <w:rsid w:val="003C59E0"/>
    <w:rsid w:val="003C6AEF"/>
    <w:rsid w:val="003C6C8D"/>
    <w:rsid w:val="003C7247"/>
    <w:rsid w:val="003C7E26"/>
    <w:rsid w:val="003D05D4"/>
    <w:rsid w:val="003D0DE7"/>
    <w:rsid w:val="003D11E6"/>
    <w:rsid w:val="003D1B0C"/>
    <w:rsid w:val="003D1FCC"/>
    <w:rsid w:val="003D27E4"/>
    <w:rsid w:val="003D2D75"/>
    <w:rsid w:val="003D2F16"/>
    <w:rsid w:val="003D3201"/>
    <w:rsid w:val="003D3E83"/>
    <w:rsid w:val="003D4BAB"/>
    <w:rsid w:val="003D4F95"/>
    <w:rsid w:val="003D509B"/>
    <w:rsid w:val="003D5EA6"/>
    <w:rsid w:val="003D5F42"/>
    <w:rsid w:val="003D60A9"/>
    <w:rsid w:val="003D6869"/>
    <w:rsid w:val="003D7387"/>
    <w:rsid w:val="003E10D7"/>
    <w:rsid w:val="003E1635"/>
    <w:rsid w:val="003E170B"/>
    <w:rsid w:val="003E1C87"/>
    <w:rsid w:val="003E1EC1"/>
    <w:rsid w:val="003E1FC9"/>
    <w:rsid w:val="003E21F4"/>
    <w:rsid w:val="003E26D7"/>
    <w:rsid w:val="003E30AE"/>
    <w:rsid w:val="003E402D"/>
    <w:rsid w:val="003E4C00"/>
    <w:rsid w:val="003E4F1E"/>
    <w:rsid w:val="003E52D3"/>
    <w:rsid w:val="003E764F"/>
    <w:rsid w:val="003E769F"/>
    <w:rsid w:val="003E781B"/>
    <w:rsid w:val="003E7CA1"/>
    <w:rsid w:val="003E7FF7"/>
    <w:rsid w:val="003F102C"/>
    <w:rsid w:val="003F1DDF"/>
    <w:rsid w:val="003F1ED6"/>
    <w:rsid w:val="003F218D"/>
    <w:rsid w:val="003F2B54"/>
    <w:rsid w:val="003F3065"/>
    <w:rsid w:val="003F33F6"/>
    <w:rsid w:val="003F3851"/>
    <w:rsid w:val="003F4C97"/>
    <w:rsid w:val="003F4DC8"/>
    <w:rsid w:val="003F526D"/>
    <w:rsid w:val="003F529F"/>
    <w:rsid w:val="003F56E4"/>
    <w:rsid w:val="003F5AB3"/>
    <w:rsid w:val="003F7FE6"/>
    <w:rsid w:val="004002B7"/>
    <w:rsid w:val="00402519"/>
    <w:rsid w:val="0040262C"/>
    <w:rsid w:val="00402B19"/>
    <w:rsid w:val="00402B65"/>
    <w:rsid w:val="00403AD3"/>
    <w:rsid w:val="00403C6B"/>
    <w:rsid w:val="004040CC"/>
    <w:rsid w:val="0040435C"/>
    <w:rsid w:val="00404D25"/>
    <w:rsid w:val="00405699"/>
    <w:rsid w:val="004056FA"/>
    <w:rsid w:val="004062CD"/>
    <w:rsid w:val="00407254"/>
    <w:rsid w:val="00407A31"/>
    <w:rsid w:val="00410B80"/>
    <w:rsid w:val="00410C2D"/>
    <w:rsid w:val="00411187"/>
    <w:rsid w:val="00411768"/>
    <w:rsid w:val="004118D1"/>
    <w:rsid w:val="00411D3B"/>
    <w:rsid w:val="0041238A"/>
    <w:rsid w:val="00412B41"/>
    <w:rsid w:val="00412C57"/>
    <w:rsid w:val="0041373E"/>
    <w:rsid w:val="0041394C"/>
    <w:rsid w:val="00413AE4"/>
    <w:rsid w:val="0041406E"/>
    <w:rsid w:val="004148A9"/>
    <w:rsid w:val="00415036"/>
    <w:rsid w:val="00415097"/>
    <w:rsid w:val="004157DD"/>
    <w:rsid w:val="004159FA"/>
    <w:rsid w:val="00415B06"/>
    <w:rsid w:val="00415C94"/>
    <w:rsid w:val="0041633D"/>
    <w:rsid w:val="004200B1"/>
    <w:rsid w:val="004204A2"/>
    <w:rsid w:val="00420588"/>
    <w:rsid w:val="00420628"/>
    <w:rsid w:val="004208D3"/>
    <w:rsid w:val="00421563"/>
    <w:rsid w:val="004221E0"/>
    <w:rsid w:val="0042262E"/>
    <w:rsid w:val="0042323E"/>
    <w:rsid w:val="004232C1"/>
    <w:rsid w:val="004238D0"/>
    <w:rsid w:val="00423D86"/>
    <w:rsid w:val="0042406F"/>
    <w:rsid w:val="0042446D"/>
    <w:rsid w:val="00425512"/>
    <w:rsid w:val="00425F6A"/>
    <w:rsid w:val="00426F8A"/>
    <w:rsid w:val="00427BF8"/>
    <w:rsid w:val="0043075E"/>
    <w:rsid w:val="0043126D"/>
    <w:rsid w:val="00431C02"/>
    <w:rsid w:val="004329F8"/>
    <w:rsid w:val="00432D54"/>
    <w:rsid w:val="00432D84"/>
    <w:rsid w:val="00432E3F"/>
    <w:rsid w:val="00432EB0"/>
    <w:rsid w:val="004335CF"/>
    <w:rsid w:val="00433953"/>
    <w:rsid w:val="00433A69"/>
    <w:rsid w:val="0043416E"/>
    <w:rsid w:val="004366B1"/>
    <w:rsid w:val="00436AC9"/>
    <w:rsid w:val="00436F11"/>
    <w:rsid w:val="00437395"/>
    <w:rsid w:val="00437734"/>
    <w:rsid w:val="00437930"/>
    <w:rsid w:val="0044037C"/>
    <w:rsid w:val="00441377"/>
    <w:rsid w:val="00441D8A"/>
    <w:rsid w:val="004422FD"/>
    <w:rsid w:val="004429EF"/>
    <w:rsid w:val="00444529"/>
    <w:rsid w:val="004449D9"/>
    <w:rsid w:val="00444B87"/>
    <w:rsid w:val="00445047"/>
    <w:rsid w:val="004450E7"/>
    <w:rsid w:val="00445683"/>
    <w:rsid w:val="00445A7C"/>
    <w:rsid w:val="0044644A"/>
    <w:rsid w:val="004473D0"/>
    <w:rsid w:val="00447798"/>
    <w:rsid w:val="00447C2F"/>
    <w:rsid w:val="0045149D"/>
    <w:rsid w:val="004523B3"/>
    <w:rsid w:val="0045269C"/>
    <w:rsid w:val="00452A39"/>
    <w:rsid w:val="00452BBB"/>
    <w:rsid w:val="00453495"/>
    <w:rsid w:val="00453F1A"/>
    <w:rsid w:val="004541A0"/>
    <w:rsid w:val="00454346"/>
    <w:rsid w:val="004545FA"/>
    <w:rsid w:val="00454651"/>
    <w:rsid w:val="004546ED"/>
    <w:rsid w:val="00454828"/>
    <w:rsid w:val="00454A5C"/>
    <w:rsid w:val="0045517D"/>
    <w:rsid w:val="004553E8"/>
    <w:rsid w:val="00456CF9"/>
    <w:rsid w:val="00457611"/>
    <w:rsid w:val="00460C64"/>
    <w:rsid w:val="0046145E"/>
    <w:rsid w:val="004619FE"/>
    <w:rsid w:val="00461CA9"/>
    <w:rsid w:val="0046200B"/>
    <w:rsid w:val="00462235"/>
    <w:rsid w:val="00462D22"/>
    <w:rsid w:val="00463E39"/>
    <w:rsid w:val="004645BB"/>
    <w:rsid w:val="00464F48"/>
    <w:rsid w:val="004657FC"/>
    <w:rsid w:val="00465891"/>
    <w:rsid w:val="00465DD4"/>
    <w:rsid w:val="004662CE"/>
    <w:rsid w:val="00466534"/>
    <w:rsid w:val="00466861"/>
    <w:rsid w:val="00466DFD"/>
    <w:rsid w:val="00466E49"/>
    <w:rsid w:val="00470014"/>
    <w:rsid w:val="00470A70"/>
    <w:rsid w:val="00470EB4"/>
    <w:rsid w:val="00471129"/>
    <w:rsid w:val="004714CB"/>
    <w:rsid w:val="004716D6"/>
    <w:rsid w:val="00471B7A"/>
    <w:rsid w:val="00472ED6"/>
    <w:rsid w:val="00472FA7"/>
    <w:rsid w:val="0047318B"/>
    <w:rsid w:val="004733F6"/>
    <w:rsid w:val="00473463"/>
    <w:rsid w:val="0047435B"/>
    <w:rsid w:val="00474408"/>
    <w:rsid w:val="00474464"/>
    <w:rsid w:val="0047464C"/>
    <w:rsid w:val="00474B44"/>
    <w:rsid w:val="00474E69"/>
    <w:rsid w:val="00476DCA"/>
    <w:rsid w:val="00477086"/>
    <w:rsid w:val="004777DF"/>
    <w:rsid w:val="0047798B"/>
    <w:rsid w:val="00477B47"/>
    <w:rsid w:val="00477B49"/>
    <w:rsid w:val="00480564"/>
    <w:rsid w:val="00480CE7"/>
    <w:rsid w:val="00481A87"/>
    <w:rsid w:val="004823C7"/>
    <w:rsid w:val="00482BBE"/>
    <w:rsid w:val="00482E9C"/>
    <w:rsid w:val="00482FAD"/>
    <w:rsid w:val="00483989"/>
    <w:rsid w:val="0048414B"/>
    <w:rsid w:val="004845AA"/>
    <w:rsid w:val="0048473C"/>
    <w:rsid w:val="00484F8D"/>
    <w:rsid w:val="004853D3"/>
    <w:rsid w:val="00485BEF"/>
    <w:rsid w:val="00485D23"/>
    <w:rsid w:val="00485DC2"/>
    <w:rsid w:val="00486B5A"/>
    <w:rsid w:val="00486DE1"/>
    <w:rsid w:val="00487216"/>
    <w:rsid w:val="00490D8D"/>
    <w:rsid w:val="00491909"/>
    <w:rsid w:val="00491EA1"/>
    <w:rsid w:val="004920A4"/>
    <w:rsid w:val="004930E9"/>
    <w:rsid w:val="00493E8A"/>
    <w:rsid w:val="004944F1"/>
    <w:rsid w:val="0049479A"/>
    <w:rsid w:val="004951F0"/>
    <w:rsid w:val="00495F83"/>
    <w:rsid w:val="0049618D"/>
    <w:rsid w:val="0049621B"/>
    <w:rsid w:val="00496A48"/>
    <w:rsid w:val="0049731C"/>
    <w:rsid w:val="00497BEC"/>
    <w:rsid w:val="00497E35"/>
    <w:rsid w:val="004A0ED6"/>
    <w:rsid w:val="004A1063"/>
    <w:rsid w:val="004A4B91"/>
    <w:rsid w:val="004A4B9C"/>
    <w:rsid w:val="004A4DF7"/>
    <w:rsid w:val="004A50BE"/>
    <w:rsid w:val="004A569A"/>
    <w:rsid w:val="004A592F"/>
    <w:rsid w:val="004A5C2D"/>
    <w:rsid w:val="004A6C60"/>
    <w:rsid w:val="004A6CA1"/>
    <w:rsid w:val="004A6CC2"/>
    <w:rsid w:val="004A6FAE"/>
    <w:rsid w:val="004B059E"/>
    <w:rsid w:val="004B05D0"/>
    <w:rsid w:val="004B0752"/>
    <w:rsid w:val="004B0F66"/>
    <w:rsid w:val="004B1FEA"/>
    <w:rsid w:val="004B21A7"/>
    <w:rsid w:val="004B2534"/>
    <w:rsid w:val="004B2B93"/>
    <w:rsid w:val="004B35E0"/>
    <w:rsid w:val="004B3A8A"/>
    <w:rsid w:val="004B492B"/>
    <w:rsid w:val="004B5159"/>
    <w:rsid w:val="004B57CF"/>
    <w:rsid w:val="004B5B15"/>
    <w:rsid w:val="004B5B91"/>
    <w:rsid w:val="004B6A39"/>
    <w:rsid w:val="004B7384"/>
    <w:rsid w:val="004B7812"/>
    <w:rsid w:val="004C05D4"/>
    <w:rsid w:val="004C07B9"/>
    <w:rsid w:val="004C0840"/>
    <w:rsid w:val="004C0E8B"/>
    <w:rsid w:val="004C1895"/>
    <w:rsid w:val="004C21B2"/>
    <w:rsid w:val="004C2C80"/>
    <w:rsid w:val="004C2F30"/>
    <w:rsid w:val="004C329D"/>
    <w:rsid w:val="004C3E78"/>
    <w:rsid w:val="004C42A5"/>
    <w:rsid w:val="004C432F"/>
    <w:rsid w:val="004C4611"/>
    <w:rsid w:val="004C47AB"/>
    <w:rsid w:val="004C4859"/>
    <w:rsid w:val="004C4D15"/>
    <w:rsid w:val="004C5696"/>
    <w:rsid w:val="004C5A76"/>
    <w:rsid w:val="004C5EAA"/>
    <w:rsid w:val="004C5EFD"/>
    <w:rsid w:val="004C6C78"/>
    <w:rsid w:val="004C6D40"/>
    <w:rsid w:val="004C7599"/>
    <w:rsid w:val="004D036F"/>
    <w:rsid w:val="004D211A"/>
    <w:rsid w:val="004D2F26"/>
    <w:rsid w:val="004D303B"/>
    <w:rsid w:val="004D30A4"/>
    <w:rsid w:val="004D32DE"/>
    <w:rsid w:val="004D3634"/>
    <w:rsid w:val="004D3CC0"/>
    <w:rsid w:val="004D450A"/>
    <w:rsid w:val="004D453A"/>
    <w:rsid w:val="004D4BCB"/>
    <w:rsid w:val="004D52B8"/>
    <w:rsid w:val="004D5F21"/>
    <w:rsid w:val="004D6C26"/>
    <w:rsid w:val="004D7471"/>
    <w:rsid w:val="004D780A"/>
    <w:rsid w:val="004E04F8"/>
    <w:rsid w:val="004E070B"/>
    <w:rsid w:val="004E1B1E"/>
    <w:rsid w:val="004E2A40"/>
    <w:rsid w:val="004E3427"/>
    <w:rsid w:val="004E4195"/>
    <w:rsid w:val="004E6AB5"/>
    <w:rsid w:val="004E6B20"/>
    <w:rsid w:val="004E6C76"/>
    <w:rsid w:val="004E70CF"/>
    <w:rsid w:val="004E7601"/>
    <w:rsid w:val="004E79A8"/>
    <w:rsid w:val="004E7DEA"/>
    <w:rsid w:val="004E7F9A"/>
    <w:rsid w:val="004F03D7"/>
    <w:rsid w:val="004F096D"/>
    <w:rsid w:val="004F0A1F"/>
    <w:rsid w:val="004F0C3C"/>
    <w:rsid w:val="004F0D71"/>
    <w:rsid w:val="004F1274"/>
    <w:rsid w:val="004F1585"/>
    <w:rsid w:val="004F23CC"/>
    <w:rsid w:val="004F2AEE"/>
    <w:rsid w:val="004F38B2"/>
    <w:rsid w:val="004F3AEE"/>
    <w:rsid w:val="004F41C3"/>
    <w:rsid w:val="004F4AF2"/>
    <w:rsid w:val="004F4B2E"/>
    <w:rsid w:val="004F5C6C"/>
    <w:rsid w:val="004F63FC"/>
    <w:rsid w:val="004F6483"/>
    <w:rsid w:val="004F68CD"/>
    <w:rsid w:val="004F6A6E"/>
    <w:rsid w:val="004F7033"/>
    <w:rsid w:val="00500147"/>
    <w:rsid w:val="00500367"/>
    <w:rsid w:val="0050144E"/>
    <w:rsid w:val="00501AE4"/>
    <w:rsid w:val="0050225F"/>
    <w:rsid w:val="00502452"/>
    <w:rsid w:val="00502BF4"/>
    <w:rsid w:val="005030CC"/>
    <w:rsid w:val="0050403D"/>
    <w:rsid w:val="0050579E"/>
    <w:rsid w:val="00505A92"/>
    <w:rsid w:val="00506E7F"/>
    <w:rsid w:val="00506FD7"/>
    <w:rsid w:val="005072AC"/>
    <w:rsid w:val="00507888"/>
    <w:rsid w:val="00507D32"/>
    <w:rsid w:val="005103BA"/>
    <w:rsid w:val="00511568"/>
    <w:rsid w:val="00512936"/>
    <w:rsid w:val="00514677"/>
    <w:rsid w:val="00514735"/>
    <w:rsid w:val="005147D9"/>
    <w:rsid w:val="00514C45"/>
    <w:rsid w:val="005151B9"/>
    <w:rsid w:val="005159CD"/>
    <w:rsid w:val="005167C0"/>
    <w:rsid w:val="0051700D"/>
    <w:rsid w:val="005203F1"/>
    <w:rsid w:val="0052092C"/>
    <w:rsid w:val="00520B52"/>
    <w:rsid w:val="0052132E"/>
    <w:rsid w:val="00521BC3"/>
    <w:rsid w:val="00521FD1"/>
    <w:rsid w:val="00522982"/>
    <w:rsid w:val="00522E75"/>
    <w:rsid w:val="00523157"/>
    <w:rsid w:val="0052493A"/>
    <w:rsid w:val="00525457"/>
    <w:rsid w:val="00526B0F"/>
    <w:rsid w:val="00527582"/>
    <w:rsid w:val="00527A4E"/>
    <w:rsid w:val="00527C3A"/>
    <w:rsid w:val="00527DD7"/>
    <w:rsid w:val="00530063"/>
    <w:rsid w:val="00530775"/>
    <w:rsid w:val="00530791"/>
    <w:rsid w:val="00530B2D"/>
    <w:rsid w:val="00530B58"/>
    <w:rsid w:val="00531767"/>
    <w:rsid w:val="00531992"/>
    <w:rsid w:val="00532035"/>
    <w:rsid w:val="00532155"/>
    <w:rsid w:val="005323FA"/>
    <w:rsid w:val="00532AFB"/>
    <w:rsid w:val="00532B4D"/>
    <w:rsid w:val="00533DED"/>
    <w:rsid w:val="00534D51"/>
    <w:rsid w:val="00535364"/>
    <w:rsid w:val="005354A6"/>
    <w:rsid w:val="00535664"/>
    <w:rsid w:val="00535C62"/>
    <w:rsid w:val="0053606D"/>
    <w:rsid w:val="005361A7"/>
    <w:rsid w:val="005368EA"/>
    <w:rsid w:val="005376C7"/>
    <w:rsid w:val="00537F5E"/>
    <w:rsid w:val="00541C9F"/>
    <w:rsid w:val="0054251F"/>
    <w:rsid w:val="00542AA3"/>
    <w:rsid w:val="00542E9F"/>
    <w:rsid w:val="0054306B"/>
    <w:rsid w:val="005436D8"/>
    <w:rsid w:val="005437A8"/>
    <w:rsid w:val="00543869"/>
    <w:rsid w:val="005443A3"/>
    <w:rsid w:val="00544537"/>
    <w:rsid w:val="00545724"/>
    <w:rsid w:val="0054593C"/>
    <w:rsid w:val="00546045"/>
    <w:rsid w:val="00546255"/>
    <w:rsid w:val="005462CC"/>
    <w:rsid w:val="005462FF"/>
    <w:rsid w:val="005471BB"/>
    <w:rsid w:val="00547318"/>
    <w:rsid w:val="00551389"/>
    <w:rsid w:val="005516BF"/>
    <w:rsid w:val="005520D8"/>
    <w:rsid w:val="00552243"/>
    <w:rsid w:val="005524C4"/>
    <w:rsid w:val="00552CF7"/>
    <w:rsid w:val="00553383"/>
    <w:rsid w:val="0055415A"/>
    <w:rsid w:val="00554197"/>
    <w:rsid w:val="00554289"/>
    <w:rsid w:val="005543B1"/>
    <w:rsid w:val="005545A0"/>
    <w:rsid w:val="00555170"/>
    <w:rsid w:val="005559CC"/>
    <w:rsid w:val="00555C83"/>
    <w:rsid w:val="00556020"/>
    <w:rsid w:val="005561C0"/>
    <w:rsid w:val="00556351"/>
    <w:rsid w:val="00556CF1"/>
    <w:rsid w:val="005572D1"/>
    <w:rsid w:val="00557D23"/>
    <w:rsid w:val="00560300"/>
    <w:rsid w:val="00560493"/>
    <w:rsid w:val="0056126B"/>
    <w:rsid w:val="005612BD"/>
    <w:rsid w:val="005614D9"/>
    <w:rsid w:val="0056155F"/>
    <w:rsid w:val="005619C2"/>
    <w:rsid w:val="00561C5A"/>
    <w:rsid w:val="00562AB7"/>
    <w:rsid w:val="0056319D"/>
    <w:rsid w:val="00563DC2"/>
    <w:rsid w:val="005643FE"/>
    <w:rsid w:val="00564FCF"/>
    <w:rsid w:val="00565073"/>
    <w:rsid w:val="00565A3D"/>
    <w:rsid w:val="00566932"/>
    <w:rsid w:val="00566CCE"/>
    <w:rsid w:val="005671E8"/>
    <w:rsid w:val="00570D02"/>
    <w:rsid w:val="00570F97"/>
    <w:rsid w:val="00570FD5"/>
    <w:rsid w:val="00571B3C"/>
    <w:rsid w:val="00571CAA"/>
    <w:rsid w:val="005720AE"/>
    <w:rsid w:val="005723B5"/>
    <w:rsid w:val="00572AB5"/>
    <w:rsid w:val="00573323"/>
    <w:rsid w:val="0057419B"/>
    <w:rsid w:val="00574203"/>
    <w:rsid w:val="005742EB"/>
    <w:rsid w:val="00574EFA"/>
    <w:rsid w:val="005755F9"/>
    <w:rsid w:val="005762A7"/>
    <w:rsid w:val="00576D1F"/>
    <w:rsid w:val="005772AD"/>
    <w:rsid w:val="0057767A"/>
    <w:rsid w:val="00581633"/>
    <w:rsid w:val="00582408"/>
    <w:rsid w:val="005828BF"/>
    <w:rsid w:val="00582988"/>
    <w:rsid w:val="005834FE"/>
    <w:rsid w:val="005849A0"/>
    <w:rsid w:val="0058585A"/>
    <w:rsid w:val="005859AA"/>
    <w:rsid w:val="00585C3D"/>
    <w:rsid w:val="005864BA"/>
    <w:rsid w:val="005870C1"/>
    <w:rsid w:val="00591004"/>
    <w:rsid w:val="00591688"/>
    <w:rsid w:val="005916D7"/>
    <w:rsid w:val="005921E4"/>
    <w:rsid w:val="00593774"/>
    <w:rsid w:val="00593F2E"/>
    <w:rsid w:val="00595236"/>
    <w:rsid w:val="0059550D"/>
    <w:rsid w:val="00595B51"/>
    <w:rsid w:val="00596563"/>
    <w:rsid w:val="005965BF"/>
    <w:rsid w:val="00596B73"/>
    <w:rsid w:val="005973B7"/>
    <w:rsid w:val="00597546"/>
    <w:rsid w:val="00597CA5"/>
    <w:rsid w:val="005A0756"/>
    <w:rsid w:val="005A0E24"/>
    <w:rsid w:val="005A1C1A"/>
    <w:rsid w:val="005A1E16"/>
    <w:rsid w:val="005A1EF2"/>
    <w:rsid w:val="005A444B"/>
    <w:rsid w:val="005A4E94"/>
    <w:rsid w:val="005A5E0B"/>
    <w:rsid w:val="005A698C"/>
    <w:rsid w:val="005A6AFB"/>
    <w:rsid w:val="005A6F50"/>
    <w:rsid w:val="005A7E7C"/>
    <w:rsid w:val="005B11DA"/>
    <w:rsid w:val="005B124C"/>
    <w:rsid w:val="005B2287"/>
    <w:rsid w:val="005B2433"/>
    <w:rsid w:val="005B2442"/>
    <w:rsid w:val="005B2E55"/>
    <w:rsid w:val="005B2EBB"/>
    <w:rsid w:val="005B3CAD"/>
    <w:rsid w:val="005B42C4"/>
    <w:rsid w:val="005B44E2"/>
    <w:rsid w:val="005B4A46"/>
    <w:rsid w:val="005B5280"/>
    <w:rsid w:val="005B5787"/>
    <w:rsid w:val="005B5AA7"/>
    <w:rsid w:val="005B5E12"/>
    <w:rsid w:val="005B5FAA"/>
    <w:rsid w:val="005B63BB"/>
    <w:rsid w:val="005B7422"/>
    <w:rsid w:val="005B76C2"/>
    <w:rsid w:val="005B7CFB"/>
    <w:rsid w:val="005C0BCC"/>
    <w:rsid w:val="005C1573"/>
    <w:rsid w:val="005C197A"/>
    <w:rsid w:val="005C1DDD"/>
    <w:rsid w:val="005C2875"/>
    <w:rsid w:val="005C2972"/>
    <w:rsid w:val="005C2CF9"/>
    <w:rsid w:val="005C3083"/>
    <w:rsid w:val="005C3970"/>
    <w:rsid w:val="005C42F3"/>
    <w:rsid w:val="005C49AE"/>
    <w:rsid w:val="005C4F00"/>
    <w:rsid w:val="005C57B2"/>
    <w:rsid w:val="005C5F96"/>
    <w:rsid w:val="005C68F2"/>
    <w:rsid w:val="005C7964"/>
    <w:rsid w:val="005C7EEF"/>
    <w:rsid w:val="005D021D"/>
    <w:rsid w:val="005D029E"/>
    <w:rsid w:val="005D0578"/>
    <w:rsid w:val="005D084F"/>
    <w:rsid w:val="005D0C0F"/>
    <w:rsid w:val="005D0E21"/>
    <w:rsid w:val="005D0E81"/>
    <w:rsid w:val="005D0FDE"/>
    <w:rsid w:val="005D1569"/>
    <w:rsid w:val="005D1E24"/>
    <w:rsid w:val="005D1E5C"/>
    <w:rsid w:val="005D1F81"/>
    <w:rsid w:val="005D212C"/>
    <w:rsid w:val="005D271B"/>
    <w:rsid w:val="005D28CA"/>
    <w:rsid w:val="005D295F"/>
    <w:rsid w:val="005D364E"/>
    <w:rsid w:val="005D3A46"/>
    <w:rsid w:val="005D3DD0"/>
    <w:rsid w:val="005D3DE8"/>
    <w:rsid w:val="005D4217"/>
    <w:rsid w:val="005D42B3"/>
    <w:rsid w:val="005D46F8"/>
    <w:rsid w:val="005D47AF"/>
    <w:rsid w:val="005D584E"/>
    <w:rsid w:val="005D5A7E"/>
    <w:rsid w:val="005D7252"/>
    <w:rsid w:val="005D77FB"/>
    <w:rsid w:val="005D7C1F"/>
    <w:rsid w:val="005E0068"/>
    <w:rsid w:val="005E0799"/>
    <w:rsid w:val="005E14A3"/>
    <w:rsid w:val="005E2C69"/>
    <w:rsid w:val="005E2CB6"/>
    <w:rsid w:val="005E47F5"/>
    <w:rsid w:val="005E4ABD"/>
    <w:rsid w:val="005E5E39"/>
    <w:rsid w:val="005E6129"/>
    <w:rsid w:val="005E6146"/>
    <w:rsid w:val="005E6FB1"/>
    <w:rsid w:val="005E7240"/>
    <w:rsid w:val="005E74D7"/>
    <w:rsid w:val="005F050E"/>
    <w:rsid w:val="005F0962"/>
    <w:rsid w:val="005F0A31"/>
    <w:rsid w:val="005F0C15"/>
    <w:rsid w:val="005F0DD0"/>
    <w:rsid w:val="005F1CBA"/>
    <w:rsid w:val="005F21A5"/>
    <w:rsid w:val="005F22AA"/>
    <w:rsid w:val="005F3E6C"/>
    <w:rsid w:val="005F4C91"/>
    <w:rsid w:val="005F4FE0"/>
    <w:rsid w:val="005F504D"/>
    <w:rsid w:val="005F5A80"/>
    <w:rsid w:val="005F5D7C"/>
    <w:rsid w:val="005F61D6"/>
    <w:rsid w:val="005F6358"/>
    <w:rsid w:val="005F6903"/>
    <w:rsid w:val="005F6DFA"/>
    <w:rsid w:val="005F7577"/>
    <w:rsid w:val="005F7DD6"/>
    <w:rsid w:val="00600661"/>
    <w:rsid w:val="0060091A"/>
    <w:rsid w:val="00600D69"/>
    <w:rsid w:val="00601033"/>
    <w:rsid w:val="00602651"/>
    <w:rsid w:val="006031BD"/>
    <w:rsid w:val="0060376F"/>
    <w:rsid w:val="006041D5"/>
    <w:rsid w:val="006044FF"/>
    <w:rsid w:val="00604ED4"/>
    <w:rsid w:val="00605F33"/>
    <w:rsid w:val="006061F5"/>
    <w:rsid w:val="006062E1"/>
    <w:rsid w:val="00606660"/>
    <w:rsid w:val="00606AB8"/>
    <w:rsid w:val="0060792B"/>
    <w:rsid w:val="00607BA6"/>
    <w:rsid w:val="00607CC5"/>
    <w:rsid w:val="00610108"/>
    <w:rsid w:val="006110DF"/>
    <w:rsid w:val="006119CD"/>
    <w:rsid w:val="00611E75"/>
    <w:rsid w:val="0061219D"/>
    <w:rsid w:val="00612941"/>
    <w:rsid w:val="006134B4"/>
    <w:rsid w:val="00613526"/>
    <w:rsid w:val="00613939"/>
    <w:rsid w:val="00613C8E"/>
    <w:rsid w:val="00613D38"/>
    <w:rsid w:val="006140C6"/>
    <w:rsid w:val="00614625"/>
    <w:rsid w:val="006146DD"/>
    <w:rsid w:val="00615809"/>
    <w:rsid w:val="0061590A"/>
    <w:rsid w:val="00615E34"/>
    <w:rsid w:val="00617618"/>
    <w:rsid w:val="00617632"/>
    <w:rsid w:val="00620025"/>
    <w:rsid w:val="006205DD"/>
    <w:rsid w:val="00621501"/>
    <w:rsid w:val="006218D3"/>
    <w:rsid w:val="00622181"/>
    <w:rsid w:val="0062238D"/>
    <w:rsid w:val="00622B3D"/>
    <w:rsid w:val="00623A30"/>
    <w:rsid w:val="00623AEC"/>
    <w:rsid w:val="00623C8B"/>
    <w:rsid w:val="00623F4D"/>
    <w:rsid w:val="00624272"/>
    <w:rsid w:val="00624488"/>
    <w:rsid w:val="00625089"/>
    <w:rsid w:val="006250B0"/>
    <w:rsid w:val="00626D66"/>
    <w:rsid w:val="00626E27"/>
    <w:rsid w:val="006274BF"/>
    <w:rsid w:val="00627A39"/>
    <w:rsid w:val="00630EC5"/>
    <w:rsid w:val="00631C0B"/>
    <w:rsid w:val="00632056"/>
    <w:rsid w:val="00633014"/>
    <w:rsid w:val="00633B23"/>
    <w:rsid w:val="00633E26"/>
    <w:rsid w:val="00634211"/>
    <w:rsid w:val="00634359"/>
    <w:rsid w:val="0063437B"/>
    <w:rsid w:val="006346E1"/>
    <w:rsid w:val="00635AE0"/>
    <w:rsid w:val="00635F35"/>
    <w:rsid w:val="0063612A"/>
    <w:rsid w:val="006364C0"/>
    <w:rsid w:val="0063737D"/>
    <w:rsid w:val="006374B3"/>
    <w:rsid w:val="0063792B"/>
    <w:rsid w:val="00640163"/>
    <w:rsid w:val="00640195"/>
    <w:rsid w:val="00640CD8"/>
    <w:rsid w:val="00640F41"/>
    <w:rsid w:val="006427E0"/>
    <w:rsid w:val="00642A85"/>
    <w:rsid w:val="00642F93"/>
    <w:rsid w:val="006450E9"/>
    <w:rsid w:val="006453C8"/>
    <w:rsid w:val="0064579F"/>
    <w:rsid w:val="00645894"/>
    <w:rsid w:val="0064651F"/>
    <w:rsid w:val="00646554"/>
    <w:rsid w:val="006467C3"/>
    <w:rsid w:val="00647794"/>
    <w:rsid w:val="00647A17"/>
    <w:rsid w:val="006506FC"/>
    <w:rsid w:val="00650896"/>
    <w:rsid w:val="00650B67"/>
    <w:rsid w:val="006511E9"/>
    <w:rsid w:val="006516CF"/>
    <w:rsid w:val="00651974"/>
    <w:rsid w:val="006524DF"/>
    <w:rsid w:val="006528E7"/>
    <w:rsid w:val="00652DEE"/>
    <w:rsid w:val="00652FE9"/>
    <w:rsid w:val="006532F8"/>
    <w:rsid w:val="0065356C"/>
    <w:rsid w:val="006540AC"/>
    <w:rsid w:val="00654699"/>
    <w:rsid w:val="00655471"/>
    <w:rsid w:val="00655A9A"/>
    <w:rsid w:val="00655B16"/>
    <w:rsid w:val="00655CB9"/>
    <w:rsid w:val="00655FB7"/>
    <w:rsid w:val="00655FD9"/>
    <w:rsid w:val="0065644D"/>
    <w:rsid w:val="006567D8"/>
    <w:rsid w:val="0065694C"/>
    <w:rsid w:val="00657F37"/>
    <w:rsid w:val="00660209"/>
    <w:rsid w:val="006608CD"/>
    <w:rsid w:val="00661D83"/>
    <w:rsid w:val="0066257A"/>
    <w:rsid w:val="00662E47"/>
    <w:rsid w:val="0066358F"/>
    <w:rsid w:val="00664332"/>
    <w:rsid w:val="00664714"/>
    <w:rsid w:val="006650CE"/>
    <w:rsid w:val="00665485"/>
    <w:rsid w:val="00665B1C"/>
    <w:rsid w:val="006667DB"/>
    <w:rsid w:val="00666A07"/>
    <w:rsid w:val="00666ED5"/>
    <w:rsid w:val="00666FE6"/>
    <w:rsid w:val="006673CA"/>
    <w:rsid w:val="00667C4F"/>
    <w:rsid w:val="006715A8"/>
    <w:rsid w:val="00671C72"/>
    <w:rsid w:val="00672548"/>
    <w:rsid w:val="00672BBB"/>
    <w:rsid w:val="00673179"/>
    <w:rsid w:val="00673E12"/>
    <w:rsid w:val="00674918"/>
    <w:rsid w:val="00675109"/>
    <w:rsid w:val="00675304"/>
    <w:rsid w:val="006755A3"/>
    <w:rsid w:val="006756BC"/>
    <w:rsid w:val="00676840"/>
    <w:rsid w:val="00676B47"/>
    <w:rsid w:val="006773D9"/>
    <w:rsid w:val="0068052F"/>
    <w:rsid w:val="00681A0F"/>
    <w:rsid w:val="0068231B"/>
    <w:rsid w:val="00682B9F"/>
    <w:rsid w:val="00682EDA"/>
    <w:rsid w:val="00682FF1"/>
    <w:rsid w:val="00683277"/>
    <w:rsid w:val="00683C7C"/>
    <w:rsid w:val="0068468E"/>
    <w:rsid w:val="00684A7C"/>
    <w:rsid w:val="00684A87"/>
    <w:rsid w:val="00684CBC"/>
    <w:rsid w:val="0068547F"/>
    <w:rsid w:val="00685D3A"/>
    <w:rsid w:val="006864D6"/>
    <w:rsid w:val="00686ADF"/>
    <w:rsid w:val="00687396"/>
    <w:rsid w:val="00690BEE"/>
    <w:rsid w:val="00690F0A"/>
    <w:rsid w:val="00691282"/>
    <w:rsid w:val="00691A4B"/>
    <w:rsid w:val="0069208C"/>
    <w:rsid w:val="00692138"/>
    <w:rsid w:val="006932A5"/>
    <w:rsid w:val="00694257"/>
    <w:rsid w:val="00694612"/>
    <w:rsid w:val="00694994"/>
    <w:rsid w:val="00694FAD"/>
    <w:rsid w:val="00695688"/>
    <w:rsid w:val="00695709"/>
    <w:rsid w:val="006959AD"/>
    <w:rsid w:val="00695D66"/>
    <w:rsid w:val="006966AD"/>
    <w:rsid w:val="006975EC"/>
    <w:rsid w:val="006A11F4"/>
    <w:rsid w:val="006A13F4"/>
    <w:rsid w:val="006A16B5"/>
    <w:rsid w:val="006A1BDC"/>
    <w:rsid w:val="006A22D5"/>
    <w:rsid w:val="006A22F2"/>
    <w:rsid w:val="006A26EE"/>
    <w:rsid w:val="006A2907"/>
    <w:rsid w:val="006A303C"/>
    <w:rsid w:val="006A33D6"/>
    <w:rsid w:val="006A3657"/>
    <w:rsid w:val="006A41E2"/>
    <w:rsid w:val="006A4387"/>
    <w:rsid w:val="006A530F"/>
    <w:rsid w:val="006A5D52"/>
    <w:rsid w:val="006A6098"/>
    <w:rsid w:val="006A75A2"/>
    <w:rsid w:val="006B05FA"/>
    <w:rsid w:val="006B0E9E"/>
    <w:rsid w:val="006B1D37"/>
    <w:rsid w:val="006B1F35"/>
    <w:rsid w:val="006B2D75"/>
    <w:rsid w:val="006B3239"/>
    <w:rsid w:val="006B3857"/>
    <w:rsid w:val="006B59FB"/>
    <w:rsid w:val="006B5AE4"/>
    <w:rsid w:val="006B6060"/>
    <w:rsid w:val="006B6D7F"/>
    <w:rsid w:val="006B6DF1"/>
    <w:rsid w:val="006B7087"/>
    <w:rsid w:val="006B708F"/>
    <w:rsid w:val="006B7528"/>
    <w:rsid w:val="006B7E22"/>
    <w:rsid w:val="006C2464"/>
    <w:rsid w:val="006C262D"/>
    <w:rsid w:val="006C2C23"/>
    <w:rsid w:val="006C2CA5"/>
    <w:rsid w:val="006C2E11"/>
    <w:rsid w:val="006C3918"/>
    <w:rsid w:val="006C3D7E"/>
    <w:rsid w:val="006C41E5"/>
    <w:rsid w:val="006C4562"/>
    <w:rsid w:val="006C6432"/>
    <w:rsid w:val="006D08D5"/>
    <w:rsid w:val="006D09B4"/>
    <w:rsid w:val="006D0E95"/>
    <w:rsid w:val="006D109B"/>
    <w:rsid w:val="006D141B"/>
    <w:rsid w:val="006D16A9"/>
    <w:rsid w:val="006D38F5"/>
    <w:rsid w:val="006D3ECE"/>
    <w:rsid w:val="006D4054"/>
    <w:rsid w:val="006D4318"/>
    <w:rsid w:val="006D4940"/>
    <w:rsid w:val="006D51B4"/>
    <w:rsid w:val="006D54CC"/>
    <w:rsid w:val="006D55D8"/>
    <w:rsid w:val="006D5773"/>
    <w:rsid w:val="006D5802"/>
    <w:rsid w:val="006D6347"/>
    <w:rsid w:val="006D7274"/>
    <w:rsid w:val="006D7758"/>
    <w:rsid w:val="006D7DBC"/>
    <w:rsid w:val="006E02EC"/>
    <w:rsid w:val="006E03D7"/>
    <w:rsid w:val="006E05BB"/>
    <w:rsid w:val="006E09B8"/>
    <w:rsid w:val="006E0E4C"/>
    <w:rsid w:val="006E1123"/>
    <w:rsid w:val="006E1245"/>
    <w:rsid w:val="006E1C2F"/>
    <w:rsid w:val="006E2869"/>
    <w:rsid w:val="006E2E60"/>
    <w:rsid w:val="006E2F5F"/>
    <w:rsid w:val="006E30F5"/>
    <w:rsid w:val="006E3C23"/>
    <w:rsid w:val="006E4ACA"/>
    <w:rsid w:val="006E4BB4"/>
    <w:rsid w:val="006E5334"/>
    <w:rsid w:val="006E560A"/>
    <w:rsid w:val="006E5F14"/>
    <w:rsid w:val="006E6D3E"/>
    <w:rsid w:val="006E6D76"/>
    <w:rsid w:val="006E7789"/>
    <w:rsid w:val="006E77BF"/>
    <w:rsid w:val="006E795F"/>
    <w:rsid w:val="006F04D4"/>
    <w:rsid w:val="006F2080"/>
    <w:rsid w:val="006F2D52"/>
    <w:rsid w:val="006F339C"/>
    <w:rsid w:val="006F35A3"/>
    <w:rsid w:val="006F4BDE"/>
    <w:rsid w:val="006F57E5"/>
    <w:rsid w:val="006F5DEB"/>
    <w:rsid w:val="006F7753"/>
    <w:rsid w:val="006F7FA8"/>
    <w:rsid w:val="0070166B"/>
    <w:rsid w:val="00701DF3"/>
    <w:rsid w:val="00701F20"/>
    <w:rsid w:val="00702664"/>
    <w:rsid w:val="00702737"/>
    <w:rsid w:val="00703154"/>
    <w:rsid w:val="00703444"/>
    <w:rsid w:val="00706806"/>
    <w:rsid w:val="00706CF3"/>
    <w:rsid w:val="007078CC"/>
    <w:rsid w:val="007108A9"/>
    <w:rsid w:val="00710960"/>
    <w:rsid w:val="00710966"/>
    <w:rsid w:val="00710A47"/>
    <w:rsid w:val="00710E4C"/>
    <w:rsid w:val="00711297"/>
    <w:rsid w:val="00711571"/>
    <w:rsid w:val="007119AF"/>
    <w:rsid w:val="00711EA9"/>
    <w:rsid w:val="00712025"/>
    <w:rsid w:val="00712B06"/>
    <w:rsid w:val="00712EE3"/>
    <w:rsid w:val="0071347C"/>
    <w:rsid w:val="0071443D"/>
    <w:rsid w:val="0071456B"/>
    <w:rsid w:val="00714BD2"/>
    <w:rsid w:val="00714DE1"/>
    <w:rsid w:val="00714E46"/>
    <w:rsid w:val="00715357"/>
    <w:rsid w:val="00715BE3"/>
    <w:rsid w:val="00715FDB"/>
    <w:rsid w:val="007174C1"/>
    <w:rsid w:val="007175B5"/>
    <w:rsid w:val="00717A15"/>
    <w:rsid w:val="0072008B"/>
    <w:rsid w:val="007205CE"/>
    <w:rsid w:val="00720702"/>
    <w:rsid w:val="007209E1"/>
    <w:rsid w:val="0072115A"/>
    <w:rsid w:val="007211B1"/>
    <w:rsid w:val="00722348"/>
    <w:rsid w:val="007223D6"/>
    <w:rsid w:val="00722417"/>
    <w:rsid w:val="007227F3"/>
    <w:rsid w:val="00722E61"/>
    <w:rsid w:val="007243F0"/>
    <w:rsid w:val="00724B29"/>
    <w:rsid w:val="00725216"/>
    <w:rsid w:val="007255DE"/>
    <w:rsid w:val="007265CE"/>
    <w:rsid w:val="00726B70"/>
    <w:rsid w:val="00726E75"/>
    <w:rsid w:val="00730184"/>
    <w:rsid w:val="00730ECA"/>
    <w:rsid w:val="0073187B"/>
    <w:rsid w:val="00731918"/>
    <w:rsid w:val="00731E67"/>
    <w:rsid w:val="00732354"/>
    <w:rsid w:val="00732401"/>
    <w:rsid w:val="00732809"/>
    <w:rsid w:val="007328EB"/>
    <w:rsid w:val="00733DA2"/>
    <w:rsid w:val="007343B3"/>
    <w:rsid w:val="00734C04"/>
    <w:rsid w:val="0073602C"/>
    <w:rsid w:val="007368D2"/>
    <w:rsid w:val="007368FF"/>
    <w:rsid w:val="00736C82"/>
    <w:rsid w:val="00737ADD"/>
    <w:rsid w:val="007402CD"/>
    <w:rsid w:val="00740314"/>
    <w:rsid w:val="007408B3"/>
    <w:rsid w:val="00742C35"/>
    <w:rsid w:val="00743C9B"/>
    <w:rsid w:val="00743F79"/>
    <w:rsid w:val="0074429A"/>
    <w:rsid w:val="0074477D"/>
    <w:rsid w:val="00745912"/>
    <w:rsid w:val="00746187"/>
    <w:rsid w:val="00746323"/>
    <w:rsid w:val="00747F84"/>
    <w:rsid w:val="007500D3"/>
    <w:rsid w:val="007500FF"/>
    <w:rsid w:val="007503EB"/>
    <w:rsid w:val="007504A2"/>
    <w:rsid w:val="00750ACD"/>
    <w:rsid w:val="00750EB3"/>
    <w:rsid w:val="00751352"/>
    <w:rsid w:val="007518B2"/>
    <w:rsid w:val="007519BB"/>
    <w:rsid w:val="00752B07"/>
    <w:rsid w:val="00752D31"/>
    <w:rsid w:val="007533AC"/>
    <w:rsid w:val="00754106"/>
    <w:rsid w:val="00754334"/>
    <w:rsid w:val="007543F5"/>
    <w:rsid w:val="00754C63"/>
    <w:rsid w:val="00754D0D"/>
    <w:rsid w:val="00755C20"/>
    <w:rsid w:val="00755F66"/>
    <w:rsid w:val="00755F95"/>
    <w:rsid w:val="007572E9"/>
    <w:rsid w:val="007572F8"/>
    <w:rsid w:val="007577F0"/>
    <w:rsid w:val="00757EBB"/>
    <w:rsid w:val="007600A2"/>
    <w:rsid w:val="00760876"/>
    <w:rsid w:val="0076125B"/>
    <w:rsid w:val="007615BC"/>
    <w:rsid w:val="00762384"/>
    <w:rsid w:val="007623ED"/>
    <w:rsid w:val="00762403"/>
    <w:rsid w:val="0076254F"/>
    <w:rsid w:val="0076283A"/>
    <w:rsid w:val="007638F0"/>
    <w:rsid w:val="0076405F"/>
    <w:rsid w:val="00765532"/>
    <w:rsid w:val="007658F6"/>
    <w:rsid w:val="00766490"/>
    <w:rsid w:val="0076662C"/>
    <w:rsid w:val="007667E4"/>
    <w:rsid w:val="007667F6"/>
    <w:rsid w:val="00766C6E"/>
    <w:rsid w:val="007670B0"/>
    <w:rsid w:val="00767F9C"/>
    <w:rsid w:val="007700E4"/>
    <w:rsid w:val="00770359"/>
    <w:rsid w:val="00770B99"/>
    <w:rsid w:val="0077196D"/>
    <w:rsid w:val="00772335"/>
    <w:rsid w:val="007734E8"/>
    <w:rsid w:val="00773E86"/>
    <w:rsid w:val="00774C6B"/>
    <w:rsid w:val="00776D72"/>
    <w:rsid w:val="007774DE"/>
    <w:rsid w:val="0077775C"/>
    <w:rsid w:val="00777923"/>
    <w:rsid w:val="00777CD1"/>
    <w:rsid w:val="00777F21"/>
    <w:rsid w:val="00777F30"/>
    <w:rsid w:val="00777FA8"/>
    <w:rsid w:val="007801F5"/>
    <w:rsid w:val="00781050"/>
    <w:rsid w:val="007812FB"/>
    <w:rsid w:val="00781FDA"/>
    <w:rsid w:val="00782381"/>
    <w:rsid w:val="007824EE"/>
    <w:rsid w:val="00782EB3"/>
    <w:rsid w:val="00783CA4"/>
    <w:rsid w:val="007842FB"/>
    <w:rsid w:val="007844EC"/>
    <w:rsid w:val="00784B79"/>
    <w:rsid w:val="00784CC1"/>
    <w:rsid w:val="00785725"/>
    <w:rsid w:val="00785BBB"/>
    <w:rsid w:val="00785C4B"/>
    <w:rsid w:val="00786124"/>
    <w:rsid w:val="00790751"/>
    <w:rsid w:val="0079127B"/>
    <w:rsid w:val="00791FC6"/>
    <w:rsid w:val="007928E4"/>
    <w:rsid w:val="00792ACE"/>
    <w:rsid w:val="007930BF"/>
    <w:rsid w:val="00793EA1"/>
    <w:rsid w:val="007945B4"/>
    <w:rsid w:val="007946BC"/>
    <w:rsid w:val="00794932"/>
    <w:rsid w:val="00795040"/>
    <w:rsid w:val="0079514B"/>
    <w:rsid w:val="007956F1"/>
    <w:rsid w:val="007963AE"/>
    <w:rsid w:val="00796583"/>
    <w:rsid w:val="00796C70"/>
    <w:rsid w:val="007979BE"/>
    <w:rsid w:val="00797A2B"/>
    <w:rsid w:val="00797A85"/>
    <w:rsid w:val="007A02A0"/>
    <w:rsid w:val="007A0BEE"/>
    <w:rsid w:val="007A140D"/>
    <w:rsid w:val="007A1F66"/>
    <w:rsid w:val="007A207B"/>
    <w:rsid w:val="007A2DC1"/>
    <w:rsid w:val="007A2DDA"/>
    <w:rsid w:val="007A3200"/>
    <w:rsid w:val="007A3438"/>
    <w:rsid w:val="007A374B"/>
    <w:rsid w:val="007A37BA"/>
    <w:rsid w:val="007A3C6F"/>
    <w:rsid w:val="007A4253"/>
    <w:rsid w:val="007A58FE"/>
    <w:rsid w:val="007A59DF"/>
    <w:rsid w:val="007A62F1"/>
    <w:rsid w:val="007A7173"/>
    <w:rsid w:val="007A7B75"/>
    <w:rsid w:val="007A7C0E"/>
    <w:rsid w:val="007A7FD5"/>
    <w:rsid w:val="007B09FE"/>
    <w:rsid w:val="007B145B"/>
    <w:rsid w:val="007B1B50"/>
    <w:rsid w:val="007B2651"/>
    <w:rsid w:val="007B2945"/>
    <w:rsid w:val="007B2BAE"/>
    <w:rsid w:val="007B3A7A"/>
    <w:rsid w:val="007B3DD3"/>
    <w:rsid w:val="007B404F"/>
    <w:rsid w:val="007B47BA"/>
    <w:rsid w:val="007B5805"/>
    <w:rsid w:val="007B59C1"/>
    <w:rsid w:val="007B68A4"/>
    <w:rsid w:val="007B6E6F"/>
    <w:rsid w:val="007B7014"/>
    <w:rsid w:val="007B75E5"/>
    <w:rsid w:val="007B7E75"/>
    <w:rsid w:val="007C046A"/>
    <w:rsid w:val="007C14FB"/>
    <w:rsid w:val="007C1649"/>
    <w:rsid w:val="007C233F"/>
    <w:rsid w:val="007C366B"/>
    <w:rsid w:val="007C3926"/>
    <w:rsid w:val="007C3F94"/>
    <w:rsid w:val="007C4A0E"/>
    <w:rsid w:val="007C5121"/>
    <w:rsid w:val="007C562A"/>
    <w:rsid w:val="007C63DA"/>
    <w:rsid w:val="007C7D69"/>
    <w:rsid w:val="007D04E6"/>
    <w:rsid w:val="007D0798"/>
    <w:rsid w:val="007D0B82"/>
    <w:rsid w:val="007D261B"/>
    <w:rsid w:val="007D2669"/>
    <w:rsid w:val="007D274B"/>
    <w:rsid w:val="007D2B3F"/>
    <w:rsid w:val="007D2B8D"/>
    <w:rsid w:val="007D2F2C"/>
    <w:rsid w:val="007D3319"/>
    <w:rsid w:val="007D335D"/>
    <w:rsid w:val="007D3CF9"/>
    <w:rsid w:val="007D4188"/>
    <w:rsid w:val="007D473A"/>
    <w:rsid w:val="007D5635"/>
    <w:rsid w:val="007D5ACA"/>
    <w:rsid w:val="007D5EF3"/>
    <w:rsid w:val="007D624B"/>
    <w:rsid w:val="007D6BBD"/>
    <w:rsid w:val="007D7311"/>
    <w:rsid w:val="007D7898"/>
    <w:rsid w:val="007D7F70"/>
    <w:rsid w:val="007E016D"/>
    <w:rsid w:val="007E02C0"/>
    <w:rsid w:val="007E0607"/>
    <w:rsid w:val="007E160D"/>
    <w:rsid w:val="007E1CB1"/>
    <w:rsid w:val="007E20C5"/>
    <w:rsid w:val="007E2275"/>
    <w:rsid w:val="007E231E"/>
    <w:rsid w:val="007E2821"/>
    <w:rsid w:val="007E285F"/>
    <w:rsid w:val="007E3301"/>
    <w:rsid w:val="007E3314"/>
    <w:rsid w:val="007E4196"/>
    <w:rsid w:val="007E4204"/>
    <w:rsid w:val="007E431E"/>
    <w:rsid w:val="007E46E3"/>
    <w:rsid w:val="007E47A6"/>
    <w:rsid w:val="007E4B03"/>
    <w:rsid w:val="007E55DE"/>
    <w:rsid w:val="007E6147"/>
    <w:rsid w:val="007E6512"/>
    <w:rsid w:val="007E6B4A"/>
    <w:rsid w:val="007E6CAC"/>
    <w:rsid w:val="007E7848"/>
    <w:rsid w:val="007E7A40"/>
    <w:rsid w:val="007F06CB"/>
    <w:rsid w:val="007F0FAF"/>
    <w:rsid w:val="007F10BF"/>
    <w:rsid w:val="007F164C"/>
    <w:rsid w:val="007F1F58"/>
    <w:rsid w:val="007F2321"/>
    <w:rsid w:val="007F29E4"/>
    <w:rsid w:val="007F2C2F"/>
    <w:rsid w:val="007F2DC4"/>
    <w:rsid w:val="007F324B"/>
    <w:rsid w:val="007F3482"/>
    <w:rsid w:val="007F35BF"/>
    <w:rsid w:val="007F3871"/>
    <w:rsid w:val="007F4BF3"/>
    <w:rsid w:val="007F51C8"/>
    <w:rsid w:val="007F5606"/>
    <w:rsid w:val="007F5697"/>
    <w:rsid w:val="007F7CF2"/>
    <w:rsid w:val="00800C23"/>
    <w:rsid w:val="00801CF4"/>
    <w:rsid w:val="00802737"/>
    <w:rsid w:val="0080339B"/>
    <w:rsid w:val="008038C7"/>
    <w:rsid w:val="00803E09"/>
    <w:rsid w:val="008040A3"/>
    <w:rsid w:val="0080476C"/>
    <w:rsid w:val="00804892"/>
    <w:rsid w:val="00804CA9"/>
    <w:rsid w:val="0080553C"/>
    <w:rsid w:val="00805B46"/>
    <w:rsid w:val="00805D70"/>
    <w:rsid w:val="00805E45"/>
    <w:rsid w:val="00806439"/>
    <w:rsid w:val="008106B9"/>
    <w:rsid w:val="0081118B"/>
    <w:rsid w:val="008113B9"/>
    <w:rsid w:val="008114CF"/>
    <w:rsid w:val="00811595"/>
    <w:rsid w:val="00811918"/>
    <w:rsid w:val="008119BD"/>
    <w:rsid w:val="00813327"/>
    <w:rsid w:val="0081480C"/>
    <w:rsid w:val="0081603F"/>
    <w:rsid w:val="0081637A"/>
    <w:rsid w:val="0082170B"/>
    <w:rsid w:val="00821A4C"/>
    <w:rsid w:val="00822513"/>
    <w:rsid w:val="00822DA6"/>
    <w:rsid w:val="00823DDF"/>
    <w:rsid w:val="008252FD"/>
    <w:rsid w:val="0082557D"/>
    <w:rsid w:val="008258B5"/>
    <w:rsid w:val="00825977"/>
    <w:rsid w:val="00825DC2"/>
    <w:rsid w:val="0082705D"/>
    <w:rsid w:val="008278E4"/>
    <w:rsid w:val="00827A31"/>
    <w:rsid w:val="00830BF5"/>
    <w:rsid w:val="00831364"/>
    <w:rsid w:val="00832552"/>
    <w:rsid w:val="008325FD"/>
    <w:rsid w:val="00833C16"/>
    <w:rsid w:val="008340F1"/>
    <w:rsid w:val="00834AD3"/>
    <w:rsid w:val="00834C1D"/>
    <w:rsid w:val="00834D34"/>
    <w:rsid w:val="00834FFD"/>
    <w:rsid w:val="00835564"/>
    <w:rsid w:val="0083594E"/>
    <w:rsid w:val="00835F27"/>
    <w:rsid w:val="00836D99"/>
    <w:rsid w:val="00840437"/>
    <w:rsid w:val="00841CAB"/>
    <w:rsid w:val="00842594"/>
    <w:rsid w:val="008425E7"/>
    <w:rsid w:val="00842738"/>
    <w:rsid w:val="00842B85"/>
    <w:rsid w:val="00843448"/>
    <w:rsid w:val="0084359F"/>
    <w:rsid w:val="00843795"/>
    <w:rsid w:val="008443B3"/>
    <w:rsid w:val="00845574"/>
    <w:rsid w:val="00846656"/>
    <w:rsid w:val="008468C4"/>
    <w:rsid w:val="00846BFF"/>
    <w:rsid w:val="00847F0F"/>
    <w:rsid w:val="0085032D"/>
    <w:rsid w:val="00850344"/>
    <w:rsid w:val="0085047B"/>
    <w:rsid w:val="00850692"/>
    <w:rsid w:val="008508CE"/>
    <w:rsid w:val="00851143"/>
    <w:rsid w:val="008512FD"/>
    <w:rsid w:val="00851363"/>
    <w:rsid w:val="0085190B"/>
    <w:rsid w:val="00852448"/>
    <w:rsid w:val="00852932"/>
    <w:rsid w:val="0085293A"/>
    <w:rsid w:val="00852FE6"/>
    <w:rsid w:val="0085395F"/>
    <w:rsid w:val="00854334"/>
    <w:rsid w:val="00854DE1"/>
    <w:rsid w:val="0085562D"/>
    <w:rsid w:val="00856D71"/>
    <w:rsid w:val="008573A0"/>
    <w:rsid w:val="008602E5"/>
    <w:rsid w:val="00860354"/>
    <w:rsid w:val="008609A2"/>
    <w:rsid w:val="00860EEA"/>
    <w:rsid w:val="0086177F"/>
    <w:rsid w:val="00861ECB"/>
    <w:rsid w:val="008627F7"/>
    <w:rsid w:val="00862E37"/>
    <w:rsid w:val="008639AA"/>
    <w:rsid w:val="00863D2E"/>
    <w:rsid w:val="0086492B"/>
    <w:rsid w:val="00864BCC"/>
    <w:rsid w:val="0086509D"/>
    <w:rsid w:val="008659BE"/>
    <w:rsid w:val="008665DB"/>
    <w:rsid w:val="008667ED"/>
    <w:rsid w:val="00866BE1"/>
    <w:rsid w:val="00866CAB"/>
    <w:rsid w:val="00866D6E"/>
    <w:rsid w:val="008672E8"/>
    <w:rsid w:val="00867BA1"/>
    <w:rsid w:val="00867D21"/>
    <w:rsid w:val="00870420"/>
    <w:rsid w:val="0087080B"/>
    <w:rsid w:val="0087165C"/>
    <w:rsid w:val="00871AEC"/>
    <w:rsid w:val="00871F83"/>
    <w:rsid w:val="008720E4"/>
    <w:rsid w:val="00872B57"/>
    <w:rsid w:val="00872DF1"/>
    <w:rsid w:val="008736F6"/>
    <w:rsid w:val="00873A93"/>
    <w:rsid w:val="00875D1F"/>
    <w:rsid w:val="00876B3A"/>
    <w:rsid w:val="008778ED"/>
    <w:rsid w:val="00877A02"/>
    <w:rsid w:val="00880870"/>
    <w:rsid w:val="00880CBC"/>
    <w:rsid w:val="00880DD6"/>
    <w:rsid w:val="00880F1C"/>
    <w:rsid w:val="0088188F"/>
    <w:rsid w:val="00881C05"/>
    <w:rsid w:val="0088258A"/>
    <w:rsid w:val="00882EF2"/>
    <w:rsid w:val="00883303"/>
    <w:rsid w:val="00883AA9"/>
    <w:rsid w:val="00884717"/>
    <w:rsid w:val="00884F51"/>
    <w:rsid w:val="00884FF1"/>
    <w:rsid w:val="00885589"/>
    <w:rsid w:val="00885760"/>
    <w:rsid w:val="0088598E"/>
    <w:rsid w:val="00885A66"/>
    <w:rsid w:val="00886332"/>
    <w:rsid w:val="0088650F"/>
    <w:rsid w:val="00886696"/>
    <w:rsid w:val="0088706B"/>
    <w:rsid w:val="00887885"/>
    <w:rsid w:val="008879B5"/>
    <w:rsid w:val="00887B3A"/>
    <w:rsid w:val="008913C4"/>
    <w:rsid w:val="00891A64"/>
    <w:rsid w:val="0089266D"/>
    <w:rsid w:val="00892C69"/>
    <w:rsid w:val="00893ACD"/>
    <w:rsid w:val="008952D3"/>
    <w:rsid w:val="00895F48"/>
    <w:rsid w:val="00896B37"/>
    <w:rsid w:val="008971E0"/>
    <w:rsid w:val="00897294"/>
    <w:rsid w:val="008A0B80"/>
    <w:rsid w:val="008A0DA3"/>
    <w:rsid w:val="008A1565"/>
    <w:rsid w:val="008A2570"/>
    <w:rsid w:val="008A264B"/>
    <w:rsid w:val="008A26D9"/>
    <w:rsid w:val="008A2798"/>
    <w:rsid w:val="008A2ABD"/>
    <w:rsid w:val="008A3183"/>
    <w:rsid w:val="008A3431"/>
    <w:rsid w:val="008A4518"/>
    <w:rsid w:val="008A4AB4"/>
    <w:rsid w:val="008A4BE4"/>
    <w:rsid w:val="008A5856"/>
    <w:rsid w:val="008A58BA"/>
    <w:rsid w:val="008A5991"/>
    <w:rsid w:val="008A5DE7"/>
    <w:rsid w:val="008A61DC"/>
    <w:rsid w:val="008A665D"/>
    <w:rsid w:val="008A6753"/>
    <w:rsid w:val="008A6991"/>
    <w:rsid w:val="008A6D84"/>
    <w:rsid w:val="008A71C1"/>
    <w:rsid w:val="008A781A"/>
    <w:rsid w:val="008B0BE6"/>
    <w:rsid w:val="008B1DDC"/>
    <w:rsid w:val="008B1E2E"/>
    <w:rsid w:val="008B1E67"/>
    <w:rsid w:val="008B1EC9"/>
    <w:rsid w:val="008B28BA"/>
    <w:rsid w:val="008B330C"/>
    <w:rsid w:val="008B3D3A"/>
    <w:rsid w:val="008B4591"/>
    <w:rsid w:val="008B511A"/>
    <w:rsid w:val="008B51D3"/>
    <w:rsid w:val="008B5923"/>
    <w:rsid w:val="008B6A1F"/>
    <w:rsid w:val="008B6C73"/>
    <w:rsid w:val="008B6FE1"/>
    <w:rsid w:val="008B79BE"/>
    <w:rsid w:val="008C0242"/>
    <w:rsid w:val="008C06D5"/>
    <w:rsid w:val="008C1100"/>
    <w:rsid w:val="008C1ACC"/>
    <w:rsid w:val="008C1C8C"/>
    <w:rsid w:val="008C2169"/>
    <w:rsid w:val="008C27D0"/>
    <w:rsid w:val="008C3496"/>
    <w:rsid w:val="008C37FF"/>
    <w:rsid w:val="008C41D7"/>
    <w:rsid w:val="008C4E4E"/>
    <w:rsid w:val="008C530A"/>
    <w:rsid w:val="008C5679"/>
    <w:rsid w:val="008C692F"/>
    <w:rsid w:val="008C6BBC"/>
    <w:rsid w:val="008C6CD8"/>
    <w:rsid w:val="008C7013"/>
    <w:rsid w:val="008C73F5"/>
    <w:rsid w:val="008D0851"/>
    <w:rsid w:val="008D0E95"/>
    <w:rsid w:val="008D1AF6"/>
    <w:rsid w:val="008D1C94"/>
    <w:rsid w:val="008D33CA"/>
    <w:rsid w:val="008D361F"/>
    <w:rsid w:val="008D38F1"/>
    <w:rsid w:val="008D3901"/>
    <w:rsid w:val="008D3F14"/>
    <w:rsid w:val="008D424B"/>
    <w:rsid w:val="008D49EC"/>
    <w:rsid w:val="008D671C"/>
    <w:rsid w:val="008E01F5"/>
    <w:rsid w:val="008E0426"/>
    <w:rsid w:val="008E137A"/>
    <w:rsid w:val="008E18E9"/>
    <w:rsid w:val="008E1AE0"/>
    <w:rsid w:val="008E1F75"/>
    <w:rsid w:val="008E2157"/>
    <w:rsid w:val="008E22FA"/>
    <w:rsid w:val="008E26F2"/>
    <w:rsid w:val="008E2760"/>
    <w:rsid w:val="008E3158"/>
    <w:rsid w:val="008E3BC3"/>
    <w:rsid w:val="008E3FD2"/>
    <w:rsid w:val="008E4C27"/>
    <w:rsid w:val="008E55DC"/>
    <w:rsid w:val="008E6509"/>
    <w:rsid w:val="008E67EB"/>
    <w:rsid w:val="008E6907"/>
    <w:rsid w:val="008E6D40"/>
    <w:rsid w:val="008E6E49"/>
    <w:rsid w:val="008E70C8"/>
    <w:rsid w:val="008E750B"/>
    <w:rsid w:val="008E754F"/>
    <w:rsid w:val="008E7B86"/>
    <w:rsid w:val="008E7DB2"/>
    <w:rsid w:val="008E7EDE"/>
    <w:rsid w:val="008F0070"/>
    <w:rsid w:val="008F074A"/>
    <w:rsid w:val="008F0AB5"/>
    <w:rsid w:val="008F1AC9"/>
    <w:rsid w:val="008F3638"/>
    <w:rsid w:val="008F3654"/>
    <w:rsid w:val="008F4147"/>
    <w:rsid w:val="008F41AD"/>
    <w:rsid w:val="008F423C"/>
    <w:rsid w:val="008F430A"/>
    <w:rsid w:val="008F4DB9"/>
    <w:rsid w:val="008F592B"/>
    <w:rsid w:val="008F6632"/>
    <w:rsid w:val="008F6805"/>
    <w:rsid w:val="008F6971"/>
    <w:rsid w:val="008F6CB7"/>
    <w:rsid w:val="008F6F31"/>
    <w:rsid w:val="008F6FE3"/>
    <w:rsid w:val="008F74DF"/>
    <w:rsid w:val="0090026F"/>
    <w:rsid w:val="00900CCE"/>
    <w:rsid w:val="00901BC7"/>
    <w:rsid w:val="00901D97"/>
    <w:rsid w:val="009021D3"/>
    <w:rsid w:val="0090281E"/>
    <w:rsid w:val="00902896"/>
    <w:rsid w:val="0090306F"/>
    <w:rsid w:val="00903400"/>
    <w:rsid w:val="00903778"/>
    <w:rsid w:val="00903EC3"/>
    <w:rsid w:val="00904379"/>
    <w:rsid w:val="009046CB"/>
    <w:rsid w:val="00904F5A"/>
    <w:rsid w:val="009055F6"/>
    <w:rsid w:val="00905DC8"/>
    <w:rsid w:val="00905F4C"/>
    <w:rsid w:val="00906936"/>
    <w:rsid w:val="00906D07"/>
    <w:rsid w:val="0090773D"/>
    <w:rsid w:val="009104D1"/>
    <w:rsid w:val="00910C2A"/>
    <w:rsid w:val="00910C4C"/>
    <w:rsid w:val="0091110E"/>
    <w:rsid w:val="00911235"/>
    <w:rsid w:val="009127BA"/>
    <w:rsid w:val="009128BB"/>
    <w:rsid w:val="00912D00"/>
    <w:rsid w:val="00912F59"/>
    <w:rsid w:val="00913067"/>
    <w:rsid w:val="00913383"/>
    <w:rsid w:val="00914BA8"/>
    <w:rsid w:val="0091509B"/>
    <w:rsid w:val="00915408"/>
    <w:rsid w:val="0091546E"/>
    <w:rsid w:val="009157F7"/>
    <w:rsid w:val="00915EE3"/>
    <w:rsid w:val="009179B6"/>
    <w:rsid w:val="00917CA5"/>
    <w:rsid w:val="0092031B"/>
    <w:rsid w:val="009203E7"/>
    <w:rsid w:val="009209AA"/>
    <w:rsid w:val="00920B7D"/>
    <w:rsid w:val="00921091"/>
    <w:rsid w:val="009210C8"/>
    <w:rsid w:val="009211D7"/>
    <w:rsid w:val="00921969"/>
    <w:rsid w:val="009227A6"/>
    <w:rsid w:val="00922C8A"/>
    <w:rsid w:val="00922FAF"/>
    <w:rsid w:val="0092366F"/>
    <w:rsid w:val="0092391F"/>
    <w:rsid w:val="0092457F"/>
    <w:rsid w:val="009253E7"/>
    <w:rsid w:val="00925F89"/>
    <w:rsid w:val="009268CB"/>
    <w:rsid w:val="009269E1"/>
    <w:rsid w:val="00926C98"/>
    <w:rsid w:val="00926FA5"/>
    <w:rsid w:val="0092753D"/>
    <w:rsid w:val="00927F2A"/>
    <w:rsid w:val="00930D90"/>
    <w:rsid w:val="00930F17"/>
    <w:rsid w:val="0093218B"/>
    <w:rsid w:val="00932372"/>
    <w:rsid w:val="00932B1D"/>
    <w:rsid w:val="00932EB5"/>
    <w:rsid w:val="009335BA"/>
    <w:rsid w:val="00933EC1"/>
    <w:rsid w:val="009342BE"/>
    <w:rsid w:val="00934E92"/>
    <w:rsid w:val="00936692"/>
    <w:rsid w:val="00936AB4"/>
    <w:rsid w:val="00936B02"/>
    <w:rsid w:val="0093708A"/>
    <w:rsid w:val="009370A5"/>
    <w:rsid w:val="00937A43"/>
    <w:rsid w:val="0094021A"/>
    <w:rsid w:val="009404D5"/>
    <w:rsid w:val="009411B3"/>
    <w:rsid w:val="00941BB9"/>
    <w:rsid w:val="00941C5E"/>
    <w:rsid w:val="00941CF0"/>
    <w:rsid w:val="00941EF9"/>
    <w:rsid w:val="009427CB"/>
    <w:rsid w:val="00942B4A"/>
    <w:rsid w:val="0094304F"/>
    <w:rsid w:val="009436F7"/>
    <w:rsid w:val="00943829"/>
    <w:rsid w:val="00943951"/>
    <w:rsid w:val="00943F43"/>
    <w:rsid w:val="0094531F"/>
    <w:rsid w:val="00945F8B"/>
    <w:rsid w:val="009466D3"/>
    <w:rsid w:val="00946A8A"/>
    <w:rsid w:val="00946EF7"/>
    <w:rsid w:val="00947AED"/>
    <w:rsid w:val="00951D3B"/>
    <w:rsid w:val="009522F3"/>
    <w:rsid w:val="00952504"/>
    <w:rsid w:val="00952523"/>
    <w:rsid w:val="00952ABE"/>
    <w:rsid w:val="009530DB"/>
    <w:rsid w:val="0095353F"/>
    <w:rsid w:val="00953676"/>
    <w:rsid w:val="009536BD"/>
    <w:rsid w:val="009538D7"/>
    <w:rsid w:val="00953AB3"/>
    <w:rsid w:val="009546BD"/>
    <w:rsid w:val="009549AF"/>
    <w:rsid w:val="00955403"/>
    <w:rsid w:val="009556FC"/>
    <w:rsid w:val="0095596A"/>
    <w:rsid w:val="00956768"/>
    <w:rsid w:val="009568E5"/>
    <w:rsid w:val="00957840"/>
    <w:rsid w:val="00957E41"/>
    <w:rsid w:val="00957F18"/>
    <w:rsid w:val="009602FC"/>
    <w:rsid w:val="009603AD"/>
    <w:rsid w:val="0096077F"/>
    <w:rsid w:val="0096080A"/>
    <w:rsid w:val="00961140"/>
    <w:rsid w:val="00961423"/>
    <w:rsid w:val="00961A8B"/>
    <w:rsid w:val="00962443"/>
    <w:rsid w:val="0096259C"/>
    <w:rsid w:val="009635A8"/>
    <w:rsid w:val="009645E7"/>
    <w:rsid w:val="009647C9"/>
    <w:rsid w:val="0096491C"/>
    <w:rsid w:val="00964B83"/>
    <w:rsid w:val="00964E84"/>
    <w:rsid w:val="00965325"/>
    <w:rsid w:val="00965328"/>
    <w:rsid w:val="009655A4"/>
    <w:rsid w:val="00966C5D"/>
    <w:rsid w:val="00967D27"/>
    <w:rsid w:val="00967F99"/>
    <w:rsid w:val="009705EE"/>
    <w:rsid w:val="00970D1C"/>
    <w:rsid w:val="00971150"/>
    <w:rsid w:val="00972DDF"/>
    <w:rsid w:val="00973210"/>
    <w:rsid w:val="0097373A"/>
    <w:rsid w:val="0097376B"/>
    <w:rsid w:val="0097480B"/>
    <w:rsid w:val="00975365"/>
    <w:rsid w:val="009762F8"/>
    <w:rsid w:val="00976BDA"/>
    <w:rsid w:val="00977927"/>
    <w:rsid w:val="00977A9F"/>
    <w:rsid w:val="0098009F"/>
    <w:rsid w:val="00980223"/>
    <w:rsid w:val="0098135C"/>
    <w:rsid w:val="0098156A"/>
    <w:rsid w:val="00983FE4"/>
    <w:rsid w:val="0098422A"/>
    <w:rsid w:val="00984347"/>
    <w:rsid w:val="00984351"/>
    <w:rsid w:val="0098537F"/>
    <w:rsid w:val="00985B99"/>
    <w:rsid w:val="00985CAD"/>
    <w:rsid w:val="00986135"/>
    <w:rsid w:val="009871E2"/>
    <w:rsid w:val="009872A5"/>
    <w:rsid w:val="00990182"/>
    <w:rsid w:val="00991595"/>
    <w:rsid w:val="009921EB"/>
    <w:rsid w:val="0099253C"/>
    <w:rsid w:val="009947FA"/>
    <w:rsid w:val="00994B86"/>
    <w:rsid w:val="009952D0"/>
    <w:rsid w:val="0099584D"/>
    <w:rsid w:val="0099634A"/>
    <w:rsid w:val="00996693"/>
    <w:rsid w:val="00996729"/>
    <w:rsid w:val="00997392"/>
    <w:rsid w:val="00997E65"/>
    <w:rsid w:val="009A0036"/>
    <w:rsid w:val="009A02B2"/>
    <w:rsid w:val="009A16AA"/>
    <w:rsid w:val="009A1CD2"/>
    <w:rsid w:val="009A203A"/>
    <w:rsid w:val="009A24B0"/>
    <w:rsid w:val="009A2819"/>
    <w:rsid w:val="009A34B2"/>
    <w:rsid w:val="009A3B0F"/>
    <w:rsid w:val="009A40B0"/>
    <w:rsid w:val="009A4C7B"/>
    <w:rsid w:val="009A4E18"/>
    <w:rsid w:val="009A6736"/>
    <w:rsid w:val="009A726A"/>
    <w:rsid w:val="009A76E3"/>
    <w:rsid w:val="009A792E"/>
    <w:rsid w:val="009B068E"/>
    <w:rsid w:val="009B1532"/>
    <w:rsid w:val="009B2102"/>
    <w:rsid w:val="009B34CD"/>
    <w:rsid w:val="009B44E2"/>
    <w:rsid w:val="009B4CC8"/>
    <w:rsid w:val="009B5808"/>
    <w:rsid w:val="009B5937"/>
    <w:rsid w:val="009B71C8"/>
    <w:rsid w:val="009B743A"/>
    <w:rsid w:val="009B75C1"/>
    <w:rsid w:val="009C0165"/>
    <w:rsid w:val="009C0E9C"/>
    <w:rsid w:val="009C0FB5"/>
    <w:rsid w:val="009C1335"/>
    <w:rsid w:val="009C18E9"/>
    <w:rsid w:val="009C1AB2"/>
    <w:rsid w:val="009C22CC"/>
    <w:rsid w:val="009C3183"/>
    <w:rsid w:val="009C3B6E"/>
    <w:rsid w:val="009C3BE7"/>
    <w:rsid w:val="009C41DE"/>
    <w:rsid w:val="009C46C3"/>
    <w:rsid w:val="009C55CE"/>
    <w:rsid w:val="009C58E0"/>
    <w:rsid w:val="009C59D5"/>
    <w:rsid w:val="009C5DCB"/>
    <w:rsid w:val="009C65D5"/>
    <w:rsid w:val="009C6B67"/>
    <w:rsid w:val="009C7251"/>
    <w:rsid w:val="009C7F79"/>
    <w:rsid w:val="009D03BD"/>
    <w:rsid w:val="009D0E86"/>
    <w:rsid w:val="009D208E"/>
    <w:rsid w:val="009D22A1"/>
    <w:rsid w:val="009D2444"/>
    <w:rsid w:val="009D27B7"/>
    <w:rsid w:val="009D2AD9"/>
    <w:rsid w:val="009D31EB"/>
    <w:rsid w:val="009D3868"/>
    <w:rsid w:val="009D3EFE"/>
    <w:rsid w:val="009D3FA5"/>
    <w:rsid w:val="009D48BF"/>
    <w:rsid w:val="009D48D2"/>
    <w:rsid w:val="009D4EB8"/>
    <w:rsid w:val="009D4ED8"/>
    <w:rsid w:val="009D5A59"/>
    <w:rsid w:val="009D5C73"/>
    <w:rsid w:val="009D7974"/>
    <w:rsid w:val="009D7B31"/>
    <w:rsid w:val="009D7E2E"/>
    <w:rsid w:val="009D7E71"/>
    <w:rsid w:val="009E03B7"/>
    <w:rsid w:val="009E085B"/>
    <w:rsid w:val="009E0A3A"/>
    <w:rsid w:val="009E1846"/>
    <w:rsid w:val="009E19E6"/>
    <w:rsid w:val="009E1BA3"/>
    <w:rsid w:val="009E1D0F"/>
    <w:rsid w:val="009E223D"/>
    <w:rsid w:val="009E2E91"/>
    <w:rsid w:val="009E461C"/>
    <w:rsid w:val="009E5AE7"/>
    <w:rsid w:val="009E5E98"/>
    <w:rsid w:val="009E60C2"/>
    <w:rsid w:val="009E61CF"/>
    <w:rsid w:val="009E636D"/>
    <w:rsid w:val="009E6553"/>
    <w:rsid w:val="009E67BF"/>
    <w:rsid w:val="009E6B1C"/>
    <w:rsid w:val="009E6CC1"/>
    <w:rsid w:val="009E708E"/>
    <w:rsid w:val="009E75FB"/>
    <w:rsid w:val="009E791B"/>
    <w:rsid w:val="009F0255"/>
    <w:rsid w:val="009F14DE"/>
    <w:rsid w:val="009F32DF"/>
    <w:rsid w:val="009F425E"/>
    <w:rsid w:val="009F46AA"/>
    <w:rsid w:val="009F4C1D"/>
    <w:rsid w:val="009F4F4B"/>
    <w:rsid w:val="009F5B69"/>
    <w:rsid w:val="009F62B9"/>
    <w:rsid w:val="009F7688"/>
    <w:rsid w:val="009F7BAC"/>
    <w:rsid w:val="009F7FB9"/>
    <w:rsid w:val="00A00B1C"/>
    <w:rsid w:val="00A00B80"/>
    <w:rsid w:val="00A00D1C"/>
    <w:rsid w:val="00A011D3"/>
    <w:rsid w:val="00A0171D"/>
    <w:rsid w:val="00A021D1"/>
    <w:rsid w:val="00A025F9"/>
    <w:rsid w:val="00A02EA5"/>
    <w:rsid w:val="00A02F3A"/>
    <w:rsid w:val="00A03E4C"/>
    <w:rsid w:val="00A0402E"/>
    <w:rsid w:val="00A04D5F"/>
    <w:rsid w:val="00A051E2"/>
    <w:rsid w:val="00A051F6"/>
    <w:rsid w:val="00A05903"/>
    <w:rsid w:val="00A068AA"/>
    <w:rsid w:val="00A06BD8"/>
    <w:rsid w:val="00A07F1D"/>
    <w:rsid w:val="00A07FB6"/>
    <w:rsid w:val="00A10289"/>
    <w:rsid w:val="00A11789"/>
    <w:rsid w:val="00A11D43"/>
    <w:rsid w:val="00A1217C"/>
    <w:rsid w:val="00A1251E"/>
    <w:rsid w:val="00A12E83"/>
    <w:rsid w:val="00A13211"/>
    <w:rsid w:val="00A138EE"/>
    <w:rsid w:val="00A13956"/>
    <w:rsid w:val="00A139F5"/>
    <w:rsid w:val="00A13D15"/>
    <w:rsid w:val="00A1570A"/>
    <w:rsid w:val="00A15954"/>
    <w:rsid w:val="00A15E77"/>
    <w:rsid w:val="00A1764D"/>
    <w:rsid w:val="00A20419"/>
    <w:rsid w:val="00A206F5"/>
    <w:rsid w:val="00A20E20"/>
    <w:rsid w:val="00A22043"/>
    <w:rsid w:val="00A223E6"/>
    <w:rsid w:val="00A2281C"/>
    <w:rsid w:val="00A22927"/>
    <w:rsid w:val="00A22FE4"/>
    <w:rsid w:val="00A231F3"/>
    <w:rsid w:val="00A235A0"/>
    <w:rsid w:val="00A23AB4"/>
    <w:rsid w:val="00A24616"/>
    <w:rsid w:val="00A24EE1"/>
    <w:rsid w:val="00A25A93"/>
    <w:rsid w:val="00A25E14"/>
    <w:rsid w:val="00A25F44"/>
    <w:rsid w:val="00A26203"/>
    <w:rsid w:val="00A266B5"/>
    <w:rsid w:val="00A267BE"/>
    <w:rsid w:val="00A268F8"/>
    <w:rsid w:val="00A26D58"/>
    <w:rsid w:val="00A26F5E"/>
    <w:rsid w:val="00A31325"/>
    <w:rsid w:val="00A31A9D"/>
    <w:rsid w:val="00A31F84"/>
    <w:rsid w:val="00A321E4"/>
    <w:rsid w:val="00A32A72"/>
    <w:rsid w:val="00A32A86"/>
    <w:rsid w:val="00A32B9C"/>
    <w:rsid w:val="00A336F9"/>
    <w:rsid w:val="00A33AF9"/>
    <w:rsid w:val="00A33C43"/>
    <w:rsid w:val="00A33F4A"/>
    <w:rsid w:val="00A341BE"/>
    <w:rsid w:val="00A3518D"/>
    <w:rsid w:val="00A35935"/>
    <w:rsid w:val="00A35D5B"/>
    <w:rsid w:val="00A35F48"/>
    <w:rsid w:val="00A365F4"/>
    <w:rsid w:val="00A36A5C"/>
    <w:rsid w:val="00A36AF6"/>
    <w:rsid w:val="00A36B48"/>
    <w:rsid w:val="00A36BA6"/>
    <w:rsid w:val="00A36C7F"/>
    <w:rsid w:val="00A36EB7"/>
    <w:rsid w:val="00A36F79"/>
    <w:rsid w:val="00A3727D"/>
    <w:rsid w:val="00A37E94"/>
    <w:rsid w:val="00A4019F"/>
    <w:rsid w:val="00A40BC7"/>
    <w:rsid w:val="00A40D4F"/>
    <w:rsid w:val="00A411F2"/>
    <w:rsid w:val="00A41422"/>
    <w:rsid w:val="00A415FB"/>
    <w:rsid w:val="00A41A0D"/>
    <w:rsid w:val="00A422C5"/>
    <w:rsid w:val="00A44AB4"/>
    <w:rsid w:val="00A44B64"/>
    <w:rsid w:val="00A44F76"/>
    <w:rsid w:val="00A461E8"/>
    <w:rsid w:val="00A461F5"/>
    <w:rsid w:val="00A466F4"/>
    <w:rsid w:val="00A475A6"/>
    <w:rsid w:val="00A47D80"/>
    <w:rsid w:val="00A47D98"/>
    <w:rsid w:val="00A47FB5"/>
    <w:rsid w:val="00A50D17"/>
    <w:rsid w:val="00A510D2"/>
    <w:rsid w:val="00A5161A"/>
    <w:rsid w:val="00A51AC7"/>
    <w:rsid w:val="00A5206D"/>
    <w:rsid w:val="00A521CD"/>
    <w:rsid w:val="00A5294B"/>
    <w:rsid w:val="00A52EA8"/>
    <w:rsid w:val="00A53132"/>
    <w:rsid w:val="00A53EB0"/>
    <w:rsid w:val="00A543FD"/>
    <w:rsid w:val="00A54FE2"/>
    <w:rsid w:val="00A55245"/>
    <w:rsid w:val="00A55D19"/>
    <w:rsid w:val="00A55F3D"/>
    <w:rsid w:val="00A560CA"/>
    <w:rsid w:val="00A563F2"/>
    <w:rsid w:val="00A566E8"/>
    <w:rsid w:val="00A56BA3"/>
    <w:rsid w:val="00A56FCB"/>
    <w:rsid w:val="00A57623"/>
    <w:rsid w:val="00A576D1"/>
    <w:rsid w:val="00A57776"/>
    <w:rsid w:val="00A5782D"/>
    <w:rsid w:val="00A57A69"/>
    <w:rsid w:val="00A60AFE"/>
    <w:rsid w:val="00A60CC0"/>
    <w:rsid w:val="00A61A12"/>
    <w:rsid w:val="00A62657"/>
    <w:rsid w:val="00A63BB7"/>
    <w:rsid w:val="00A63E3D"/>
    <w:rsid w:val="00A640B6"/>
    <w:rsid w:val="00A643BB"/>
    <w:rsid w:val="00A66A57"/>
    <w:rsid w:val="00A66C2E"/>
    <w:rsid w:val="00A66EAC"/>
    <w:rsid w:val="00A673EB"/>
    <w:rsid w:val="00A6778B"/>
    <w:rsid w:val="00A6791C"/>
    <w:rsid w:val="00A67A65"/>
    <w:rsid w:val="00A70B9B"/>
    <w:rsid w:val="00A70FEB"/>
    <w:rsid w:val="00A71448"/>
    <w:rsid w:val="00A71478"/>
    <w:rsid w:val="00A71ED5"/>
    <w:rsid w:val="00A72D5C"/>
    <w:rsid w:val="00A72F76"/>
    <w:rsid w:val="00A7332B"/>
    <w:rsid w:val="00A7341B"/>
    <w:rsid w:val="00A7366D"/>
    <w:rsid w:val="00A73843"/>
    <w:rsid w:val="00A73880"/>
    <w:rsid w:val="00A73914"/>
    <w:rsid w:val="00A73A32"/>
    <w:rsid w:val="00A73ABE"/>
    <w:rsid w:val="00A73AE7"/>
    <w:rsid w:val="00A73B75"/>
    <w:rsid w:val="00A7422C"/>
    <w:rsid w:val="00A74B25"/>
    <w:rsid w:val="00A750E3"/>
    <w:rsid w:val="00A752EB"/>
    <w:rsid w:val="00A758C8"/>
    <w:rsid w:val="00A75B27"/>
    <w:rsid w:val="00A75F9D"/>
    <w:rsid w:val="00A76285"/>
    <w:rsid w:val="00A764BD"/>
    <w:rsid w:val="00A76B34"/>
    <w:rsid w:val="00A80CFB"/>
    <w:rsid w:val="00A810BB"/>
    <w:rsid w:val="00A811F0"/>
    <w:rsid w:val="00A813A1"/>
    <w:rsid w:val="00A83308"/>
    <w:rsid w:val="00A852B4"/>
    <w:rsid w:val="00A853FF"/>
    <w:rsid w:val="00A85A35"/>
    <w:rsid w:val="00A85ABE"/>
    <w:rsid w:val="00A86723"/>
    <w:rsid w:val="00A86A42"/>
    <w:rsid w:val="00A86CFA"/>
    <w:rsid w:val="00A86ECC"/>
    <w:rsid w:val="00A86FCC"/>
    <w:rsid w:val="00A8706C"/>
    <w:rsid w:val="00A870FB"/>
    <w:rsid w:val="00A87B2A"/>
    <w:rsid w:val="00A90624"/>
    <w:rsid w:val="00A917F7"/>
    <w:rsid w:val="00A92431"/>
    <w:rsid w:val="00A93290"/>
    <w:rsid w:val="00A94271"/>
    <w:rsid w:val="00A94A12"/>
    <w:rsid w:val="00A96559"/>
    <w:rsid w:val="00A9679C"/>
    <w:rsid w:val="00A96926"/>
    <w:rsid w:val="00A96C4E"/>
    <w:rsid w:val="00A9781B"/>
    <w:rsid w:val="00A97C7D"/>
    <w:rsid w:val="00A97CB1"/>
    <w:rsid w:val="00AA011F"/>
    <w:rsid w:val="00AA0221"/>
    <w:rsid w:val="00AA04B6"/>
    <w:rsid w:val="00AA0C5A"/>
    <w:rsid w:val="00AA1B2D"/>
    <w:rsid w:val="00AA3431"/>
    <w:rsid w:val="00AA34FD"/>
    <w:rsid w:val="00AA4B3E"/>
    <w:rsid w:val="00AA6722"/>
    <w:rsid w:val="00AA6911"/>
    <w:rsid w:val="00AA705A"/>
    <w:rsid w:val="00AA710D"/>
    <w:rsid w:val="00AA7560"/>
    <w:rsid w:val="00AB00EE"/>
    <w:rsid w:val="00AB01F1"/>
    <w:rsid w:val="00AB132A"/>
    <w:rsid w:val="00AB3135"/>
    <w:rsid w:val="00AB3317"/>
    <w:rsid w:val="00AB37B4"/>
    <w:rsid w:val="00AB37B7"/>
    <w:rsid w:val="00AB3E69"/>
    <w:rsid w:val="00AB4A33"/>
    <w:rsid w:val="00AB4C34"/>
    <w:rsid w:val="00AB5850"/>
    <w:rsid w:val="00AB62A0"/>
    <w:rsid w:val="00AB637D"/>
    <w:rsid w:val="00AB6B89"/>
    <w:rsid w:val="00AB6D25"/>
    <w:rsid w:val="00AB6D9B"/>
    <w:rsid w:val="00AB72CA"/>
    <w:rsid w:val="00AB7B3A"/>
    <w:rsid w:val="00AB7BE5"/>
    <w:rsid w:val="00AB7E3B"/>
    <w:rsid w:val="00AC11FB"/>
    <w:rsid w:val="00AC13AF"/>
    <w:rsid w:val="00AC16C5"/>
    <w:rsid w:val="00AC28F2"/>
    <w:rsid w:val="00AC2BAC"/>
    <w:rsid w:val="00AC3527"/>
    <w:rsid w:val="00AC4085"/>
    <w:rsid w:val="00AC4CDB"/>
    <w:rsid w:val="00AC5106"/>
    <w:rsid w:val="00AC5CC2"/>
    <w:rsid w:val="00AC6605"/>
    <w:rsid w:val="00AC7586"/>
    <w:rsid w:val="00AC7777"/>
    <w:rsid w:val="00AC7F81"/>
    <w:rsid w:val="00AD032A"/>
    <w:rsid w:val="00AD085B"/>
    <w:rsid w:val="00AD1E75"/>
    <w:rsid w:val="00AD1F11"/>
    <w:rsid w:val="00AD2A26"/>
    <w:rsid w:val="00AD300C"/>
    <w:rsid w:val="00AD3E7F"/>
    <w:rsid w:val="00AD3F2E"/>
    <w:rsid w:val="00AD44DF"/>
    <w:rsid w:val="00AD4767"/>
    <w:rsid w:val="00AD4F43"/>
    <w:rsid w:val="00AD6428"/>
    <w:rsid w:val="00AD699B"/>
    <w:rsid w:val="00AD7219"/>
    <w:rsid w:val="00AE0403"/>
    <w:rsid w:val="00AE0502"/>
    <w:rsid w:val="00AE1068"/>
    <w:rsid w:val="00AE110F"/>
    <w:rsid w:val="00AE14B1"/>
    <w:rsid w:val="00AE19FD"/>
    <w:rsid w:val="00AE2434"/>
    <w:rsid w:val="00AE269F"/>
    <w:rsid w:val="00AE2ADF"/>
    <w:rsid w:val="00AE2D4B"/>
    <w:rsid w:val="00AE432E"/>
    <w:rsid w:val="00AE464A"/>
    <w:rsid w:val="00AE4822"/>
    <w:rsid w:val="00AE4E98"/>
    <w:rsid w:val="00AE4F99"/>
    <w:rsid w:val="00AE62E6"/>
    <w:rsid w:val="00AE6D71"/>
    <w:rsid w:val="00AE7BDE"/>
    <w:rsid w:val="00AF0440"/>
    <w:rsid w:val="00AF051A"/>
    <w:rsid w:val="00AF2781"/>
    <w:rsid w:val="00AF48F2"/>
    <w:rsid w:val="00AF4F89"/>
    <w:rsid w:val="00AF5350"/>
    <w:rsid w:val="00AF5E70"/>
    <w:rsid w:val="00AF6313"/>
    <w:rsid w:val="00B00EB5"/>
    <w:rsid w:val="00B00F58"/>
    <w:rsid w:val="00B01C23"/>
    <w:rsid w:val="00B030A8"/>
    <w:rsid w:val="00B03199"/>
    <w:rsid w:val="00B033BB"/>
    <w:rsid w:val="00B03C1A"/>
    <w:rsid w:val="00B04B45"/>
    <w:rsid w:val="00B05754"/>
    <w:rsid w:val="00B0588C"/>
    <w:rsid w:val="00B05A32"/>
    <w:rsid w:val="00B05B24"/>
    <w:rsid w:val="00B062C7"/>
    <w:rsid w:val="00B06495"/>
    <w:rsid w:val="00B06AC7"/>
    <w:rsid w:val="00B06B0F"/>
    <w:rsid w:val="00B074A1"/>
    <w:rsid w:val="00B075EB"/>
    <w:rsid w:val="00B0783E"/>
    <w:rsid w:val="00B10154"/>
    <w:rsid w:val="00B10D73"/>
    <w:rsid w:val="00B11AD8"/>
    <w:rsid w:val="00B1200C"/>
    <w:rsid w:val="00B12184"/>
    <w:rsid w:val="00B126B5"/>
    <w:rsid w:val="00B145E2"/>
    <w:rsid w:val="00B14952"/>
    <w:rsid w:val="00B1514F"/>
    <w:rsid w:val="00B15EBB"/>
    <w:rsid w:val="00B161C1"/>
    <w:rsid w:val="00B16943"/>
    <w:rsid w:val="00B16A42"/>
    <w:rsid w:val="00B16C73"/>
    <w:rsid w:val="00B16F73"/>
    <w:rsid w:val="00B172DF"/>
    <w:rsid w:val="00B200E7"/>
    <w:rsid w:val="00B200FA"/>
    <w:rsid w:val="00B206A0"/>
    <w:rsid w:val="00B206B7"/>
    <w:rsid w:val="00B210BF"/>
    <w:rsid w:val="00B211FA"/>
    <w:rsid w:val="00B2134C"/>
    <w:rsid w:val="00B21431"/>
    <w:rsid w:val="00B21986"/>
    <w:rsid w:val="00B221E5"/>
    <w:rsid w:val="00B224F9"/>
    <w:rsid w:val="00B23412"/>
    <w:rsid w:val="00B23D69"/>
    <w:rsid w:val="00B24A8B"/>
    <w:rsid w:val="00B24CD2"/>
    <w:rsid w:val="00B24E11"/>
    <w:rsid w:val="00B24E62"/>
    <w:rsid w:val="00B25B97"/>
    <w:rsid w:val="00B25FE1"/>
    <w:rsid w:val="00B261B5"/>
    <w:rsid w:val="00B2691D"/>
    <w:rsid w:val="00B26EB2"/>
    <w:rsid w:val="00B27092"/>
    <w:rsid w:val="00B27B75"/>
    <w:rsid w:val="00B30301"/>
    <w:rsid w:val="00B31E5A"/>
    <w:rsid w:val="00B31F85"/>
    <w:rsid w:val="00B321E5"/>
    <w:rsid w:val="00B34383"/>
    <w:rsid w:val="00B34F91"/>
    <w:rsid w:val="00B350A0"/>
    <w:rsid w:val="00B35AB8"/>
    <w:rsid w:val="00B35DDE"/>
    <w:rsid w:val="00B35F4F"/>
    <w:rsid w:val="00B362F8"/>
    <w:rsid w:val="00B366F3"/>
    <w:rsid w:val="00B36FEF"/>
    <w:rsid w:val="00B37483"/>
    <w:rsid w:val="00B37F45"/>
    <w:rsid w:val="00B407A6"/>
    <w:rsid w:val="00B41A2C"/>
    <w:rsid w:val="00B41AB7"/>
    <w:rsid w:val="00B42674"/>
    <w:rsid w:val="00B427C1"/>
    <w:rsid w:val="00B4298B"/>
    <w:rsid w:val="00B42FDE"/>
    <w:rsid w:val="00B43512"/>
    <w:rsid w:val="00B43E3C"/>
    <w:rsid w:val="00B445D6"/>
    <w:rsid w:val="00B447C4"/>
    <w:rsid w:val="00B4481E"/>
    <w:rsid w:val="00B44F0A"/>
    <w:rsid w:val="00B45428"/>
    <w:rsid w:val="00B46CA6"/>
    <w:rsid w:val="00B47305"/>
    <w:rsid w:val="00B47433"/>
    <w:rsid w:val="00B4786B"/>
    <w:rsid w:val="00B50344"/>
    <w:rsid w:val="00B50AEE"/>
    <w:rsid w:val="00B511F2"/>
    <w:rsid w:val="00B51648"/>
    <w:rsid w:val="00B51E9F"/>
    <w:rsid w:val="00B52697"/>
    <w:rsid w:val="00B5274C"/>
    <w:rsid w:val="00B52C5A"/>
    <w:rsid w:val="00B52CD2"/>
    <w:rsid w:val="00B52D67"/>
    <w:rsid w:val="00B52E1C"/>
    <w:rsid w:val="00B53BF2"/>
    <w:rsid w:val="00B55F11"/>
    <w:rsid w:val="00B560E4"/>
    <w:rsid w:val="00B562B0"/>
    <w:rsid w:val="00B5648D"/>
    <w:rsid w:val="00B56BF2"/>
    <w:rsid w:val="00B56BFB"/>
    <w:rsid w:val="00B56C44"/>
    <w:rsid w:val="00B56D99"/>
    <w:rsid w:val="00B57CCE"/>
    <w:rsid w:val="00B57E6A"/>
    <w:rsid w:val="00B6005B"/>
    <w:rsid w:val="00B607E7"/>
    <w:rsid w:val="00B60A8B"/>
    <w:rsid w:val="00B60A9B"/>
    <w:rsid w:val="00B60BE8"/>
    <w:rsid w:val="00B60C8B"/>
    <w:rsid w:val="00B60CAA"/>
    <w:rsid w:val="00B60CAC"/>
    <w:rsid w:val="00B60EB4"/>
    <w:rsid w:val="00B62C22"/>
    <w:rsid w:val="00B6344B"/>
    <w:rsid w:val="00B63913"/>
    <w:rsid w:val="00B63A3C"/>
    <w:rsid w:val="00B6450F"/>
    <w:rsid w:val="00B653AB"/>
    <w:rsid w:val="00B653BB"/>
    <w:rsid w:val="00B653FD"/>
    <w:rsid w:val="00B65F9E"/>
    <w:rsid w:val="00B66839"/>
    <w:rsid w:val="00B66B19"/>
    <w:rsid w:val="00B70B43"/>
    <w:rsid w:val="00B71535"/>
    <w:rsid w:val="00B7359B"/>
    <w:rsid w:val="00B73851"/>
    <w:rsid w:val="00B73A3E"/>
    <w:rsid w:val="00B74370"/>
    <w:rsid w:val="00B7448A"/>
    <w:rsid w:val="00B74F89"/>
    <w:rsid w:val="00B76725"/>
    <w:rsid w:val="00B76EA1"/>
    <w:rsid w:val="00B77B0B"/>
    <w:rsid w:val="00B805EF"/>
    <w:rsid w:val="00B80676"/>
    <w:rsid w:val="00B80DCF"/>
    <w:rsid w:val="00B81944"/>
    <w:rsid w:val="00B81F95"/>
    <w:rsid w:val="00B820CE"/>
    <w:rsid w:val="00B82221"/>
    <w:rsid w:val="00B82B85"/>
    <w:rsid w:val="00B831D6"/>
    <w:rsid w:val="00B83A0E"/>
    <w:rsid w:val="00B847C2"/>
    <w:rsid w:val="00B848F9"/>
    <w:rsid w:val="00B8526D"/>
    <w:rsid w:val="00B85801"/>
    <w:rsid w:val="00B86633"/>
    <w:rsid w:val="00B8712B"/>
    <w:rsid w:val="00B87436"/>
    <w:rsid w:val="00B90948"/>
    <w:rsid w:val="00B914E9"/>
    <w:rsid w:val="00B918CA"/>
    <w:rsid w:val="00B92CDE"/>
    <w:rsid w:val="00B94121"/>
    <w:rsid w:val="00B94373"/>
    <w:rsid w:val="00B9564E"/>
    <w:rsid w:val="00B956EE"/>
    <w:rsid w:val="00B95BFE"/>
    <w:rsid w:val="00B97210"/>
    <w:rsid w:val="00B97DCA"/>
    <w:rsid w:val="00B97E8A"/>
    <w:rsid w:val="00BA00A0"/>
    <w:rsid w:val="00BA0245"/>
    <w:rsid w:val="00BA0895"/>
    <w:rsid w:val="00BA09FF"/>
    <w:rsid w:val="00BA0DC8"/>
    <w:rsid w:val="00BA0FAF"/>
    <w:rsid w:val="00BA1213"/>
    <w:rsid w:val="00BA1328"/>
    <w:rsid w:val="00BA272B"/>
    <w:rsid w:val="00BA2BA1"/>
    <w:rsid w:val="00BA3B38"/>
    <w:rsid w:val="00BA3E13"/>
    <w:rsid w:val="00BA437D"/>
    <w:rsid w:val="00BA4A82"/>
    <w:rsid w:val="00BA62DF"/>
    <w:rsid w:val="00BA6475"/>
    <w:rsid w:val="00BA6E49"/>
    <w:rsid w:val="00BA6E7F"/>
    <w:rsid w:val="00BA7208"/>
    <w:rsid w:val="00BA73E2"/>
    <w:rsid w:val="00BA7944"/>
    <w:rsid w:val="00BB00CF"/>
    <w:rsid w:val="00BB0131"/>
    <w:rsid w:val="00BB127F"/>
    <w:rsid w:val="00BB20E3"/>
    <w:rsid w:val="00BB2EB4"/>
    <w:rsid w:val="00BB2F29"/>
    <w:rsid w:val="00BB2FFB"/>
    <w:rsid w:val="00BB37E6"/>
    <w:rsid w:val="00BB3FFB"/>
    <w:rsid w:val="00BB4795"/>
    <w:rsid w:val="00BB67A7"/>
    <w:rsid w:val="00BB6EB5"/>
    <w:rsid w:val="00BB7375"/>
    <w:rsid w:val="00BB73A8"/>
    <w:rsid w:val="00BB7783"/>
    <w:rsid w:val="00BB77CB"/>
    <w:rsid w:val="00BB784B"/>
    <w:rsid w:val="00BB7C37"/>
    <w:rsid w:val="00BC1295"/>
    <w:rsid w:val="00BC1C65"/>
    <w:rsid w:val="00BC30E5"/>
    <w:rsid w:val="00BC3226"/>
    <w:rsid w:val="00BC32E1"/>
    <w:rsid w:val="00BC3899"/>
    <w:rsid w:val="00BC399A"/>
    <w:rsid w:val="00BC4B59"/>
    <w:rsid w:val="00BC4CA6"/>
    <w:rsid w:val="00BC4DE3"/>
    <w:rsid w:val="00BC512B"/>
    <w:rsid w:val="00BC62B2"/>
    <w:rsid w:val="00BC6B1C"/>
    <w:rsid w:val="00BC6C00"/>
    <w:rsid w:val="00BC6D91"/>
    <w:rsid w:val="00BC717A"/>
    <w:rsid w:val="00BC77E9"/>
    <w:rsid w:val="00BD0AF7"/>
    <w:rsid w:val="00BD0E36"/>
    <w:rsid w:val="00BD11FA"/>
    <w:rsid w:val="00BD26FA"/>
    <w:rsid w:val="00BD3265"/>
    <w:rsid w:val="00BD3AD3"/>
    <w:rsid w:val="00BD4458"/>
    <w:rsid w:val="00BD4560"/>
    <w:rsid w:val="00BD4BD5"/>
    <w:rsid w:val="00BD4E33"/>
    <w:rsid w:val="00BD5D93"/>
    <w:rsid w:val="00BD5F21"/>
    <w:rsid w:val="00BD6CBF"/>
    <w:rsid w:val="00BD6FA3"/>
    <w:rsid w:val="00BE0358"/>
    <w:rsid w:val="00BE193A"/>
    <w:rsid w:val="00BE25CD"/>
    <w:rsid w:val="00BE289F"/>
    <w:rsid w:val="00BE296E"/>
    <w:rsid w:val="00BE29A1"/>
    <w:rsid w:val="00BE49AD"/>
    <w:rsid w:val="00BE5923"/>
    <w:rsid w:val="00BE6128"/>
    <w:rsid w:val="00BE6264"/>
    <w:rsid w:val="00BE6E57"/>
    <w:rsid w:val="00BE7644"/>
    <w:rsid w:val="00BF1100"/>
    <w:rsid w:val="00BF19AC"/>
    <w:rsid w:val="00BF1A32"/>
    <w:rsid w:val="00BF21DD"/>
    <w:rsid w:val="00BF2265"/>
    <w:rsid w:val="00BF2AF3"/>
    <w:rsid w:val="00BF2BE0"/>
    <w:rsid w:val="00BF2D3C"/>
    <w:rsid w:val="00BF2F2C"/>
    <w:rsid w:val="00BF38E3"/>
    <w:rsid w:val="00BF3EC2"/>
    <w:rsid w:val="00BF3F8A"/>
    <w:rsid w:val="00BF4383"/>
    <w:rsid w:val="00BF470A"/>
    <w:rsid w:val="00BF4924"/>
    <w:rsid w:val="00BF584F"/>
    <w:rsid w:val="00BF5D18"/>
    <w:rsid w:val="00BF5F01"/>
    <w:rsid w:val="00BF6D52"/>
    <w:rsid w:val="00BF7CA3"/>
    <w:rsid w:val="00C00040"/>
    <w:rsid w:val="00C0015B"/>
    <w:rsid w:val="00C00164"/>
    <w:rsid w:val="00C0016B"/>
    <w:rsid w:val="00C00AD7"/>
    <w:rsid w:val="00C01805"/>
    <w:rsid w:val="00C0207B"/>
    <w:rsid w:val="00C02B99"/>
    <w:rsid w:val="00C030DE"/>
    <w:rsid w:val="00C03EE1"/>
    <w:rsid w:val="00C040ED"/>
    <w:rsid w:val="00C04116"/>
    <w:rsid w:val="00C045D8"/>
    <w:rsid w:val="00C045E4"/>
    <w:rsid w:val="00C04CDF"/>
    <w:rsid w:val="00C053B3"/>
    <w:rsid w:val="00C06378"/>
    <w:rsid w:val="00C064E4"/>
    <w:rsid w:val="00C06507"/>
    <w:rsid w:val="00C07F0B"/>
    <w:rsid w:val="00C07FA4"/>
    <w:rsid w:val="00C11646"/>
    <w:rsid w:val="00C116FD"/>
    <w:rsid w:val="00C12DDE"/>
    <w:rsid w:val="00C13BC5"/>
    <w:rsid w:val="00C14757"/>
    <w:rsid w:val="00C14AAE"/>
    <w:rsid w:val="00C15E8A"/>
    <w:rsid w:val="00C163BD"/>
    <w:rsid w:val="00C16FE4"/>
    <w:rsid w:val="00C17BB9"/>
    <w:rsid w:val="00C20076"/>
    <w:rsid w:val="00C20E2E"/>
    <w:rsid w:val="00C22105"/>
    <w:rsid w:val="00C22830"/>
    <w:rsid w:val="00C22ACA"/>
    <w:rsid w:val="00C2352A"/>
    <w:rsid w:val="00C23AAF"/>
    <w:rsid w:val="00C244B6"/>
    <w:rsid w:val="00C24708"/>
    <w:rsid w:val="00C248C1"/>
    <w:rsid w:val="00C25805"/>
    <w:rsid w:val="00C2702E"/>
    <w:rsid w:val="00C2740D"/>
    <w:rsid w:val="00C27648"/>
    <w:rsid w:val="00C27A0B"/>
    <w:rsid w:val="00C27BE6"/>
    <w:rsid w:val="00C27CD1"/>
    <w:rsid w:val="00C314F2"/>
    <w:rsid w:val="00C3244F"/>
    <w:rsid w:val="00C32A13"/>
    <w:rsid w:val="00C33649"/>
    <w:rsid w:val="00C33E8C"/>
    <w:rsid w:val="00C345E8"/>
    <w:rsid w:val="00C3598D"/>
    <w:rsid w:val="00C35FC8"/>
    <w:rsid w:val="00C36365"/>
    <w:rsid w:val="00C36EA1"/>
    <w:rsid w:val="00C372D6"/>
    <w:rsid w:val="00C3739E"/>
    <w:rsid w:val="00C37609"/>
    <w:rsid w:val="00C40D4F"/>
    <w:rsid w:val="00C40E24"/>
    <w:rsid w:val="00C411ED"/>
    <w:rsid w:val="00C4124E"/>
    <w:rsid w:val="00C41277"/>
    <w:rsid w:val="00C412F7"/>
    <w:rsid w:val="00C417B2"/>
    <w:rsid w:val="00C42219"/>
    <w:rsid w:val="00C4267E"/>
    <w:rsid w:val="00C427AE"/>
    <w:rsid w:val="00C42B6B"/>
    <w:rsid w:val="00C42E05"/>
    <w:rsid w:val="00C43B21"/>
    <w:rsid w:val="00C4481B"/>
    <w:rsid w:val="00C45334"/>
    <w:rsid w:val="00C45FA6"/>
    <w:rsid w:val="00C465CF"/>
    <w:rsid w:val="00C46C22"/>
    <w:rsid w:val="00C47261"/>
    <w:rsid w:val="00C4751D"/>
    <w:rsid w:val="00C4786E"/>
    <w:rsid w:val="00C47FC4"/>
    <w:rsid w:val="00C51A8A"/>
    <w:rsid w:val="00C51C6B"/>
    <w:rsid w:val="00C51F98"/>
    <w:rsid w:val="00C5230F"/>
    <w:rsid w:val="00C537C3"/>
    <w:rsid w:val="00C5394E"/>
    <w:rsid w:val="00C548B8"/>
    <w:rsid w:val="00C549B0"/>
    <w:rsid w:val="00C550DE"/>
    <w:rsid w:val="00C5561A"/>
    <w:rsid w:val="00C57069"/>
    <w:rsid w:val="00C5773C"/>
    <w:rsid w:val="00C577E7"/>
    <w:rsid w:val="00C579CE"/>
    <w:rsid w:val="00C60C4B"/>
    <w:rsid w:val="00C60D63"/>
    <w:rsid w:val="00C6125C"/>
    <w:rsid w:val="00C614D2"/>
    <w:rsid w:val="00C615DF"/>
    <w:rsid w:val="00C617A6"/>
    <w:rsid w:val="00C6198C"/>
    <w:rsid w:val="00C62401"/>
    <w:rsid w:val="00C63766"/>
    <w:rsid w:val="00C63D66"/>
    <w:rsid w:val="00C648ED"/>
    <w:rsid w:val="00C64A37"/>
    <w:rsid w:val="00C64D56"/>
    <w:rsid w:val="00C652B3"/>
    <w:rsid w:val="00C65676"/>
    <w:rsid w:val="00C6574D"/>
    <w:rsid w:val="00C6629C"/>
    <w:rsid w:val="00C668EA"/>
    <w:rsid w:val="00C67861"/>
    <w:rsid w:val="00C67FB9"/>
    <w:rsid w:val="00C70AFF"/>
    <w:rsid w:val="00C7158E"/>
    <w:rsid w:val="00C715FF"/>
    <w:rsid w:val="00C7250B"/>
    <w:rsid w:val="00C7295D"/>
    <w:rsid w:val="00C7322A"/>
    <w:rsid w:val="00C7346B"/>
    <w:rsid w:val="00C73BAE"/>
    <w:rsid w:val="00C73C19"/>
    <w:rsid w:val="00C74257"/>
    <w:rsid w:val="00C75437"/>
    <w:rsid w:val="00C75714"/>
    <w:rsid w:val="00C75940"/>
    <w:rsid w:val="00C75CAD"/>
    <w:rsid w:val="00C75DE5"/>
    <w:rsid w:val="00C76242"/>
    <w:rsid w:val="00C76DB1"/>
    <w:rsid w:val="00C7757B"/>
    <w:rsid w:val="00C775FA"/>
    <w:rsid w:val="00C77A26"/>
    <w:rsid w:val="00C77C0E"/>
    <w:rsid w:val="00C82254"/>
    <w:rsid w:val="00C8318C"/>
    <w:rsid w:val="00C8330E"/>
    <w:rsid w:val="00C839F0"/>
    <w:rsid w:val="00C83F3D"/>
    <w:rsid w:val="00C841F8"/>
    <w:rsid w:val="00C850B6"/>
    <w:rsid w:val="00C851D2"/>
    <w:rsid w:val="00C8721D"/>
    <w:rsid w:val="00C90344"/>
    <w:rsid w:val="00C90C85"/>
    <w:rsid w:val="00C91648"/>
    <w:rsid w:val="00C91687"/>
    <w:rsid w:val="00C91718"/>
    <w:rsid w:val="00C9206D"/>
    <w:rsid w:val="00C92481"/>
    <w:rsid w:val="00C924A8"/>
    <w:rsid w:val="00C926EB"/>
    <w:rsid w:val="00C92C67"/>
    <w:rsid w:val="00C9305A"/>
    <w:rsid w:val="00C932FB"/>
    <w:rsid w:val="00C9373E"/>
    <w:rsid w:val="00C93EB3"/>
    <w:rsid w:val="00C942D0"/>
    <w:rsid w:val="00C945FE"/>
    <w:rsid w:val="00C94819"/>
    <w:rsid w:val="00C94E93"/>
    <w:rsid w:val="00C96473"/>
    <w:rsid w:val="00C96EF0"/>
    <w:rsid w:val="00C96FAA"/>
    <w:rsid w:val="00C97A04"/>
    <w:rsid w:val="00C97B98"/>
    <w:rsid w:val="00C97D7D"/>
    <w:rsid w:val="00C97E85"/>
    <w:rsid w:val="00CA026C"/>
    <w:rsid w:val="00CA0495"/>
    <w:rsid w:val="00CA107B"/>
    <w:rsid w:val="00CA14E6"/>
    <w:rsid w:val="00CA1645"/>
    <w:rsid w:val="00CA23F5"/>
    <w:rsid w:val="00CA2427"/>
    <w:rsid w:val="00CA38AE"/>
    <w:rsid w:val="00CA3EDE"/>
    <w:rsid w:val="00CA484D"/>
    <w:rsid w:val="00CA4A38"/>
    <w:rsid w:val="00CA5FA1"/>
    <w:rsid w:val="00CA636F"/>
    <w:rsid w:val="00CA6407"/>
    <w:rsid w:val="00CA6856"/>
    <w:rsid w:val="00CA6E34"/>
    <w:rsid w:val="00CA6E97"/>
    <w:rsid w:val="00CA7E40"/>
    <w:rsid w:val="00CB047A"/>
    <w:rsid w:val="00CB0DAC"/>
    <w:rsid w:val="00CB0E62"/>
    <w:rsid w:val="00CB2CE6"/>
    <w:rsid w:val="00CB3A5F"/>
    <w:rsid w:val="00CB43E1"/>
    <w:rsid w:val="00CB4742"/>
    <w:rsid w:val="00CB47ED"/>
    <w:rsid w:val="00CB5572"/>
    <w:rsid w:val="00CB57DE"/>
    <w:rsid w:val="00CB61AE"/>
    <w:rsid w:val="00CB691F"/>
    <w:rsid w:val="00CB7623"/>
    <w:rsid w:val="00CB77D4"/>
    <w:rsid w:val="00CB7B94"/>
    <w:rsid w:val="00CB7C5E"/>
    <w:rsid w:val="00CB7CC0"/>
    <w:rsid w:val="00CC01C5"/>
    <w:rsid w:val="00CC15DD"/>
    <w:rsid w:val="00CC1AC4"/>
    <w:rsid w:val="00CC20A7"/>
    <w:rsid w:val="00CC25D0"/>
    <w:rsid w:val="00CC2DF1"/>
    <w:rsid w:val="00CC39DC"/>
    <w:rsid w:val="00CC3FFE"/>
    <w:rsid w:val="00CC4B15"/>
    <w:rsid w:val="00CC4D5F"/>
    <w:rsid w:val="00CC4F14"/>
    <w:rsid w:val="00CC51C5"/>
    <w:rsid w:val="00CC5481"/>
    <w:rsid w:val="00CC57DD"/>
    <w:rsid w:val="00CC5A92"/>
    <w:rsid w:val="00CC610C"/>
    <w:rsid w:val="00CC6E4A"/>
    <w:rsid w:val="00CC739E"/>
    <w:rsid w:val="00CC7714"/>
    <w:rsid w:val="00CC7A47"/>
    <w:rsid w:val="00CC7E7A"/>
    <w:rsid w:val="00CD0D4B"/>
    <w:rsid w:val="00CD0E16"/>
    <w:rsid w:val="00CD12D4"/>
    <w:rsid w:val="00CD1BB3"/>
    <w:rsid w:val="00CD3020"/>
    <w:rsid w:val="00CD3028"/>
    <w:rsid w:val="00CD3522"/>
    <w:rsid w:val="00CD367F"/>
    <w:rsid w:val="00CD38F7"/>
    <w:rsid w:val="00CD3CEA"/>
    <w:rsid w:val="00CD3F77"/>
    <w:rsid w:val="00CD44CC"/>
    <w:rsid w:val="00CD5579"/>
    <w:rsid w:val="00CD58B7"/>
    <w:rsid w:val="00CD6D4C"/>
    <w:rsid w:val="00CD76E3"/>
    <w:rsid w:val="00CD790C"/>
    <w:rsid w:val="00CD795B"/>
    <w:rsid w:val="00CD7EAB"/>
    <w:rsid w:val="00CE06F1"/>
    <w:rsid w:val="00CE104F"/>
    <w:rsid w:val="00CE11EB"/>
    <w:rsid w:val="00CE2BA3"/>
    <w:rsid w:val="00CE42E4"/>
    <w:rsid w:val="00CE469C"/>
    <w:rsid w:val="00CE479B"/>
    <w:rsid w:val="00CE4B17"/>
    <w:rsid w:val="00CE5119"/>
    <w:rsid w:val="00CE52D3"/>
    <w:rsid w:val="00CE5AE4"/>
    <w:rsid w:val="00CE69C6"/>
    <w:rsid w:val="00CE6A10"/>
    <w:rsid w:val="00CE6D4A"/>
    <w:rsid w:val="00CE6F55"/>
    <w:rsid w:val="00CE738C"/>
    <w:rsid w:val="00CF059E"/>
    <w:rsid w:val="00CF0700"/>
    <w:rsid w:val="00CF098C"/>
    <w:rsid w:val="00CF0B1A"/>
    <w:rsid w:val="00CF0C53"/>
    <w:rsid w:val="00CF0EB6"/>
    <w:rsid w:val="00CF1BCC"/>
    <w:rsid w:val="00CF2C91"/>
    <w:rsid w:val="00CF3244"/>
    <w:rsid w:val="00CF3311"/>
    <w:rsid w:val="00CF354B"/>
    <w:rsid w:val="00CF3739"/>
    <w:rsid w:val="00CF37EB"/>
    <w:rsid w:val="00CF3ABD"/>
    <w:rsid w:val="00CF3C5C"/>
    <w:rsid w:val="00CF3FF1"/>
    <w:rsid w:val="00CF4099"/>
    <w:rsid w:val="00CF40D2"/>
    <w:rsid w:val="00CF4ECC"/>
    <w:rsid w:val="00CF5A49"/>
    <w:rsid w:val="00CF6371"/>
    <w:rsid w:val="00CF67BA"/>
    <w:rsid w:val="00CF7097"/>
    <w:rsid w:val="00CF70FD"/>
    <w:rsid w:val="00CF75A8"/>
    <w:rsid w:val="00CF77E4"/>
    <w:rsid w:val="00CF787A"/>
    <w:rsid w:val="00CF78FE"/>
    <w:rsid w:val="00CF7B34"/>
    <w:rsid w:val="00CF7BB9"/>
    <w:rsid w:val="00D005F9"/>
    <w:rsid w:val="00D0156F"/>
    <w:rsid w:val="00D035ED"/>
    <w:rsid w:val="00D03F12"/>
    <w:rsid w:val="00D050BB"/>
    <w:rsid w:val="00D05162"/>
    <w:rsid w:val="00D0539D"/>
    <w:rsid w:val="00D05C62"/>
    <w:rsid w:val="00D06AC9"/>
    <w:rsid w:val="00D07944"/>
    <w:rsid w:val="00D07A39"/>
    <w:rsid w:val="00D10474"/>
    <w:rsid w:val="00D10529"/>
    <w:rsid w:val="00D10570"/>
    <w:rsid w:val="00D105ED"/>
    <w:rsid w:val="00D10C61"/>
    <w:rsid w:val="00D10D57"/>
    <w:rsid w:val="00D110BD"/>
    <w:rsid w:val="00D126C5"/>
    <w:rsid w:val="00D13B1A"/>
    <w:rsid w:val="00D13B92"/>
    <w:rsid w:val="00D13E33"/>
    <w:rsid w:val="00D13FE9"/>
    <w:rsid w:val="00D144D4"/>
    <w:rsid w:val="00D148B0"/>
    <w:rsid w:val="00D14F44"/>
    <w:rsid w:val="00D16814"/>
    <w:rsid w:val="00D169F5"/>
    <w:rsid w:val="00D16B1B"/>
    <w:rsid w:val="00D17D8C"/>
    <w:rsid w:val="00D208DD"/>
    <w:rsid w:val="00D20D4B"/>
    <w:rsid w:val="00D2102E"/>
    <w:rsid w:val="00D21933"/>
    <w:rsid w:val="00D22785"/>
    <w:rsid w:val="00D22A74"/>
    <w:rsid w:val="00D22F17"/>
    <w:rsid w:val="00D22F3C"/>
    <w:rsid w:val="00D23533"/>
    <w:rsid w:val="00D23A75"/>
    <w:rsid w:val="00D23A9D"/>
    <w:rsid w:val="00D248F4"/>
    <w:rsid w:val="00D24DFD"/>
    <w:rsid w:val="00D25B64"/>
    <w:rsid w:val="00D26157"/>
    <w:rsid w:val="00D261A2"/>
    <w:rsid w:val="00D26424"/>
    <w:rsid w:val="00D26EC1"/>
    <w:rsid w:val="00D272B7"/>
    <w:rsid w:val="00D30038"/>
    <w:rsid w:val="00D30667"/>
    <w:rsid w:val="00D30873"/>
    <w:rsid w:val="00D30AB1"/>
    <w:rsid w:val="00D313B7"/>
    <w:rsid w:val="00D31EDD"/>
    <w:rsid w:val="00D32051"/>
    <w:rsid w:val="00D32507"/>
    <w:rsid w:val="00D32E28"/>
    <w:rsid w:val="00D33600"/>
    <w:rsid w:val="00D33ADF"/>
    <w:rsid w:val="00D33AF1"/>
    <w:rsid w:val="00D33C0E"/>
    <w:rsid w:val="00D34790"/>
    <w:rsid w:val="00D34814"/>
    <w:rsid w:val="00D34B9C"/>
    <w:rsid w:val="00D350AE"/>
    <w:rsid w:val="00D35CA9"/>
    <w:rsid w:val="00D35FC9"/>
    <w:rsid w:val="00D3676A"/>
    <w:rsid w:val="00D36F49"/>
    <w:rsid w:val="00D375B2"/>
    <w:rsid w:val="00D377EE"/>
    <w:rsid w:val="00D378DC"/>
    <w:rsid w:val="00D37939"/>
    <w:rsid w:val="00D4076C"/>
    <w:rsid w:val="00D40BFF"/>
    <w:rsid w:val="00D4119F"/>
    <w:rsid w:val="00D41C37"/>
    <w:rsid w:val="00D423AF"/>
    <w:rsid w:val="00D424E9"/>
    <w:rsid w:val="00D42788"/>
    <w:rsid w:val="00D42960"/>
    <w:rsid w:val="00D42C69"/>
    <w:rsid w:val="00D42F89"/>
    <w:rsid w:val="00D43133"/>
    <w:rsid w:val="00D4442D"/>
    <w:rsid w:val="00D45562"/>
    <w:rsid w:val="00D45C50"/>
    <w:rsid w:val="00D46354"/>
    <w:rsid w:val="00D46AAD"/>
    <w:rsid w:val="00D46DAF"/>
    <w:rsid w:val="00D475CA"/>
    <w:rsid w:val="00D477D3"/>
    <w:rsid w:val="00D50F65"/>
    <w:rsid w:val="00D511A5"/>
    <w:rsid w:val="00D527B6"/>
    <w:rsid w:val="00D52BEF"/>
    <w:rsid w:val="00D52EBA"/>
    <w:rsid w:val="00D53226"/>
    <w:rsid w:val="00D53FB9"/>
    <w:rsid w:val="00D5461A"/>
    <w:rsid w:val="00D54E78"/>
    <w:rsid w:val="00D55155"/>
    <w:rsid w:val="00D55234"/>
    <w:rsid w:val="00D5570D"/>
    <w:rsid w:val="00D5712F"/>
    <w:rsid w:val="00D57EAA"/>
    <w:rsid w:val="00D608CF"/>
    <w:rsid w:val="00D61206"/>
    <w:rsid w:val="00D615C0"/>
    <w:rsid w:val="00D616D2"/>
    <w:rsid w:val="00D61E16"/>
    <w:rsid w:val="00D620E9"/>
    <w:rsid w:val="00D629C5"/>
    <w:rsid w:val="00D62BAC"/>
    <w:rsid w:val="00D63114"/>
    <w:rsid w:val="00D635A9"/>
    <w:rsid w:val="00D63B5F"/>
    <w:rsid w:val="00D63E6A"/>
    <w:rsid w:val="00D63F51"/>
    <w:rsid w:val="00D648DE"/>
    <w:rsid w:val="00D64C6A"/>
    <w:rsid w:val="00D6714E"/>
    <w:rsid w:val="00D67785"/>
    <w:rsid w:val="00D67A76"/>
    <w:rsid w:val="00D70186"/>
    <w:rsid w:val="00D7099F"/>
    <w:rsid w:val="00D70E19"/>
    <w:rsid w:val="00D70EF7"/>
    <w:rsid w:val="00D7110A"/>
    <w:rsid w:val="00D715DF"/>
    <w:rsid w:val="00D71B34"/>
    <w:rsid w:val="00D72389"/>
    <w:rsid w:val="00D726D8"/>
    <w:rsid w:val="00D733F4"/>
    <w:rsid w:val="00D735C2"/>
    <w:rsid w:val="00D73811"/>
    <w:rsid w:val="00D738D3"/>
    <w:rsid w:val="00D741A0"/>
    <w:rsid w:val="00D742B6"/>
    <w:rsid w:val="00D74A5A"/>
    <w:rsid w:val="00D76E82"/>
    <w:rsid w:val="00D770F8"/>
    <w:rsid w:val="00D77205"/>
    <w:rsid w:val="00D80B51"/>
    <w:rsid w:val="00D816EE"/>
    <w:rsid w:val="00D81724"/>
    <w:rsid w:val="00D81C58"/>
    <w:rsid w:val="00D81EF8"/>
    <w:rsid w:val="00D82305"/>
    <w:rsid w:val="00D8319E"/>
    <w:rsid w:val="00D83308"/>
    <w:rsid w:val="00D83966"/>
    <w:rsid w:val="00D8397C"/>
    <w:rsid w:val="00D83EA8"/>
    <w:rsid w:val="00D83FF3"/>
    <w:rsid w:val="00D854A4"/>
    <w:rsid w:val="00D865B0"/>
    <w:rsid w:val="00D8754D"/>
    <w:rsid w:val="00D87B5F"/>
    <w:rsid w:val="00D90208"/>
    <w:rsid w:val="00D91047"/>
    <w:rsid w:val="00D9133B"/>
    <w:rsid w:val="00D920F9"/>
    <w:rsid w:val="00D92ACC"/>
    <w:rsid w:val="00D92B60"/>
    <w:rsid w:val="00D93123"/>
    <w:rsid w:val="00D93376"/>
    <w:rsid w:val="00D9368A"/>
    <w:rsid w:val="00D93962"/>
    <w:rsid w:val="00D9409F"/>
    <w:rsid w:val="00D9448F"/>
    <w:rsid w:val="00D94657"/>
    <w:rsid w:val="00D94BB0"/>
    <w:rsid w:val="00D94CE0"/>
    <w:rsid w:val="00D94EED"/>
    <w:rsid w:val="00D96026"/>
    <w:rsid w:val="00D96083"/>
    <w:rsid w:val="00D9640F"/>
    <w:rsid w:val="00D9643D"/>
    <w:rsid w:val="00D96619"/>
    <w:rsid w:val="00D967E9"/>
    <w:rsid w:val="00D97655"/>
    <w:rsid w:val="00D979CE"/>
    <w:rsid w:val="00D97F2A"/>
    <w:rsid w:val="00DA0110"/>
    <w:rsid w:val="00DA0125"/>
    <w:rsid w:val="00DA0179"/>
    <w:rsid w:val="00DA1044"/>
    <w:rsid w:val="00DA11F9"/>
    <w:rsid w:val="00DA1D07"/>
    <w:rsid w:val="00DA281E"/>
    <w:rsid w:val="00DA2D2C"/>
    <w:rsid w:val="00DA2E72"/>
    <w:rsid w:val="00DA42BA"/>
    <w:rsid w:val="00DA5596"/>
    <w:rsid w:val="00DA5E0F"/>
    <w:rsid w:val="00DA70D1"/>
    <w:rsid w:val="00DA7990"/>
    <w:rsid w:val="00DB0097"/>
    <w:rsid w:val="00DB01E8"/>
    <w:rsid w:val="00DB0B3F"/>
    <w:rsid w:val="00DB0C17"/>
    <w:rsid w:val="00DB147A"/>
    <w:rsid w:val="00DB159E"/>
    <w:rsid w:val="00DB176E"/>
    <w:rsid w:val="00DB1B7A"/>
    <w:rsid w:val="00DB1BA1"/>
    <w:rsid w:val="00DB29CE"/>
    <w:rsid w:val="00DB2D3A"/>
    <w:rsid w:val="00DB4E5A"/>
    <w:rsid w:val="00DB4EFB"/>
    <w:rsid w:val="00DB5158"/>
    <w:rsid w:val="00DB555A"/>
    <w:rsid w:val="00DB5613"/>
    <w:rsid w:val="00DB6D58"/>
    <w:rsid w:val="00DB72F4"/>
    <w:rsid w:val="00DB778D"/>
    <w:rsid w:val="00DC0739"/>
    <w:rsid w:val="00DC09C3"/>
    <w:rsid w:val="00DC10F1"/>
    <w:rsid w:val="00DC1C11"/>
    <w:rsid w:val="00DC1DEC"/>
    <w:rsid w:val="00DC25CD"/>
    <w:rsid w:val="00DC3808"/>
    <w:rsid w:val="00DC4B03"/>
    <w:rsid w:val="00DC4DDD"/>
    <w:rsid w:val="00DC5668"/>
    <w:rsid w:val="00DC5762"/>
    <w:rsid w:val="00DC58EC"/>
    <w:rsid w:val="00DC6000"/>
    <w:rsid w:val="00DC6708"/>
    <w:rsid w:val="00DC6F18"/>
    <w:rsid w:val="00DC77F9"/>
    <w:rsid w:val="00DD0693"/>
    <w:rsid w:val="00DD0C95"/>
    <w:rsid w:val="00DD10A7"/>
    <w:rsid w:val="00DD112C"/>
    <w:rsid w:val="00DD1692"/>
    <w:rsid w:val="00DD1ABC"/>
    <w:rsid w:val="00DD2439"/>
    <w:rsid w:val="00DD2597"/>
    <w:rsid w:val="00DD25F7"/>
    <w:rsid w:val="00DD2701"/>
    <w:rsid w:val="00DD2BE5"/>
    <w:rsid w:val="00DD3C58"/>
    <w:rsid w:val="00DD42AD"/>
    <w:rsid w:val="00DD43FF"/>
    <w:rsid w:val="00DD45DC"/>
    <w:rsid w:val="00DD460A"/>
    <w:rsid w:val="00DD4D9D"/>
    <w:rsid w:val="00DD4DD0"/>
    <w:rsid w:val="00DD54A4"/>
    <w:rsid w:val="00DD6C42"/>
    <w:rsid w:val="00DD7469"/>
    <w:rsid w:val="00DD7C48"/>
    <w:rsid w:val="00DE0352"/>
    <w:rsid w:val="00DE060D"/>
    <w:rsid w:val="00DE0D53"/>
    <w:rsid w:val="00DE0DEE"/>
    <w:rsid w:val="00DE0EA7"/>
    <w:rsid w:val="00DE22E5"/>
    <w:rsid w:val="00DE2DE3"/>
    <w:rsid w:val="00DE3D79"/>
    <w:rsid w:val="00DE5AB6"/>
    <w:rsid w:val="00DE5DF8"/>
    <w:rsid w:val="00DE6052"/>
    <w:rsid w:val="00DE6313"/>
    <w:rsid w:val="00DE6E09"/>
    <w:rsid w:val="00DE7698"/>
    <w:rsid w:val="00DE78B6"/>
    <w:rsid w:val="00DE7969"/>
    <w:rsid w:val="00DF013A"/>
    <w:rsid w:val="00DF065B"/>
    <w:rsid w:val="00DF16C0"/>
    <w:rsid w:val="00DF1D45"/>
    <w:rsid w:val="00DF2963"/>
    <w:rsid w:val="00DF2EEB"/>
    <w:rsid w:val="00DF39C9"/>
    <w:rsid w:val="00DF3B68"/>
    <w:rsid w:val="00DF3BFD"/>
    <w:rsid w:val="00DF4D04"/>
    <w:rsid w:val="00DF50C1"/>
    <w:rsid w:val="00DF5197"/>
    <w:rsid w:val="00DF542D"/>
    <w:rsid w:val="00DF543F"/>
    <w:rsid w:val="00DF77F4"/>
    <w:rsid w:val="00E00026"/>
    <w:rsid w:val="00E00298"/>
    <w:rsid w:val="00E00A91"/>
    <w:rsid w:val="00E00F91"/>
    <w:rsid w:val="00E011CF"/>
    <w:rsid w:val="00E01436"/>
    <w:rsid w:val="00E01BC8"/>
    <w:rsid w:val="00E01DD6"/>
    <w:rsid w:val="00E01EBF"/>
    <w:rsid w:val="00E020FD"/>
    <w:rsid w:val="00E0233B"/>
    <w:rsid w:val="00E03C52"/>
    <w:rsid w:val="00E03FF7"/>
    <w:rsid w:val="00E045BD"/>
    <w:rsid w:val="00E04FF2"/>
    <w:rsid w:val="00E0587B"/>
    <w:rsid w:val="00E05B90"/>
    <w:rsid w:val="00E06262"/>
    <w:rsid w:val="00E06546"/>
    <w:rsid w:val="00E0664E"/>
    <w:rsid w:val="00E06DD1"/>
    <w:rsid w:val="00E10C95"/>
    <w:rsid w:val="00E10FCD"/>
    <w:rsid w:val="00E11664"/>
    <w:rsid w:val="00E116D8"/>
    <w:rsid w:val="00E12CDC"/>
    <w:rsid w:val="00E130AD"/>
    <w:rsid w:val="00E130B3"/>
    <w:rsid w:val="00E1366D"/>
    <w:rsid w:val="00E1378D"/>
    <w:rsid w:val="00E144E4"/>
    <w:rsid w:val="00E14756"/>
    <w:rsid w:val="00E14EFF"/>
    <w:rsid w:val="00E163BB"/>
    <w:rsid w:val="00E16D71"/>
    <w:rsid w:val="00E17AB7"/>
    <w:rsid w:val="00E17B77"/>
    <w:rsid w:val="00E20152"/>
    <w:rsid w:val="00E205E6"/>
    <w:rsid w:val="00E206DA"/>
    <w:rsid w:val="00E20ED7"/>
    <w:rsid w:val="00E20F26"/>
    <w:rsid w:val="00E21325"/>
    <w:rsid w:val="00E21369"/>
    <w:rsid w:val="00E22028"/>
    <w:rsid w:val="00E2213D"/>
    <w:rsid w:val="00E22AA5"/>
    <w:rsid w:val="00E233B5"/>
    <w:rsid w:val="00E23621"/>
    <w:rsid w:val="00E23C0E"/>
    <w:rsid w:val="00E24021"/>
    <w:rsid w:val="00E249C3"/>
    <w:rsid w:val="00E251F6"/>
    <w:rsid w:val="00E26825"/>
    <w:rsid w:val="00E26998"/>
    <w:rsid w:val="00E272AA"/>
    <w:rsid w:val="00E30A17"/>
    <w:rsid w:val="00E30AAF"/>
    <w:rsid w:val="00E3131F"/>
    <w:rsid w:val="00E31714"/>
    <w:rsid w:val="00E318F3"/>
    <w:rsid w:val="00E31A42"/>
    <w:rsid w:val="00E31A90"/>
    <w:rsid w:val="00E31B92"/>
    <w:rsid w:val="00E31B99"/>
    <w:rsid w:val="00E32061"/>
    <w:rsid w:val="00E3294D"/>
    <w:rsid w:val="00E32C96"/>
    <w:rsid w:val="00E33551"/>
    <w:rsid w:val="00E33C74"/>
    <w:rsid w:val="00E33C9A"/>
    <w:rsid w:val="00E33ED9"/>
    <w:rsid w:val="00E33FB2"/>
    <w:rsid w:val="00E3451F"/>
    <w:rsid w:val="00E3508C"/>
    <w:rsid w:val="00E35948"/>
    <w:rsid w:val="00E35B4A"/>
    <w:rsid w:val="00E35D77"/>
    <w:rsid w:val="00E360C7"/>
    <w:rsid w:val="00E3623E"/>
    <w:rsid w:val="00E36381"/>
    <w:rsid w:val="00E36AD5"/>
    <w:rsid w:val="00E36B28"/>
    <w:rsid w:val="00E36F46"/>
    <w:rsid w:val="00E36F85"/>
    <w:rsid w:val="00E37368"/>
    <w:rsid w:val="00E377B8"/>
    <w:rsid w:val="00E40336"/>
    <w:rsid w:val="00E406F0"/>
    <w:rsid w:val="00E407E2"/>
    <w:rsid w:val="00E40BBB"/>
    <w:rsid w:val="00E40DD7"/>
    <w:rsid w:val="00E41165"/>
    <w:rsid w:val="00E41760"/>
    <w:rsid w:val="00E42E54"/>
    <w:rsid w:val="00E42FF9"/>
    <w:rsid w:val="00E43A7E"/>
    <w:rsid w:val="00E43B1E"/>
    <w:rsid w:val="00E44307"/>
    <w:rsid w:val="00E44CEE"/>
    <w:rsid w:val="00E45327"/>
    <w:rsid w:val="00E454B8"/>
    <w:rsid w:val="00E458E1"/>
    <w:rsid w:val="00E45948"/>
    <w:rsid w:val="00E46438"/>
    <w:rsid w:val="00E46BA1"/>
    <w:rsid w:val="00E4714C"/>
    <w:rsid w:val="00E47218"/>
    <w:rsid w:val="00E476A0"/>
    <w:rsid w:val="00E51242"/>
    <w:rsid w:val="00E517C2"/>
    <w:rsid w:val="00E5190C"/>
    <w:rsid w:val="00E51AD7"/>
    <w:rsid w:val="00E51AEB"/>
    <w:rsid w:val="00E51E90"/>
    <w:rsid w:val="00E522A7"/>
    <w:rsid w:val="00E5254B"/>
    <w:rsid w:val="00E5342D"/>
    <w:rsid w:val="00E5369D"/>
    <w:rsid w:val="00E53909"/>
    <w:rsid w:val="00E54452"/>
    <w:rsid w:val="00E54B98"/>
    <w:rsid w:val="00E558B2"/>
    <w:rsid w:val="00E559A4"/>
    <w:rsid w:val="00E5604E"/>
    <w:rsid w:val="00E561EE"/>
    <w:rsid w:val="00E568B2"/>
    <w:rsid w:val="00E56B65"/>
    <w:rsid w:val="00E57603"/>
    <w:rsid w:val="00E606A7"/>
    <w:rsid w:val="00E6257D"/>
    <w:rsid w:val="00E62F8C"/>
    <w:rsid w:val="00E637E4"/>
    <w:rsid w:val="00E63F80"/>
    <w:rsid w:val="00E64B1E"/>
    <w:rsid w:val="00E650CA"/>
    <w:rsid w:val="00E65E04"/>
    <w:rsid w:val="00E6607E"/>
    <w:rsid w:val="00E6622F"/>
    <w:rsid w:val="00E664C5"/>
    <w:rsid w:val="00E6655D"/>
    <w:rsid w:val="00E66B75"/>
    <w:rsid w:val="00E671A2"/>
    <w:rsid w:val="00E67F8A"/>
    <w:rsid w:val="00E7052E"/>
    <w:rsid w:val="00E70683"/>
    <w:rsid w:val="00E707D9"/>
    <w:rsid w:val="00E7165D"/>
    <w:rsid w:val="00E7180B"/>
    <w:rsid w:val="00E71CE1"/>
    <w:rsid w:val="00E72C42"/>
    <w:rsid w:val="00E7323D"/>
    <w:rsid w:val="00E7345B"/>
    <w:rsid w:val="00E7351C"/>
    <w:rsid w:val="00E73AA5"/>
    <w:rsid w:val="00E74945"/>
    <w:rsid w:val="00E74B3C"/>
    <w:rsid w:val="00E761B5"/>
    <w:rsid w:val="00E76289"/>
    <w:rsid w:val="00E76D26"/>
    <w:rsid w:val="00E76ECE"/>
    <w:rsid w:val="00E77CC5"/>
    <w:rsid w:val="00E8021D"/>
    <w:rsid w:val="00E80351"/>
    <w:rsid w:val="00E809A7"/>
    <w:rsid w:val="00E815DD"/>
    <w:rsid w:val="00E82888"/>
    <w:rsid w:val="00E839A7"/>
    <w:rsid w:val="00E83F75"/>
    <w:rsid w:val="00E83FED"/>
    <w:rsid w:val="00E84352"/>
    <w:rsid w:val="00E85383"/>
    <w:rsid w:val="00E8543C"/>
    <w:rsid w:val="00E861ED"/>
    <w:rsid w:val="00E86C4D"/>
    <w:rsid w:val="00E86E0C"/>
    <w:rsid w:val="00E86E99"/>
    <w:rsid w:val="00E9034A"/>
    <w:rsid w:val="00E90EE0"/>
    <w:rsid w:val="00E910CE"/>
    <w:rsid w:val="00E9175F"/>
    <w:rsid w:val="00E9189E"/>
    <w:rsid w:val="00E9194D"/>
    <w:rsid w:val="00E91ADB"/>
    <w:rsid w:val="00E91C07"/>
    <w:rsid w:val="00E91EBC"/>
    <w:rsid w:val="00E92036"/>
    <w:rsid w:val="00E93606"/>
    <w:rsid w:val="00E9425A"/>
    <w:rsid w:val="00E94A7F"/>
    <w:rsid w:val="00E95726"/>
    <w:rsid w:val="00E95DE6"/>
    <w:rsid w:val="00E966E0"/>
    <w:rsid w:val="00E974CF"/>
    <w:rsid w:val="00E97DA6"/>
    <w:rsid w:val="00EA0278"/>
    <w:rsid w:val="00EA1D9A"/>
    <w:rsid w:val="00EA2049"/>
    <w:rsid w:val="00EA2BF4"/>
    <w:rsid w:val="00EA2E62"/>
    <w:rsid w:val="00EA2FFC"/>
    <w:rsid w:val="00EA3343"/>
    <w:rsid w:val="00EA3376"/>
    <w:rsid w:val="00EA3994"/>
    <w:rsid w:val="00EA45BA"/>
    <w:rsid w:val="00EA471D"/>
    <w:rsid w:val="00EA505D"/>
    <w:rsid w:val="00EA505F"/>
    <w:rsid w:val="00EA6211"/>
    <w:rsid w:val="00EA6380"/>
    <w:rsid w:val="00EB1219"/>
    <w:rsid w:val="00EB1390"/>
    <w:rsid w:val="00EB1662"/>
    <w:rsid w:val="00EB2818"/>
    <w:rsid w:val="00EB2C71"/>
    <w:rsid w:val="00EB3266"/>
    <w:rsid w:val="00EB3DD7"/>
    <w:rsid w:val="00EB4340"/>
    <w:rsid w:val="00EB51A5"/>
    <w:rsid w:val="00EB6164"/>
    <w:rsid w:val="00EB7AB1"/>
    <w:rsid w:val="00EB7FF2"/>
    <w:rsid w:val="00EC013D"/>
    <w:rsid w:val="00EC091E"/>
    <w:rsid w:val="00EC11A6"/>
    <w:rsid w:val="00EC1598"/>
    <w:rsid w:val="00EC301F"/>
    <w:rsid w:val="00EC4058"/>
    <w:rsid w:val="00EC41F8"/>
    <w:rsid w:val="00EC45C4"/>
    <w:rsid w:val="00EC48CD"/>
    <w:rsid w:val="00EC4BEA"/>
    <w:rsid w:val="00EC526F"/>
    <w:rsid w:val="00EC5695"/>
    <w:rsid w:val="00EC59AD"/>
    <w:rsid w:val="00EC5FFD"/>
    <w:rsid w:val="00EC6F1B"/>
    <w:rsid w:val="00EC715B"/>
    <w:rsid w:val="00EC71BC"/>
    <w:rsid w:val="00EC7DBE"/>
    <w:rsid w:val="00ED0A2A"/>
    <w:rsid w:val="00ED1449"/>
    <w:rsid w:val="00ED19AA"/>
    <w:rsid w:val="00ED19F1"/>
    <w:rsid w:val="00ED1FFF"/>
    <w:rsid w:val="00ED219C"/>
    <w:rsid w:val="00ED5262"/>
    <w:rsid w:val="00ED55C0"/>
    <w:rsid w:val="00ED5CAE"/>
    <w:rsid w:val="00ED682B"/>
    <w:rsid w:val="00ED6FDF"/>
    <w:rsid w:val="00ED710B"/>
    <w:rsid w:val="00ED7926"/>
    <w:rsid w:val="00ED7F3A"/>
    <w:rsid w:val="00EE0828"/>
    <w:rsid w:val="00EE08D1"/>
    <w:rsid w:val="00EE096A"/>
    <w:rsid w:val="00EE0F05"/>
    <w:rsid w:val="00EE0F10"/>
    <w:rsid w:val="00EE1E12"/>
    <w:rsid w:val="00EE2477"/>
    <w:rsid w:val="00EE3D78"/>
    <w:rsid w:val="00EE4180"/>
    <w:rsid w:val="00EE41D5"/>
    <w:rsid w:val="00EE426F"/>
    <w:rsid w:val="00EE432C"/>
    <w:rsid w:val="00EE4391"/>
    <w:rsid w:val="00EE4537"/>
    <w:rsid w:val="00EE4A24"/>
    <w:rsid w:val="00EE505A"/>
    <w:rsid w:val="00EE5ABA"/>
    <w:rsid w:val="00EE5BD1"/>
    <w:rsid w:val="00EE6647"/>
    <w:rsid w:val="00EE74A4"/>
    <w:rsid w:val="00EE7679"/>
    <w:rsid w:val="00EE7D11"/>
    <w:rsid w:val="00EF15C1"/>
    <w:rsid w:val="00EF1AD5"/>
    <w:rsid w:val="00EF2A56"/>
    <w:rsid w:val="00EF3131"/>
    <w:rsid w:val="00EF39B2"/>
    <w:rsid w:val="00EF4AF2"/>
    <w:rsid w:val="00EF5861"/>
    <w:rsid w:val="00EF5E8D"/>
    <w:rsid w:val="00EF6082"/>
    <w:rsid w:val="00EF6153"/>
    <w:rsid w:val="00EF65BA"/>
    <w:rsid w:val="00EF6AAD"/>
    <w:rsid w:val="00EF7DE9"/>
    <w:rsid w:val="00F0031B"/>
    <w:rsid w:val="00F00A3C"/>
    <w:rsid w:val="00F0115A"/>
    <w:rsid w:val="00F02FC9"/>
    <w:rsid w:val="00F037A4"/>
    <w:rsid w:val="00F0474B"/>
    <w:rsid w:val="00F048E7"/>
    <w:rsid w:val="00F05812"/>
    <w:rsid w:val="00F05B80"/>
    <w:rsid w:val="00F06415"/>
    <w:rsid w:val="00F06B16"/>
    <w:rsid w:val="00F06ED9"/>
    <w:rsid w:val="00F070E2"/>
    <w:rsid w:val="00F07167"/>
    <w:rsid w:val="00F07A6E"/>
    <w:rsid w:val="00F07C17"/>
    <w:rsid w:val="00F07EE6"/>
    <w:rsid w:val="00F1014E"/>
    <w:rsid w:val="00F109B0"/>
    <w:rsid w:val="00F10EB2"/>
    <w:rsid w:val="00F10F98"/>
    <w:rsid w:val="00F11112"/>
    <w:rsid w:val="00F112DF"/>
    <w:rsid w:val="00F11A5C"/>
    <w:rsid w:val="00F11CDE"/>
    <w:rsid w:val="00F133FF"/>
    <w:rsid w:val="00F13DFD"/>
    <w:rsid w:val="00F14538"/>
    <w:rsid w:val="00F1528D"/>
    <w:rsid w:val="00F162AE"/>
    <w:rsid w:val="00F16874"/>
    <w:rsid w:val="00F170D5"/>
    <w:rsid w:val="00F213C1"/>
    <w:rsid w:val="00F23032"/>
    <w:rsid w:val="00F230AB"/>
    <w:rsid w:val="00F233F3"/>
    <w:rsid w:val="00F2379F"/>
    <w:rsid w:val="00F23FA7"/>
    <w:rsid w:val="00F24FFC"/>
    <w:rsid w:val="00F2593A"/>
    <w:rsid w:val="00F25F27"/>
    <w:rsid w:val="00F25FD6"/>
    <w:rsid w:val="00F27C8F"/>
    <w:rsid w:val="00F31150"/>
    <w:rsid w:val="00F3115A"/>
    <w:rsid w:val="00F31A08"/>
    <w:rsid w:val="00F31C42"/>
    <w:rsid w:val="00F31DA6"/>
    <w:rsid w:val="00F32749"/>
    <w:rsid w:val="00F32B43"/>
    <w:rsid w:val="00F32BAF"/>
    <w:rsid w:val="00F33826"/>
    <w:rsid w:val="00F33B6D"/>
    <w:rsid w:val="00F34843"/>
    <w:rsid w:val="00F34B38"/>
    <w:rsid w:val="00F352BC"/>
    <w:rsid w:val="00F3564D"/>
    <w:rsid w:val="00F358F8"/>
    <w:rsid w:val="00F35B45"/>
    <w:rsid w:val="00F364E6"/>
    <w:rsid w:val="00F36A2A"/>
    <w:rsid w:val="00F37172"/>
    <w:rsid w:val="00F37308"/>
    <w:rsid w:val="00F37483"/>
    <w:rsid w:val="00F3796B"/>
    <w:rsid w:val="00F37D5F"/>
    <w:rsid w:val="00F4061B"/>
    <w:rsid w:val="00F410E9"/>
    <w:rsid w:val="00F41A30"/>
    <w:rsid w:val="00F42BCB"/>
    <w:rsid w:val="00F42C72"/>
    <w:rsid w:val="00F439E7"/>
    <w:rsid w:val="00F4477E"/>
    <w:rsid w:val="00F45642"/>
    <w:rsid w:val="00F45F0B"/>
    <w:rsid w:val="00F460CA"/>
    <w:rsid w:val="00F47224"/>
    <w:rsid w:val="00F47508"/>
    <w:rsid w:val="00F5003E"/>
    <w:rsid w:val="00F5035E"/>
    <w:rsid w:val="00F51D98"/>
    <w:rsid w:val="00F525A4"/>
    <w:rsid w:val="00F52D34"/>
    <w:rsid w:val="00F533A8"/>
    <w:rsid w:val="00F54937"/>
    <w:rsid w:val="00F550A2"/>
    <w:rsid w:val="00F56F1A"/>
    <w:rsid w:val="00F579C5"/>
    <w:rsid w:val="00F601A3"/>
    <w:rsid w:val="00F60387"/>
    <w:rsid w:val="00F60A24"/>
    <w:rsid w:val="00F61164"/>
    <w:rsid w:val="00F633E8"/>
    <w:rsid w:val="00F63511"/>
    <w:rsid w:val="00F64978"/>
    <w:rsid w:val="00F64A02"/>
    <w:rsid w:val="00F64AB0"/>
    <w:rsid w:val="00F64E0A"/>
    <w:rsid w:val="00F64E8F"/>
    <w:rsid w:val="00F65C01"/>
    <w:rsid w:val="00F67B9B"/>
    <w:rsid w:val="00F67D8F"/>
    <w:rsid w:val="00F702D3"/>
    <w:rsid w:val="00F70A4C"/>
    <w:rsid w:val="00F70CFF"/>
    <w:rsid w:val="00F71749"/>
    <w:rsid w:val="00F71B6F"/>
    <w:rsid w:val="00F731DE"/>
    <w:rsid w:val="00F734CF"/>
    <w:rsid w:val="00F73AFC"/>
    <w:rsid w:val="00F743F5"/>
    <w:rsid w:val="00F746A9"/>
    <w:rsid w:val="00F74CAC"/>
    <w:rsid w:val="00F76396"/>
    <w:rsid w:val="00F7650F"/>
    <w:rsid w:val="00F76BAA"/>
    <w:rsid w:val="00F76BFB"/>
    <w:rsid w:val="00F76F0A"/>
    <w:rsid w:val="00F777FE"/>
    <w:rsid w:val="00F7783D"/>
    <w:rsid w:val="00F808DE"/>
    <w:rsid w:val="00F824EB"/>
    <w:rsid w:val="00F82B38"/>
    <w:rsid w:val="00F83112"/>
    <w:rsid w:val="00F83140"/>
    <w:rsid w:val="00F8334D"/>
    <w:rsid w:val="00F83A28"/>
    <w:rsid w:val="00F83A51"/>
    <w:rsid w:val="00F840A5"/>
    <w:rsid w:val="00F84F00"/>
    <w:rsid w:val="00F8532E"/>
    <w:rsid w:val="00F8588F"/>
    <w:rsid w:val="00F86024"/>
    <w:rsid w:val="00F8611A"/>
    <w:rsid w:val="00F865C6"/>
    <w:rsid w:val="00F86708"/>
    <w:rsid w:val="00F86787"/>
    <w:rsid w:val="00F8700B"/>
    <w:rsid w:val="00F87F12"/>
    <w:rsid w:val="00F90944"/>
    <w:rsid w:val="00F9119C"/>
    <w:rsid w:val="00F911CC"/>
    <w:rsid w:val="00F91C3A"/>
    <w:rsid w:val="00F91DB7"/>
    <w:rsid w:val="00F91E01"/>
    <w:rsid w:val="00F9212F"/>
    <w:rsid w:val="00F92EF8"/>
    <w:rsid w:val="00F931BE"/>
    <w:rsid w:val="00F93588"/>
    <w:rsid w:val="00F93ADE"/>
    <w:rsid w:val="00F93D47"/>
    <w:rsid w:val="00F94BC4"/>
    <w:rsid w:val="00F9534F"/>
    <w:rsid w:val="00F95888"/>
    <w:rsid w:val="00F959CD"/>
    <w:rsid w:val="00F95B8D"/>
    <w:rsid w:val="00F9600A"/>
    <w:rsid w:val="00F96D8D"/>
    <w:rsid w:val="00F976F0"/>
    <w:rsid w:val="00F97862"/>
    <w:rsid w:val="00F97D78"/>
    <w:rsid w:val="00FA05E8"/>
    <w:rsid w:val="00FA07AA"/>
    <w:rsid w:val="00FA0A80"/>
    <w:rsid w:val="00FA0AAF"/>
    <w:rsid w:val="00FA0FA3"/>
    <w:rsid w:val="00FA1F50"/>
    <w:rsid w:val="00FA2205"/>
    <w:rsid w:val="00FA2604"/>
    <w:rsid w:val="00FA2EB5"/>
    <w:rsid w:val="00FA31B9"/>
    <w:rsid w:val="00FA3205"/>
    <w:rsid w:val="00FA3557"/>
    <w:rsid w:val="00FA3FC3"/>
    <w:rsid w:val="00FA41AA"/>
    <w:rsid w:val="00FA4459"/>
    <w:rsid w:val="00FA50A8"/>
    <w:rsid w:val="00FA5128"/>
    <w:rsid w:val="00FA5552"/>
    <w:rsid w:val="00FA58B6"/>
    <w:rsid w:val="00FA6B75"/>
    <w:rsid w:val="00FA6D8E"/>
    <w:rsid w:val="00FA6DDB"/>
    <w:rsid w:val="00FA733A"/>
    <w:rsid w:val="00FA7F5C"/>
    <w:rsid w:val="00FB1592"/>
    <w:rsid w:val="00FB267F"/>
    <w:rsid w:val="00FB26B3"/>
    <w:rsid w:val="00FB401D"/>
    <w:rsid w:val="00FB42D4"/>
    <w:rsid w:val="00FB535C"/>
    <w:rsid w:val="00FB53C8"/>
    <w:rsid w:val="00FB546C"/>
    <w:rsid w:val="00FB565B"/>
    <w:rsid w:val="00FB5906"/>
    <w:rsid w:val="00FB5A7F"/>
    <w:rsid w:val="00FB5C4F"/>
    <w:rsid w:val="00FB5EFD"/>
    <w:rsid w:val="00FB64BD"/>
    <w:rsid w:val="00FB6886"/>
    <w:rsid w:val="00FB7167"/>
    <w:rsid w:val="00FB762F"/>
    <w:rsid w:val="00FB7F7F"/>
    <w:rsid w:val="00FB7FC6"/>
    <w:rsid w:val="00FC0E8A"/>
    <w:rsid w:val="00FC110D"/>
    <w:rsid w:val="00FC1932"/>
    <w:rsid w:val="00FC1F31"/>
    <w:rsid w:val="00FC2056"/>
    <w:rsid w:val="00FC23D7"/>
    <w:rsid w:val="00FC2562"/>
    <w:rsid w:val="00FC2847"/>
    <w:rsid w:val="00FC2A10"/>
    <w:rsid w:val="00FC2AED"/>
    <w:rsid w:val="00FC4A0F"/>
    <w:rsid w:val="00FC50D1"/>
    <w:rsid w:val="00FC58C4"/>
    <w:rsid w:val="00FC5C06"/>
    <w:rsid w:val="00FC5EA6"/>
    <w:rsid w:val="00FC605A"/>
    <w:rsid w:val="00FC6141"/>
    <w:rsid w:val="00FC6C3C"/>
    <w:rsid w:val="00FC79CF"/>
    <w:rsid w:val="00FC7A0F"/>
    <w:rsid w:val="00FC7C4B"/>
    <w:rsid w:val="00FD0C73"/>
    <w:rsid w:val="00FD12C3"/>
    <w:rsid w:val="00FD1DD9"/>
    <w:rsid w:val="00FD2760"/>
    <w:rsid w:val="00FD27DF"/>
    <w:rsid w:val="00FD368A"/>
    <w:rsid w:val="00FD36B3"/>
    <w:rsid w:val="00FD3753"/>
    <w:rsid w:val="00FD3D1E"/>
    <w:rsid w:val="00FD3DD3"/>
    <w:rsid w:val="00FD3EC6"/>
    <w:rsid w:val="00FD40C2"/>
    <w:rsid w:val="00FD413D"/>
    <w:rsid w:val="00FD459D"/>
    <w:rsid w:val="00FD470C"/>
    <w:rsid w:val="00FD4C00"/>
    <w:rsid w:val="00FD52C7"/>
    <w:rsid w:val="00FD635D"/>
    <w:rsid w:val="00FD6E64"/>
    <w:rsid w:val="00FE0B7F"/>
    <w:rsid w:val="00FE0C96"/>
    <w:rsid w:val="00FE0D83"/>
    <w:rsid w:val="00FE1081"/>
    <w:rsid w:val="00FE1393"/>
    <w:rsid w:val="00FE1A8E"/>
    <w:rsid w:val="00FE2499"/>
    <w:rsid w:val="00FE2B04"/>
    <w:rsid w:val="00FE2DD1"/>
    <w:rsid w:val="00FE3A4F"/>
    <w:rsid w:val="00FE3C85"/>
    <w:rsid w:val="00FE41B7"/>
    <w:rsid w:val="00FE449D"/>
    <w:rsid w:val="00FE489B"/>
    <w:rsid w:val="00FE56A2"/>
    <w:rsid w:val="00FE6D85"/>
    <w:rsid w:val="00FE70A3"/>
    <w:rsid w:val="00FE7441"/>
    <w:rsid w:val="00FE79AB"/>
    <w:rsid w:val="00FF0B7C"/>
    <w:rsid w:val="00FF0DFB"/>
    <w:rsid w:val="00FF1E43"/>
    <w:rsid w:val="00FF2516"/>
    <w:rsid w:val="00FF2C37"/>
    <w:rsid w:val="00FF48A8"/>
    <w:rsid w:val="00FF500D"/>
    <w:rsid w:val="00FF52F5"/>
    <w:rsid w:val="00FF5373"/>
    <w:rsid w:val="00FF57B6"/>
    <w:rsid w:val="00FF5B4F"/>
    <w:rsid w:val="00FF67F0"/>
    <w:rsid w:val="00FF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7C7AC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rsid w:val="009B34CD"/>
    <w:pPr>
      <w:spacing w:line="240" w:lineRule="exact"/>
    </w:p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after="12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pPr>
      <w:spacing w:before="120"/>
    </w:pPr>
    <w:rPr>
      <w:rFonts w:ascii="Fira Sans" w:hAnsi="Fira Sans"/>
      <w:b/>
      <w:noProof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qFormat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pPr>
      <w:spacing w:before="120" w:after="120"/>
    </w:pPr>
    <w:rPr>
      <w:rFonts w:ascii="Fira Sans" w:hAnsi="Fira Sans"/>
      <w:b/>
      <w:spacing w:val="-2"/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C7777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E761B5"/>
    <w:pPr>
      <w:autoSpaceDE w:val="0"/>
      <w:autoSpaceDN w:val="0"/>
      <w:adjustRightInd w:val="0"/>
      <w:spacing w:before="12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E761B5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761B5"/>
    <w:pPr>
      <w:autoSpaceDE w:val="0"/>
      <w:autoSpaceDN w:val="0"/>
      <w:adjustRightInd w:val="0"/>
      <w:spacing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Normalny"/>
    <w:link w:val="OpiswskanikaZnak"/>
    <w:qFormat/>
    <w:rsid w:val="00E761B5"/>
    <w:pPr>
      <w:spacing w:after="0" w:line="240" w:lineRule="auto"/>
    </w:pPr>
    <w:rPr>
      <w:rFonts w:ascii="Fira Sans" w:hAnsi="Fira Sans"/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E761B5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E761B5"/>
    <w:rPr>
      <w:rFonts w:ascii="Fira Sans" w:hAnsi="Fira Sans"/>
      <w:color w:val="FFFFFF" w:themeColor="background1"/>
      <w:sz w:val="20"/>
    </w:rPr>
  </w:style>
  <w:style w:type="table" w:customStyle="1" w:styleId="Tabela-Siatka1">
    <w:name w:val="Tabela - Siatka1"/>
    <w:basedOn w:val="Standardowy"/>
    <w:next w:val="Tabela-Siatka"/>
    <w:uiPriority w:val="39"/>
    <w:rsid w:val="00FF0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404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04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04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04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0437"/>
    <w:rPr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941EF9"/>
  </w:style>
  <w:style w:type="character" w:customStyle="1" w:styleId="LIDZnak">
    <w:name w:val="LID Znak"/>
    <w:basedOn w:val="Domylnaczcionkaakapitu"/>
    <w:link w:val="LID"/>
    <w:rsid w:val="00E70683"/>
    <w:rPr>
      <w:rFonts w:ascii="Fira Sans" w:hAnsi="Fira Sans"/>
      <w:b/>
      <w:noProof/>
      <w:sz w:val="19"/>
      <w:szCs w:val="19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742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87FC1"/>
    <w:pPr>
      <w:spacing w:after="0" w:line="240" w:lineRule="auto"/>
    </w:pPr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48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481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481E"/>
    <w:rPr>
      <w:vertAlign w:val="superscript"/>
    </w:rPr>
  </w:style>
  <w:style w:type="paragraph" w:customStyle="1" w:styleId="pf0">
    <w:name w:val="pf0"/>
    <w:basedOn w:val="Normalny"/>
    <w:rsid w:val="00E46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E46BA1"/>
    <w:rPr>
      <w:rFonts w:ascii="Segoe UI" w:hAnsi="Segoe UI" w:cs="Segoe UI" w:hint="default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14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1.xml"/><Relationship Id="rId39" Type="http://schemas.openxmlformats.org/officeDocument/2006/relationships/hyperlink" Target="https://youtube.com/@glownyurzadstatystycznygus?si=IgHa1awoYniiJyQI" TargetMode="External"/><Relationship Id="rId21" Type="http://schemas.openxmlformats.org/officeDocument/2006/relationships/image" Target="media/image16.png"/><Relationship Id="rId34" Type="http://schemas.openxmlformats.org/officeDocument/2006/relationships/hyperlink" Target="https://x.com/GUS_STAT" TargetMode="External"/><Relationship Id="rId42" Type="http://schemas.openxmlformats.org/officeDocument/2006/relationships/image" Target="media/image27.png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11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yperlink" Target="https://new.stat.gov.pl/" TargetMode="External"/><Relationship Id="rId37" Type="http://schemas.openxmlformats.org/officeDocument/2006/relationships/image" Target="media/image25.png"/><Relationship Id="rId40" Type="http://schemas.openxmlformats.org/officeDocument/2006/relationships/image" Target="media/image26.png"/><Relationship Id="rId45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36" Type="http://schemas.openxmlformats.org/officeDocument/2006/relationships/hyperlink" Target="https://www.facebook.com/GlownyUrzadStatystyczny" TargetMode="External"/><Relationship Id="rId10" Type="http://schemas.openxmlformats.org/officeDocument/2006/relationships/image" Target="media/image5.emf"/><Relationship Id="rId19" Type="http://schemas.openxmlformats.org/officeDocument/2006/relationships/image" Target="media/image14.png"/><Relationship Id="rId31" Type="http://schemas.openxmlformats.org/officeDocument/2006/relationships/image" Target="media/image22.png"/><Relationship Id="rId44" Type="http://schemas.openxmlformats.org/officeDocument/2006/relationships/hyperlink" Target="http://stat.gov.pl/metainformacje/slownik-pojec/pojecia-stosowane-w-statystyce-publicznej/313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Relationship Id="rId30" Type="http://schemas.openxmlformats.org/officeDocument/2006/relationships/hyperlink" Target="mailto:obslugaprasowa@stat.gov.pl" TargetMode="External"/><Relationship Id="rId35" Type="http://schemas.openxmlformats.org/officeDocument/2006/relationships/image" Target="media/image24.png"/><Relationship Id="rId43" Type="http://schemas.openxmlformats.org/officeDocument/2006/relationships/hyperlink" Target="https://stat.gov.pl/obszary-tematyczne/rolnictwo-lesnictwo/rolnictwo/koniunktura-w-gospodarstwach-rolnych-w-2-polroczu-2025-r-,10,27.html" TargetMode="External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3.png"/><Relationship Id="rId38" Type="http://schemas.openxmlformats.org/officeDocument/2006/relationships/hyperlink" Target="https://www.instagram.com/gus_stat/?next" TargetMode="External"/><Relationship Id="rId46" Type="http://schemas.openxmlformats.org/officeDocument/2006/relationships/footer" Target="footer3.xml"/><Relationship Id="rId20" Type="http://schemas.openxmlformats.org/officeDocument/2006/relationships/image" Target="media/image15.png"/><Relationship Id="rId41" Type="http://schemas.openxmlformats.org/officeDocument/2006/relationships/hyperlink" Target="https://www.linkedin.com/company/glownyurzadstatystyczny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NazwaPliku xmlns="1E9983FF-DC4B-4F4E-A072-0441E2B88E6D">Koniunktura w gospodarstwach rolnym w pierwszym półroczu 2024 roku.docx</NazwaPliku>
    <Osoba xmlns="1E9983FF-DC4B-4F4E-A072-0441E2B88E6D">STAT\JANKOWSKAA</Osoba>
    <Odbiorcy2 xmlns="1E9983FF-DC4B-4F4E-A072-0441E2B88E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73B0-EED0-4D7A-8F82-AEEE10E262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F0E2DEDA-484A-42F0-88A5-DA26377E4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2223B0-666C-4496-8046-4FD7B7FA8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3236</Words>
  <Characters>19420</Characters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w gospodarstwach rolnych w 1 półroczu 2026 r.</vt:lpstr>
    </vt:vector>
  </TitlesOfParts>
  <Company/>
  <LinksUpToDate>false</LinksUpToDate>
  <CharactersWithSpaces>22611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w gospodarstwach rolnych</dc:title>
  <dc:subject/>
  <dc:creator>Główny Urząd Statystyczny</dc:creator>
  <cp:keywords/>
  <dc:description/>
  <cp:lastPrinted>2026-09-30T07:03:00Z</cp:lastPrinted>
  <dcterms:created xsi:type="dcterms:W3CDTF">2026-09-30T07:22:00Z</dcterms:created>
  <dcterms:modified xsi:type="dcterms:W3CDTF">2026-09-30T07:54:00Z</dcterms:modified>
</cp:coreProperties>
</file>