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C" w:rsidRPr="007C3378" w:rsidRDefault="00E049F1" w:rsidP="00074DD8">
      <w:pPr>
        <w:pStyle w:val="tytuinformacji"/>
        <w:rPr>
          <w:sz w:val="38"/>
          <w:szCs w:val="38"/>
          <w:shd w:val="clear" w:color="auto" w:fill="FFFFFF"/>
        </w:rPr>
      </w:pPr>
      <w:r w:rsidRPr="007C3378">
        <w:rPr>
          <w:sz w:val="38"/>
          <w:szCs w:val="38"/>
          <w:shd w:val="clear" w:color="auto" w:fill="FFFFFF"/>
        </w:rPr>
        <w:t>Wskaźniki cen towarów i usług konsumpcy</w:t>
      </w:r>
      <w:r w:rsidRPr="007C3378">
        <w:rPr>
          <w:sz w:val="38"/>
          <w:szCs w:val="38"/>
          <w:shd w:val="clear" w:color="auto" w:fill="FFFFFF"/>
        </w:rPr>
        <w:t>j</w:t>
      </w:r>
      <w:r w:rsidRPr="007C3378">
        <w:rPr>
          <w:sz w:val="38"/>
          <w:szCs w:val="38"/>
          <w:shd w:val="clear" w:color="auto" w:fill="FFFFFF"/>
        </w:rPr>
        <w:t xml:space="preserve">nych </w:t>
      </w:r>
      <w:r w:rsidRPr="007C3378">
        <w:rPr>
          <w:bCs/>
          <w:sz w:val="38"/>
          <w:szCs w:val="38"/>
          <w:shd w:val="clear" w:color="auto" w:fill="FFFFFF"/>
        </w:rPr>
        <w:t>według województw</w:t>
      </w:r>
      <w:r w:rsidR="006B0CD1" w:rsidRPr="007C3378">
        <w:rPr>
          <w:bCs/>
          <w:sz w:val="38"/>
          <w:szCs w:val="38"/>
          <w:shd w:val="clear" w:color="auto" w:fill="FFFFFF"/>
        </w:rPr>
        <w:t xml:space="preserve"> w III kwa</w:t>
      </w:r>
      <w:bookmarkStart w:id="0" w:name="_GoBack"/>
      <w:bookmarkEnd w:id="0"/>
      <w:r w:rsidR="006B0CD1" w:rsidRPr="007C3378">
        <w:rPr>
          <w:bCs/>
          <w:sz w:val="38"/>
          <w:szCs w:val="38"/>
          <w:shd w:val="clear" w:color="auto" w:fill="FFFFFF"/>
        </w:rPr>
        <w:t>rtale 2018 r.</w:t>
      </w:r>
    </w:p>
    <w:p w:rsidR="00393761" w:rsidRPr="00795625" w:rsidRDefault="00393761" w:rsidP="00074DD8">
      <w:pPr>
        <w:pStyle w:val="tytuinformacji"/>
        <w:rPr>
          <w:sz w:val="32"/>
        </w:rPr>
      </w:pPr>
    </w:p>
    <w:p w:rsidR="00116087" w:rsidRPr="00795625" w:rsidRDefault="00E049F1" w:rsidP="00E049F1">
      <w:pPr>
        <w:pStyle w:val="tytuwykresu"/>
        <w:rPr>
          <w:bCs/>
        </w:rPr>
      </w:pPr>
      <w:r w:rsidRPr="00795625">
        <w:t xml:space="preserve">Tablica </w:t>
      </w:r>
      <w:r w:rsidR="00074DD8" w:rsidRPr="00795625">
        <w:t>1</w:t>
      </w:r>
      <w:r w:rsidR="008F4441" w:rsidRPr="00795625">
        <w:t>.</w:t>
      </w:r>
      <w:r w:rsidR="00074DD8" w:rsidRPr="00795625">
        <w:rPr>
          <w:shd w:val="clear" w:color="auto" w:fill="FFFFFF"/>
        </w:rPr>
        <w:t xml:space="preserve"> </w:t>
      </w:r>
      <w:r w:rsidRPr="00795625">
        <w:t xml:space="preserve">Wskaźniki cen towarów i usług konsumpcyjnych </w:t>
      </w:r>
      <w:r w:rsidRPr="00795625">
        <w:rPr>
          <w:bCs/>
        </w:rPr>
        <w:t>według województw</w:t>
      </w:r>
      <w:r w:rsidR="00297E61" w:rsidRPr="00795625">
        <w:rPr>
          <w:bCs/>
        </w:rPr>
        <w:t xml:space="preserve"> w </w:t>
      </w:r>
      <w:r w:rsidR="00302C11" w:rsidRPr="00795625">
        <w:rPr>
          <w:bCs/>
        </w:rPr>
        <w:t>I</w:t>
      </w:r>
      <w:r w:rsidR="004547CB" w:rsidRPr="00795625">
        <w:rPr>
          <w:bCs/>
        </w:rPr>
        <w:t>I</w:t>
      </w:r>
      <w:r w:rsidR="00297E61" w:rsidRPr="00795625">
        <w:rPr>
          <w:bCs/>
        </w:rPr>
        <w:t>I</w:t>
      </w:r>
      <w:r w:rsidRPr="00795625">
        <w:rPr>
          <w:bCs/>
        </w:rPr>
        <w:t xml:space="preserve"> kwartale 201</w:t>
      </w:r>
      <w:r w:rsidR="00297E61" w:rsidRPr="00795625">
        <w:rPr>
          <w:bCs/>
        </w:rPr>
        <w:t>8</w:t>
      </w:r>
      <w:r w:rsidR="00250523" w:rsidRPr="00795625">
        <w:rPr>
          <w:bCs/>
        </w:rPr>
        <w:t xml:space="preserve"> r.</w:t>
      </w:r>
    </w:p>
    <w:p w:rsidR="002D1E16" w:rsidRPr="00795625" w:rsidRDefault="002D1E16" w:rsidP="00E049F1">
      <w:pPr>
        <w:pStyle w:val="tytuwykresu"/>
      </w:pPr>
    </w:p>
    <w:tbl>
      <w:tblPr>
        <w:tblpPr w:leftFromText="142" w:rightFromText="142" w:vertAnchor="text" w:horzAnchor="margin" w:tblpXSpec="center" w:tblpY="1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94"/>
        <w:gridCol w:w="2278"/>
        <w:gridCol w:w="2278"/>
        <w:gridCol w:w="18"/>
      </w:tblGrid>
      <w:tr w:rsidR="00297E61" w:rsidRPr="00795625" w:rsidTr="001C43CC">
        <w:trPr>
          <w:trHeight w:val="57"/>
        </w:trPr>
        <w:tc>
          <w:tcPr>
            <w:tcW w:w="3494" w:type="dxa"/>
            <w:vMerge w:val="restart"/>
            <w:vAlign w:val="center"/>
          </w:tcPr>
          <w:p w:rsidR="00297E61" w:rsidRPr="00795625" w:rsidRDefault="00297E61" w:rsidP="002D1E1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79562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574" w:type="dxa"/>
            <w:gridSpan w:val="3"/>
            <w:vAlign w:val="center"/>
          </w:tcPr>
          <w:p w:rsidR="00297E61" w:rsidRPr="00795625" w:rsidRDefault="001C43CC" w:rsidP="002D1E16">
            <w:pPr>
              <w:pStyle w:val="Nagwek3"/>
              <w:spacing w:before="0"/>
              <w:jc w:val="center"/>
              <w:rPr>
                <w:rFonts w:ascii="Fira Sans" w:eastAsiaTheme="majorEastAsia" w:hAnsi="Fira Sans" w:cstheme="majorBidi"/>
                <w:color w:val="000000" w:themeColor="text1"/>
                <w:sz w:val="16"/>
                <w:szCs w:val="16"/>
              </w:rPr>
            </w:pPr>
            <w:r w:rsidRPr="0079562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4547CB" w:rsidRPr="0079562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302C11" w:rsidRPr="0079562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>I</w:t>
            </w:r>
            <w:r w:rsidR="00297E61" w:rsidRPr="00795625">
              <w:rPr>
                <w:rFonts w:ascii="Fira Sans" w:eastAsiaTheme="majorEastAsia" w:hAnsi="Fira Sans" w:cstheme="majorBidi"/>
                <w:bCs/>
                <w:color w:val="000000" w:themeColor="text1"/>
                <w:sz w:val="16"/>
                <w:szCs w:val="16"/>
              </w:rPr>
              <w:t xml:space="preserve"> kwartał 2018</w:t>
            </w:r>
          </w:p>
        </w:tc>
      </w:tr>
      <w:tr w:rsidR="00297E61" w:rsidRPr="00795625" w:rsidTr="001C43CC">
        <w:trPr>
          <w:gridAfter w:val="1"/>
          <w:wAfter w:w="18" w:type="dxa"/>
          <w:trHeight w:val="57"/>
        </w:trPr>
        <w:tc>
          <w:tcPr>
            <w:tcW w:w="3494" w:type="dxa"/>
            <w:vMerge/>
            <w:tcBorders>
              <w:bottom w:val="single" w:sz="12" w:space="0" w:color="212492"/>
            </w:tcBorders>
            <w:vAlign w:val="center"/>
          </w:tcPr>
          <w:p w:rsidR="00297E61" w:rsidRPr="00795625" w:rsidRDefault="00297E61" w:rsidP="00297E61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tcBorders>
              <w:bottom w:val="single" w:sz="12" w:space="0" w:color="212492"/>
            </w:tcBorders>
            <w:vAlign w:val="center"/>
          </w:tcPr>
          <w:p w:rsidR="00297E61" w:rsidRPr="00795625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795625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795625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analogiczny = 100</w:t>
            </w:r>
          </w:p>
        </w:tc>
        <w:tc>
          <w:tcPr>
            <w:tcW w:w="2278" w:type="dxa"/>
            <w:vAlign w:val="center"/>
          </w:tcPr>
          <w:p w:rsidR="00297E61" w:rsidRPr="00795625" w:rsidRDefault="00297E61" w:rsidP="00297E61">
            <w:pPr>
              <w:jc w:val="center"/>
              <w:rPr>
                <w:rFonts w:eastAsiaTheme="minorHAnsi" w:cstheme="minorBidi"/>
                <w:color w:val="000000" w:themeColor="text1"/>
                <w:sz w:val="16"/>
                <w:szCs w:val="16"/>
              </w:rPr>
            </w:pPr>
            <w:r w:rsidRPr="00795625">
              <w:rPr>
                <w:rFonts w:eastAsiaTheme="minorHAnsi" w:cstheme="minorBidi"/>
                <w:color w:val="000000" w:themeColor="text1"/>
                <w:sz w:val="16"/>
                <w:szCs w:val="16"/>
              </w:rPr>
              <w:t xml:space="preserve">kwartał </w:t>
            </w:r>
            <w:r w:rsidRPr="00795625">
              <w:rPr>
                <w:rFonts w:eastAsiaTheme="minorHAnsi" w:cstheme="minorBidi"/>
                <w:color w:val="000000" w:themeColor="text1"/>
                <w:sz w:val="16"/>
                <w:szCs w:val="16"/>
              </w:rPr>
              <w:br/>
              <w:t>poprzedni = 100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  <w:tcBorders>
              <w:top w:val="single" w:sz="12" w:space="0" w:color="212492"/>
            </w:tcBorders>
            <w:vAlign w:val="center"/>
          </w:tcPr>
          <w:p w:rsidR="00302C11" w:rsidRPr="00795625" w:rsidRDefault="00302C11" w:rsidP="00302C11">
            <w:pPr>
              <w:pStyle w:val="Nagwek5"/>
              <w:tabs>
                <w:tab w:val="right" w:leader="dot" w:pos="4156"/>
              </w:tabs>
              <w:spacing w:before="0"/>
              <w:contextualSpacing/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</w:pPr>
            <w:r w:rsidRPr="00795625">
              <w:rPr>
                <w:rFonts w:ascii="Fira Sans" w:eastAsiaTheme="majorEastAsia" w:hAnsi="Fira Sans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78" w:type="dxa"/>
            <w:tcBorders>
              <w:top w:val="single" w:sz="12" w:space="0" w:color="212492"/>
            </w:tcBorders>
            <w:vAlign w:val="center"/>
          </w:tcPr>
          <w:p w:rsidR="00302C11" w:rsidRPr="00795625" w:rsidRDefault="001651FC" w:rsidP="00302C11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795625">
              <w:rPr>
                <w:rFonts w:eastAsiaTheme="minorHAnsi" w:cs="Arial"/>
                <w:b/>
                <w:sz w:val="16"/>
                <w:szCs w:val="16"/>
              </w:rPr>
              <w:t>102,0</w:t>
            </w:r>
          </w:p>
        </w:tc>
        <w:tc>
          <w:tcPr>
            <w:tcW w:w="2296" w:type="dxa"/>
            <w:gridSpan w:val="2"/>
            <w:tcBorders>
              <w:top w:val="single" w:sz="12" w:space="0" w:color="212492"/>
            </w:tcBorders>
            <w:vAlign w:val="center"/>
          </w:tcPr>
          <w:p w:rsidR="00302C11" w:rsidRPr="00795625" w:rsidRDefault="00302C11" w:rsidP="001651FC">
            <w:pPr>
              <w:jc w:val="right"/>
              <w:rPr>
                <w:rFonts w:eastAsiaTheme="minorHAnsi" w:cs="Arial"/>
                <w:b/>
                <w:sz w:val="16"/>
                <w:szCs w:val="16"/>
              </w:rPr>
            </w:pPr>
            <w:r w:rsidRPr="00795625">
              <w:rPr>
                <w:rFonts w:eastAsiaTheme="minorHAnsi" w:cs="Arial"/>
                <w:b/>
                <w:sz w:val="16"/>
                <w:szCs w:val="16"/>
              </w:rPr>
              <w:t>100,</w:t>
            </w:r>
            <w:r w:rsidR="001651FC" w:rsidRPr="00795625">
              <w:rPr>
                <w:rFonts w:eastAsiaTheme="minorHAnsi" w:cs="Arial"/>
                <w:b/>
                <w:sz w:val="16"/>
                <w:szCs w:val="16"/>
              </w:rPr>
              <w:t>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dolnośląskie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E1EA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E1EAC" w:rsidRPr="00795625">
              <w:rPr>
                <w:rFonts w:eastAsiaTheme="minorHAnsi" w:cs="Arial"/>
                <w:sz w:val="16"/>
                <w:szCs w:val="16"/>
              </w:rPr>
              <w:t>5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7E1EAC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7E1EAC" w:rsidRPr="00795625">
              <w:rPr>
                <w:rFonts w:eastAsiaTheme="minorHAnsi" w:cs="Arial"/>
                <w:sz w:val="16"/>
                <w:szCs w:val="16"/>
              </w:rPr>
              <w:t>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kujawsko-pomorskie </w:t>
            </w:r>
          </w:p>
        </w:tc>
        <w:tc>
          <w:tcPr>
            <w:tcW w:w="2278" w:type="dxa"/>
            <w:vAlign w:val="center"/>
          </w:tcPr>
          <w:p w:rsidR="00302C11" w:rsidRPr="00795625" w:rsidRDefault="00E92DD9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102,0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E92DD9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lubelskie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7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E92DD9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lubuskie </w:t>
            </w:r>
          </w:p>
        </w:tc>
        <w:tc>
          <w:tcPr>
            <w:tcW w:w="2278" w:type="dxa"/>
            <w:vAlign w:val="center"/>
          </w:tcPr>
          <w:p w:rsidR="00302C11" w:rsidRPr="00795625" w:rsidRDefault="00E92DD9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102,3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100,3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łódzkie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8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małopolskie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6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2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mazowieckie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E92DD9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E92DD9" w:rsidRPr="00795625">
              <w:rPr>
                <w:rFonts w:eastAsiaTheme="minorHAnsi" w:cs="Arial"/>
                <w:sz w:val="16"/>
                <w:szCs w:val="16"/>
              </w:rPr>
              <w:t>9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E92DD9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99,8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opolskie </w:t>
            </w:r>
          </w:p>
        </w:tc>
        <w:tc>
          <w:tcPr>
            <w:tcW w:w="2278" w:type="dxa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102,0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3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podkarpackie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9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podlaskie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7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pomorskie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3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</w:t>
            </w:r>
            <w:r w:rsidR="00302C11" w:rsidRPr="00795625">
              <w:rPr>
                <w:rFonts w:eastAsiaTheme="minorHAnsi" w:cs="Arial"/>
                <w:sz w:val="16"/>
                <w:szCs w:val="16"/>
              </w:rPr>
              <w:t>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śląskie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5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0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świętokrzyskie </w:t>
            </w:r>
          </w:p>
        </w:tc>
        <w:tc>
          <w:tcPr>
            <w:tcW w:w="2278" w:type="dxa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102,3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warmińsko-mazurskie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8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wielkopolskie </w:t>
            </w:r>
          </w:p>
        </w:tc>
        <w:tc>
          <w:tcPr>
            <w:tcW w:w="2278" w:type="dxa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102,2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100,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1</w:t>
            </w:r>
          </w:p>
        </w:tc>
      </w:tr>
      <w:tr w:rsidR="00302C11" w:rsidRPr="00795625" w:rsidTr="007E1EAC">
        <w:trPr>
          <w:trHeight w:val="57"/>
        </w:trPr>
        <w:tc>
          <w:tcPr>
            <w:tcW w:w="3494" w:type="dxa"/>
          </w:tcPr>
          <w:p w:rsidR="00302C11" w:rsidRPr="00795625" w:rsidRDefault="00302C11" w:rsidP="00302C11">
            <w:pPr>
              <w:rPr>
                <w:rFonts w:eastAsiaTheme="minorHAnsi" w:cstheme="minorBidi"/>
                <w:sz w:val="16"/>
                <w:szCs w:val="16"/>
              </w:rPr>
            </w:pPr>
            <w:r w:rsidRPr="00795625">
              <w:rPr>
                <w:rFonts w:eastAsiaTheme="minorHAnsi" w:cstheme="minorBidi"/>
                <w:sz w:val="16"/>
                <w:szCs w:val="16"/>
              </w:rPr>
              <w:t xml:space="preserve">zachodniopomorskie </w:t>
            </w:r>
          </w:p>
        </w:tc>
        <w:tc>
          <w:tcPr>
            <w:tcW w:w="2278" w:type="dxa"/>
            <w:vAlign w:val="center"/>
          </w:tcPr>
          <w:p w:rsidR="00302C11" w:rsidRPr="00795625" w:rsidRDefault="00302C11" w:rsidP="00795625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101,</w:t>
            </w:r>
            <w:r w:rsidR="00795625" w:rsidRPr="00795625">
              <w:rPr>
                <w:rFonts w:eastAsiaTheme="minorHAnsi" w:cs="Arial"/>
                <w:sz w:val="16"/>
                <w:szCs w:val="16"/>
              </w:rPr>
              <w:t>7</w:t>
            </w:r>
          </w:p>
        </w:tc>
        <w:tc>
          <w:tcPr>
            <w:tcW w:w="2296" w:type="dxa"/>
            <w:gridSpan w:val="2"/>
            <w:vAlign w:val="center"/>
          </w:tcPr>
          <w:p w:rsidR="00302C11" w:rsidRPr="00795625" w:rsidRDefault="00795625" w:rsidP="00302C11">
            <w:pPr>
              <w:jc w:val="right"/>
              <w:rPr>
                <w:rFonts w:eastAsiaTheme="minorHAnsi" w:cs="Arial"/>
                <w:sz w:val="16"/>
                <w:szCs w:val="16"/>
              </w:rPr>
            </w:pPr>
            <w:r w:rsidRPr="00795625">
              <w:rPr>
                <w:rFonts w:eastAsiaTheme="minorHAnsi" w:cs="Arial"/>
                <w:sz w:val="16"/>
                <w:szCs w:val="16"/>
              </w:rPr>
              <w:t>99,9</w:t>
            </w:r>
          </w:p>
        </w:tc>
      </w:tr>
    </w:tbl>
    <w:p w:rsidR="00694AF0" w:rsidRPr="00795625" w:rsidRDefault="00694AF0" w:rsidP="00E76D26">
      <w:pPr>
        <w:rPr>
          <w:sz w:val="18"/>
        </w:rPr>
        <w:sectPr w:rsidR="00694AF0" w:rsidRPr="00795625" w:rsidSect="003B18B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795625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9"/>
        <w:gridCol w:w="3924"/>
      </w:tblGrid>
      <w:tr w:rsidR="00E550C6" w:rsidRPr="00795625" w:rsidTr="00E550C6">
        <w:trPr>
          <w:trHeight w:val="1912"/>
        </w:trPr>
        <w:tc>
          <w:tcPr>
            <w:tcW w:w="4359" w:type="dxa"/>
          </w:tcPr>
          <w:p w:rsidR="00E550C6" w:rsidRPr="00795625" w:rsidRDefault="00E550C6" w:rsidP="00E550C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795625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550C6" w:rsidRPr="00795625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95625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</w:pPr>
            <w:r w:rsidRPr="007956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 xml:space="preserve">Anna </w:t>
            </w:r>
            <w:proofErr w:type="spellStart"/>
            <w:r w:rsidRPr="007956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US"/>
              </w:rPr>
              <w:t>Bobel</w:t>
            </w:r>
            <w:proofErr w:type="spellEnd"/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956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35 12</w:t>
            </w:r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795625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795625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16" w:history="1">
              <w:r w:rsidRPr="00795625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a.bobel@stat.gov.pl</w:t>
              </w:r>
            </w:hyperlink>
          </w:p>
        </w:tc>
        <w:tc>
          <w:tcPr>
            <w:tcW w:w="3924" w:type="dxa"/>
          </w:tcPr>
          <w:p w:rsidR="00E550C6" w:rsidRPr="00795625" w:rsidRDefault="00E550C6" w:rsidP="00E550C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795625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795625">
              <w:rPr>
                <w:rFonts w:cs="Arial"/>
                <w:color w:val="000000" w:themeColor="text1"/>
                <w:sz w:val="20"/>
              </w:rPr>
              <w:br/>
            </w:r>
            <w:r w:rsidRPr="00795625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795625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79562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E550C6" w:rsidRPr="00795625" w:rsidRDefault="00E550C6" w:rsidP="00E550C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795625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795625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795625" w:rsidRDefault="000470AA" w:rsidP="000470AA">
      <w:pPr>
        <w:rPr>
          <w:sz w:val="20"/>
          <w:lang w:val="en-US"/>
        </w:rPr>
      </w:pPr>
    </w:p>
    <w:p w:rsidR="000470AA" w:rsidRPr="00795625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795625" w:rsidTr="00246BD7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795625" w:rsidRDefault="000470AA" w:rsidP="000470AA">
            <w:pPr>
              <w:rPr>
                <w:rFonts w:eastAsiaTheme="minorHAnsi" w:cstheme="minorBidi"/>
                <w:b/>
                <w:sz w:val="20"/>
              </w:rPr>
            </w:pPr>
            <w:r w:rsidRPr="00795625">
              <w:rPr>
                <w:rFonts w:eastAsiaTheme="minorHAnsi" w:cstheme="minorBidi"/>
                <w:b/>
                <w:sz w:val="20"/>
              </w:rPr>
              <w:t xml:space="preserve">Wydział Współpracy z Mediami </w:t>
            </w:r>
          </w:p>
          <w:p w:rsidR="000470AA" w:rsidRPr="00795625" w:rsidRDefault="000470AA" w:rsidP="000470AA">
            <w:pPr>
              <w:rPr>
                <w:rFonts w:eastAsiaTheme="minorHAnsi" w:cstheme="minorBidi"/>
                <w:sz w:val="20"/>
              </w:rPr>
            </w:pPr>
            <w:r w:rsidRPr="00795625">
              <w:rPr>
                <w:rFonts w:eastAsiaTheme="minorHAnsi" w:cstheme="minorBidi"/>
                <w:b/>
                <w:sz w:val="20"/>
              </w:rPr>
              <w:t xml:space="preserve">tel.: </w:t>
            </w:r>
            <w:r w:rsidR="00097840" w:rsidRPr="00795625">
              <w:rPr>
                <w:rFonts w:eastAsiaTheme="minorHAnsi" w:cstheme="minorBidi"/>
                <w:sz w:val="20"/>
              </w:rPr>
              <w:t>22 608 34 91, 22</w:t>
            </w:r>
            <w:r w:rsidRPr="00795625">
              <w:rPr>
                <w:rFonts w:eastAsiaTheme="minorHAnsi" w:cstheme="minorBidi"/>
                <w:sz w:val="20"/>
              </w:rPr>
              <w:t xml:space="preserve"> 608 38 04 </w:t>
            </w:r>
          </w:p>
          <w:p w:rsidR="000470AA" w:rsidRPr="00795625" w:rsidRDefault="000470AA" w:rsidP="000470AA">
            <w:pPr>
              <w:rPr>
                <w:rFonts w:eastAsiaTheme="minorHAnsi" w:cstheme="minorBidi"/>
                <w:sz w:val="20"/>
                <w:lang w:val="en-US"/>
              </w:rPr>
            </w:pPr>
            <w:proofErr w:type="spellStart"/>
            <w:r w:rsidRPr="00795625">
              <w:rPr>
                <w:rFonts w:eastAsiaTheme="minorHAnsi" w:cstheme="minorBidi"/>
                <w:b/>
                <w:sz w:val="20"/>
                <w:lang w:val="en-US"/>
              </w:rPr>
              <w:t>faks</w:t>
            </w:r>
            <w:proofErr w:type="spellEnd"/>
            <w:r w:rsidRPr="00795625">
              <w:rPr>
                <w:rFonts w:eastAsiaTheme="minorHAnsi" w:cstheme="minorBidi"/>
                <w:b/>
                <w:sz w:val="20"/>
                <w:lang w:val="en-US"/>
              </w:rPr>
              <w:t>:</w:t>
            </w:r>
            <w:r w:rsidR="00097840" w:rsidRPr="00795625">
              <w:rPr>
                <w:rFonts w:eastAsiaTheme="minorHAnsi" w:cstheme="minorBidi"/>
                <w:sz w:val="20"/>
                <w:lang w:val="en-US"/>
              </w:rPr>
              <w:t xml:space="preserve"> 22</w:t>
            </w:r>
            <w:r w:rsidRPr="00795625">
              <w:rPr>
                <w:rFonts w:eastAsiaTheme="minorHAnsi" w:cstheme="minorBidi"/>
                <w:sz w:val="20"/>
                <w:lang w:val="en-US"/>
              </w:rPr>
              <w:t xml:space="preserve"> 608 38 86 </w:t>
            </w:r>
          </w:p>
          <w:p w:rsidR="000470AA" w:rsidRPr="00795625" w:rsidRDefault="000470AA" w:rsidP="000470AA">
            <w:pPr>
              <w:rPr>
                <w:rFonts w:eastAsiaTheme="minorHAnsi" w:cstheme="minorBidi"/>
                <w:sz w:val="18"/>
                <w:lang w:val="en-US"/>
              </w:rPr>
            </w:pPr>
            <w:r w:rsidRPr="00795625">
              <w:rPr>
                <w:rFonts w:eastAsiaTheme="minorHAnsi" w:cstheme="minorBidi"/>
                <w:b/>
                <w:sz w:val="20"/>
                <w:lang w:val="en-US"/>
              </w:rPr>
              <w:t>e-mail:</w:t>
            </w:r>
            <w:r w:rsidRPr="00795625">
              <w:rPr>
                <w:rFonts w:eastAsiaTheme="minorHAnsi" w:cstheme="minorBidi"/>
                <w:sz w:val="20"/>
                <w:lang w:val="en-US"/>
              </w:rPr>
              <w:t xml:space="preserve"> </w:t>
            </w:r>
            <w:hyperlink r:id="rId18" w:history="1">
              <w:r w:rsidRPr="00795625">
                <w:rPr>
                  <w:rStyle w:val="Hipercze"/>
                  <w:rFonts w:eastAsiaTheme="minorHAnsi"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795625" w:rsidRDefault="00315F36" w:rsidP="000470AA">
            <w:pPr>
              <w:rPr>
                <w:rFonts w:eastAsiaTheme="minorHAnsi" w:cstheme="minorBidi"/>
                <w:sz w:val="18"/>
                <w:lang w:val="en-US"/>
              </w:rPr>
            </w:pPr>
            <w:r w:rsidRPr="00795625"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3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795625" w:rsidRDefault="000470AA" w:rsidP="000470AA">
            <w:pPr>
              <w:rPr>
                <w:rFonts w:eastAsiaTheme="minorHAnsi" w:cstheme="minorBidi"/>
                <w:sz w:val="18"/>
              </w:rPr>
            </w:pPr>
            <w:r w:rsidRPr="00795625">
              <w:rPr>
                <w:rFonts w:eastAsiaTheme="minorHAnsi" w:cstheme="minorBidi"/>
                <w:sz w:val="20"/>
              </w:rPr>
              <w:t>www.stat.gov.pl</w:t>
            </w:r>
          </w:p>
        </w:tc>
      </w:tr>
      <w:tr w:rsidR="000470AA" w:rsidRPr="00795625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795625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795625" w:rsidRDefault="00315F36" w:rsidP="000470AA">
            <w:pPr>
              <w:rPr>
                <w:rFonts w:eastAsiaTheme="minorHAnsi" w:cstheme="minorBidi"/>
                <w:sz w:val="18"/>
              </w:rPr>
            </w:pPr>
            <w:r w:rsidRPr="00795625"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795625" w:rsidRDefault="000470AA" w:rsidP="000470AA">
            <w:pPr>
              <w:rPr>
                <w:rFonts w:eastAsiaTheme="minorHAnsi" w:cstheme="minorBidi"/>
                <w:sz w:val="18"/>
              </w:rPr>
            </w:pPr>
            <w:r w:rsidRPr="00795625">
              <w:rPr>
                <w:rFonts w:eastAsiaTheme="minorHAnsi" w:cstheme="minorBidi"/>
                <w:sz w:val="20"/>
              </w:rPr>
              <w:t>@GUS_STAT</w:t>
            </w:r>
          </w:p>
        </w:tc>
      </w:tr>
      <w:tr w:rsidR="000470AA" w:rsidRPr="00795625" w:rsidTr="00246BD7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795625" w:rsidRDefault="000470AA" w:rsidP="000470AA">
            <w:pPr>
              <w:rPr>
                <w:rFonts w:eastAsiaTheme="minorHAnsi" w:cstheme="minorBid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795625" w:rsidRDefault="00315F36" w:rsidP="000470AA">
            <w:pPr>
              <w:rPr>
                <w:rFonts w:eastAsiaTheme="minorHAnsi" w:cstheme="minorBidi"/>
                <w:sz w:val="18"/>
              </w:rPr>
            </w:pPr>
            <w:r w:rsidRPr="00795625">
              <w:rPr>
                <w:rFonts w:eastAsiaTheme="minorHAnsi"/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1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795625" w:rsidRDefault="000470AA" w:rsidP="000470AA">
            <w:pPr>
              <w:rPr>
                <w:rFonts w:eastAsiaTheme="minorHAnsi" w:cstheme="minorBidi"/>
                <w:sz w:val="20"/>
              </w:rPr>
            </w:pPr>
            <w:r w:rsidRPr="00795625">
              <w:rPr>
                <w:rFonts w:eastAsiaTheme="minorHAnsi" w:cstheme="minorBidi"/>
                <w:sz w:val="20"/>
              </w:rPr>
              <w:t>@</w:t>
            </w:r>
            <w:proofErr w:type="spellStart"/>
            <w:r w:rsidRPr="00795625">
              <w:rPr>
                <w:rFonts w:eastAsiaTheme="minorHAnsi" w:cstheme="minorBidi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454A8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6559550" cy="4443095"/>
                <wp:effectExtent l="9525" t="6350" r="12700" b="825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EAC" w:rsidRDefault="007E1EAC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7E1EAC" w:rsidRPr="006761A7" w:rsidRDefault="007E1EAC" w:rsidP="00E550C6">
                            <w:pPr>
                              <w:rPr>
                                <w:b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7E1EAC" w:rsidRPr="00E233EA" w:rsidRDefault="007E1EAC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E1EAC" w:rsidRPr="00E233EA" w:rsidRDefault="007E1EAC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7E1EAC" w:rsidRPr="006761A7" w:rsidRDefault="007E1EAC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E1EAC" w:rsidRDefault="007E1EAC" w:rsidP="00E550C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E1EAC" w:rsidRPr="006761A7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7E1EAC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7E1EAC" w:rsidRPr="00E233EA" w:rsidRDefault="00A85547" w:rsidP="00E550C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  <w:lang w:val="en-US"/>
                              </w:rPr>
                            </w:pPr>
                            <w:hyperlink r:id="rId30" w:history="1">
                              <w:proofErr w:type="spellStart"/>
                              <w:r w:rsidR="007E1EAC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Cena</w:t>
                              </w:r>
                              <w:proofErr w:type="spellEnd"/>
                              <w:r w:rsidR="007E1EAC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7E1EAC" w:rsidRPr="00E233E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  <w:lang w:val="en-US"/>
                                </w:rPr>
                                <w:t>detaliczna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" fillcolor="#f2f2f2" strokecolor="white">
                <v:textbox>
                  <w:txbxContent>
                    <w:p w:rsidR="007E1EAC" w:rsidRDefault="007E1EAC" w:rsidP="00AB6D25">
                      <w:pPr>
                        <w:rPr>
                          <w:b/>
                        </w:rPr>
                      </w:pPr>
                    </w:p>
                    <w:p w:rsidR="007E1EAC" w:rsidRPr="006761A7" w:rsidRDefault="007E1EAC" w:rsidP="00E550C6">
                      <w:pPr>
                        <w:rPr>
                          <w:b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7E1EAC" w:rsidRPr="00E233EA" w:rsidRDefault="007E1EAC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7E1EAC" w:rsidRPr="00E233EA" w:rsidRDefault="007E1EAC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7E1EAC" w:rsidRPr="006761A7" w:rsidRDefault="007E1EAC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7E1EAC" w:rsidRDefault="007E1EAC" w:rsidP="00E550C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E1EAC" w:rsidRPr="006761A7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7E1EAC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7E1EAC" w:rsidRPr="00E233EA" w:rsidRDefault="00C605B3" w:rsidP="00E550C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  <w:lang w:val="en-US"/>
                        </w:rPr>
                      </w:pPr>
                      <w:hyperlink r:id="rId39" w:history="1">
                        <w:r w:rsidR="007E1EAC" w:rsidRPr="00E233E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  <w:lang w:val="en-US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40"/>
      <w:footerReference w:type="default" r:id="rId4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47" w:rsidRDefault="00A85547" w:rsidP="000662E2">
      <w:pPr>
        <w:spacing w:after="0" w:line="240" w:lineRule="auto"/>
      </w:pPr>
      <w:r>
        <w:separator/>
      </w:r>
    </w:p>
  </w:endnote>
  <w:endnote w:type="continuationSeparator" w:id="0">
    <w:p w:rsidR="00A85547" w:rsidRDefault="00A8554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Arial"/>
    <w:charset w:val="EE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C605B3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337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C605B3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337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C605B3" w:rsidP="003B18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C337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47" w:rsidRDefault="00A85547" w:rsidP="000662E2">
      <w:pPr>
        <w:spacing w:after="0" w:line="240" w:lineRule="auto"/>
      </w:pPr>
      <w:r>
        <w:separator/>
      </w:r>
    </w:p>
  </w:footnote>
  <w:footnote w:type="continuationSeparator" w:id="0">
    <w:p w:rsidR="00A85547" w:rsidRDefault="00A85547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454A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4445" t="2540" r="0" b="0"/>
              <wp:wrapNone/>
              <wp:docPr id="1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HUhQ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" fillcolor="#f2f2f2" stroked="f" strokeweight="1pt"/>
          </w:pict>
        </mc:Fallback>
      </mc:AlternateContent>
    </w:r>
  </w:p>
  <w:p w:rsidR="007E1EAC" w:rsidRDefault="007E1E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454A8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E1EAC" w:rsidRPr="003C6C8D" w:rsidRDefault="007E1EA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2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7E1EAC" w:rsidRPr="003C6C8D" w:rsidRDefault="007E1EA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7E1EAC">
      <w:rPr>
        <w:noProof/>
        <w:lang w:eastAsia="pl-PL"/>
      </w:rPr>
      <w:drawing>
        <wp:inline distT="0" distB="0" distL="0" distR="0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1EAC" w:rsidRDefault="00454A8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1EAC" w:rsidRPr="00C97596" w:rsidRDefault="007E1EA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23.11.2018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7E1EAC" w:rsidRPr="00C97596" w:rsidRDefault="007E1EA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23.11.2018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C" w:rsidRDefault="007E1EAC">
    <w:pPr>
      <w:pStyle w:val="Nagwek"/>
    </w:pPr>
  </w:p>
  <w:p w:rsidR="007E1EAC" w:rsidRDefault="007E1E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24FE"/>
    <w:rsid w:val="0004582E"/>
    <w:rsid w:val="000470AA"/>
    <w:rsid w:val="00057CA1"/>
    <w:rsid w:val="000662E2"/>
    <w:rsid w:val="00066883"/>
    <w:rsid w:val="00074DD8"/>
    <w:rsid w:val="000806F7"/>
    <w:rsid w:val="00097840"/>
    <w:rsid w:val="000B0727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62325"/>
    <w:rsid w:val="001651FC"/>
    <w:rsid w:val="001951DA"/>
    <w:rsid w:val="001C3269"/>
    <w:rsid w:val="001C43CC"/>
    <w:rsid w:val="001D1DB4"/>
    <w:rsid w:val="00246BD7"/>
    <w:rsid w:val="00246C6E"/>
    <w:rsid w:val="00250523"/>
    <w:rsid w:val="002574F9"/>
    <w:rsid w:val="00262B61"/>
    <w:rsid w:val="00276811"/>
    <w:rsid w:val="00282699"/>
    <w:rsid w:val="002926DF"/>
    <w:rsid w:val="00296697"/>
    <w:rsid w:val="00297E61"/>
    <w:rsid w:val="002B0472"/>
    <w:rsid w:val="002B6B12"/>
    <w:rsid w:val="002D1E16"/>
    <w:rsid w:val="002D707C"/>
    <w:rsid w:val="002E6140"/>
    <w:rsid w:val="002E6985"/>
    <w:rsid w:val="002E71B6"/>
    <w:rsid w:val="002F77C8"/>
    <w:rsid w:val="00302C11"/>
    <w:rsid w:val="00304F22"/>
    <w:rsid w:val="00306C7C"/>
    <w:rsid w:val="00315F36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A755A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212E7"/>
    <w:rsid w:val="0042446D"/>
    <w:rsid w:val="00427BF8"/>
    <w:rsid w:val="00431C02"/>
    <w:rsid w:val="00437395"/>
    <w:rsid w:val="00445047"/>
    <w:rsid w:val="004547CB"/>
    <w:rsid w:val="00454A83"/>
    <w:rsid w:val="00463E39"/>
    <w:rsid w:val="004657FC"/>
    <w:rsid w:val="004733F6"/>
    <w:rsid w:val="00474E69"/>
    <w:rsid w:val="0049621B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916D7"/>
    <w:rsid w:val="00595DD2"/>
    <w:rsid w:val="005A698C"/>
    <w:rsid w:val="005E0799"/>
    <w:rsid w:val="005F5A80"/>
    <w:rsid w:val="006044FF"/>
    <w:rsid w:val="00607CC5"/>
    <w:rsid w:val="00633014"/>
    <w:rsid w:val="0063437B"/>
    <w:rsid w:val="00661254"/>
    <w:rsid w:val="006673CA"/>
    <w:rsid w:val="00673C26"/>
    <w:rsid w:val="006812AF"/>
    <w:rsid w:val="0068327D"/>
    <w:rsid w:val="00694AF0"/>
    <w:rsid w:val="006A4686"/>
    <w:rsid w:val="006B0CD1"/>
    <w:rsid w:val="006B0E9E"/>
    <w:rsid w:val="006B5AE4"/>
    <w:rsid w:val="006D1507"/>
    <w:rsid w:val="006D4054"/>
    <w:rsid w:val="006E02EC"/>
    <w:rsid w:val="007211B1"/>
    <w:rsid w:val="00746187"/>
    <w:rsid w:val="0076254F"/>
    <w:rsid w:val="007801F5"/>
    <w:rsid w:val="00783CA4"/>
    <w:rsid w:val="007842FB"/>
    <w:rsid w:val="00786124"/>
    <w:rsid w:val="0079514B"/>
    <w:rsid w:val="00795625"/>
    <w:rsid w:val="007A2DC1"/>
    <w:rsid w:val="007C3378"/>
    <w:rsid w:val="007D3319"/>
    <w:rsid w:val="007D335D"/>
    <w:rsid w:val="007E1EAC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448"/>
    <w:rsid w:val="0088258A"/>
    <w:rsid w:val="00886332"/>
    <w:rsid w:val="008A26D9"/>
    <w:rsid w:val="008C0C29"/>
    <w:rsid w:val="008F3638"/>
    <w:rsid w:val="008F4441"/>
    <w:rsid w:val="008F5D37"/>
    <w:rsid w:val="008F6F31"/>
    <w:rsid w:val="008F74DF"/>
    <w:rsid w:val="009127BA"/>
    <w:rsid w:val="009227A6"/>
    <w:rsid w:val="00925FC9"/>
    <w:rsid w:val="00933EC1"/>
    <w:rsid w:val="009530DB"/>
    <w:rsid w:val="00953676"/>
    <w:rsid w:val="009705EE"/>
    <w:rsid w:val="00977927"/>
    <w:rsid w:val="0098135C"/>
    <w:rsid w:val="0098156A"/>
    <w:rsid w:val="00991BAC"/>
    <w:rsid w:val="009A6EA0"/>
    <w:rsid w:val="009B5DCA"/>
    <w:rsid w:val="009C1335"/>
    <w:rsid w:val="009C1AB2"/>
    <w:rsid w:val="009C7251"/>
    <w:rsid w:val="009D26BD"/>
    <w:rsid w:val="009E2E91"/>
    <w:rsid w:val="00A139F5"/>
    <w:rsid w:val="00A365F4"/>
    <w:rsid w:val="00A47D80"/>
    <w:rsid w:val="00A53132"/>
    <w:rsid w:val="00A563F2"/>
    <w:rsid w:val="00A566E8"/>
    <w:rsid w:val="00A73F02"/>
    <w:rsid w:val="00A810F9"/>
    <w:rsid w:val="00A85547"/>
    <w:rsid w:val="00A86ECC"/>
    <w:rsid w:val="00A86FCC"/>
    <w:rsid w:val="00AA710D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49B"/>
    <w:rsid w:val="00B914E9"/>
    <w:rsid w:val="00B956EE"/>
    <w:rsid w:val="00BA2BA1"/>
    <w:rsid w:val="00BA3562"/>
    <w:rsid w:val="00BB4F09"/>
    <w:rsid w:val="00BD4E33"/>
    <w:rsid w:val="00C030DE"/>
    <w:rsid w:val="00C22105"/>
    <w:rsid w:val="00C244B6"/>
    <w:rsid w:val="00C3702F"/>
    <w:rsid w:val="00C4500A"/>
    <w:rsid w:val="00C605B3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A4FB6"/>
    <w:rsid w:val="00CC739E"/>
    <w:rsid w:val="00CD58B7"/>
    <w:rsid w:val="00CF0B82"/>
    <w:rsid w:val="00CF4099"/>
    <w:rsid w:val="00D00796"/>
    <w:rsid w:val="00D261A2"/>
    <w:rsid w:val="00D616D2"/>
    <w:rsid w:val="00D63B5F"/>
    <w:rsid w:val="00D70EF7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049F1"/>
    <w:rsid w:val="00E17B77"/>
    <w:rsid w:val="00E224AE"/>
    <w:rsid w:val="00E23337"/>
    <w:rsid w:val="00E259EA"/>
    <w:rsid w:val="00E32061"/>
    <w:rsid w:val="00E42FF9"/>
    <w:rsid w:val="00E4714C"/>
    <w:rsid w:val="00E51AEB"/>
    <w:rsid w:val="00E522A7"/>
    <w:rsid w:val="00E54452"/>
    <w:rsid w:val="00E550C6"/>
    <w:rsid w:val="00E664C5"/>
    <w:rsid w:val="00E671A2"/>
    <w:rsid w:val="00E76D26"/>
    <w:rsid w:val="00E92DD9"/>
    <w:rsid w:val="00EA7895"/>
    <w:rsid w:val="00EB1390"/>
    <w:rsid w:val="00EB2C71"/>
    <w:rsid w:val="00EB4340"/>
    <w:rsid w:val="00EB556D"/>
    <w:rsid w:val="00EB5A7D"/>
    <w:rsid w:val="00ED55C0"/>
    <w:rsid w:val="00ED682B"/>
    <w:rsid w:val="00EE41D5"/>
    <w:rsid w:val="00F037A4"/>
    <w:rsid w:val="00F2669E"/>
    <w:rsid w:val="00F27C8F"/>
    <w:rsid w:val="00F32749"/>
    <w:rsid w:val="00F37172"/>
    <w:rsid w:val="00F4477E"/>
    <w:rsid w:val="00F67D8F"/>
    <w:rsid w:val="00F802BE"/>
    <w:rsid w:val="00F802EF"/>
    <w:rsid w:val="00F80E93"/>
    <w:rsid w:val="00F86024"/>
    <w:rsid w:val="00F8611A"/>
    <w:rsid w:val="00FA5128"/>
    <w:rsid w:val="00FB42D4"/>
    <w:rsid w:val="00FB5906"/>
    <w:rsid w:val="00FB762F"/>
    <w:rsid w:val="00FC2AED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26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bdl.stat.gov.pl/BDL/start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rzecznik@stat.gov.pl" TargetMode="External"/><Relationship Id="rId25" Type="http://schemas.openxmlformats.org/officeDocument/2006/relationships/hyperlink" Target="http://bdm.stat.gov.pl/" TargetMode="External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.bobel@stat.gov.p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stat.gov.pl/metainformacje/slownik-pojec/pojecia-stosowane-w-statystyce-publicznej/711,pojecie.html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stat.gov.pl/sygnalne/informacje-sygnalne/" TargetMode="External"/><Relationship Id="rId28" Type="http://schemas.openxmlformats.org/officeDocument/2006/relationships/hyperlink" Target="http://stat.gov.pl/obszary-tematyczne/ceny-handel/ceny/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stat.gov.pl/sygnalne/komunikaty-i-obwieszczenia/" TargetMode="External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tat.gov.pl/metainformacje/slownik-pojec/pojecia-stosowane-w-statystyce-publicznej/32,pojecie.html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C9E78-B97B-4036-B53B-752195F8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według województw w trzecim kwartale 2018 roku</dc:title>
  <dc:subject>Wskaźniki cen towarów i usług konsumpcyjnych według województw w trzecim kwartale 2018 roku</dc:subject>
  <dc:creator>Główny Urząd Statystyczny</dc:creator>
  <cp:keywords>wskaźniki cen towarów i usług konsumpcyjnych według województw; ceny detaliczne; ceny konsumpcyjne; ceny towarów i usług; żywność; system wag; coicop; cpi; inflacja</cp:keywords>
  <dc:description>Wskaźniki cen towarów i usług konsumpcyjnych według województw w trzecim kwartale 2018 roku</dc:description>
  <cp:lastModifiedBy>Dariusz Mazurek</cp:lastModifiedBy>
  <cp:revision>3</cp:revision>
  <cp:lastPrinted>2018-05-24T07:07:00Z</cp:lastPrinted>
  <dcterms:created xsi:type="dcterms:W3CDTF">2018-11-23T08:34:00Z</dcterms:created>
  <dcterms:modified xsi:type="dcterms:W3CDTF">2018-11-23T08:35:00Z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