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1"/>
        <w:gridCol w:w="1517"/>
        <w:gridCol w:w="1514"/>
      </w:tblGrid>
      <w:tr w:rsidR="0084700E" w:rsidTr="00E21ECE">
        <w:tc>
          <w:tcPr>
            <w:tcW w:w="1296" w:type="dxa"/>
          </w:tcPr>
          <w:tbl>
            <w:tblPr>
              <w:tblW w:w="10455" w:type="dxa"/>
              <w:tblLook w:val="04A0" w:firstRow="1" w:lastRow="0" w:firstColumn="1" w:lastColumn="0" w:noHBand="0" w:noVBand="1"/>
            </w:tblPr>
            <w:tblGrid>
              <w:gridCol w:w="1214"/>
              <w:gridCol w:w="5698"/>
              <w:gridCol w:w="3543"/>
            </w:tblGrid>
            <w:tr w:rsidR="00E21ECE" w:rsidRPr="001C0FB9" w:rsidTr="00B80631">
              <w:tc>
                <w:tcPr>
                  <w:tcW w:w="1214" w:type="dxa"/>
                </w:tcPr>
                <w:p w:rsidR="00E21ECE" w:rsidRPr="001C0FB9" w:rsidRDefault="00E21ECE" w:rsidP="00B80631">
                  <w:pPr>
                    <w:spacing w:before="200" w:after="0" w:line="288" w:lineRule="auto"/>
                    <w:rPr>
                      <w:rFonts w:ascii="Arial" w:hAnsi="Arial" w:cs="Arial"/>
                      <w:b/>
                    </w:rPr>
                  </w:pPr>
                  <w:r w:rsidRPr="001C0FB9">
                    <w:rPr>
                      <w:rFonts w:ascii="Arial" w:hAnsi="Arial" w:cs="Arial"/>
                      <w:b/>
                      <w:noProof/>
                    </w:rPr>
                    <w:drawing>
                      <wp:inline distT="0" distB="0" distL="0" distR="0">
                        <wp:extent cx="598805" cy="504190"/>
                        <wp:effectExtent l="0" t="0" r="0" b="0"/>
                        <wp:docPr id="9" name="Obraz 1" descr="G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GU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04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98" w:type="dxa"/>
                </w:tcPr>
                <w:p w:rsidR="00E21ECE" w:rsidRPr="001C0FB9" w:rsidRDefault="00E21ECE" w:rsidP="00B80631">
                  <w:pPr>
                    <w:spacing w:before="120" w:after="0" w:line="288" w:lineRule="auto"/>
                    <w:ind w:left="62"/>
                    <w:jc w:val="both"/>
                    <w:rPr>
                      <w:rFonts w:ascii="Arial" w:hAnsi="Arial" w:cs="Arial"/>
                      <w:b/>
                      <w:sz w:val="32"/>
                      <w:szCs w:val="28"/>
                    </w:rPr>
                  </w:pPr>
                  <w:r w:rsidRPr="001C0FB9">
                    <w:rPr>
                      <w:rFonts w:ascii="Arial" w:hAnsi="Arial" w:cs="Arial"/>
                      <w:b/>
                      <w:sz w:val="32"/>
                      <w:szCs w:val="28"/>
                    </w:rPr>
                    <w:t xml:space="preserve">GŁÓWNY URZĄD STATYSTYCZNY </w:t>
                  </w:r>
                </w:p>
                <w:p w:rsidR="00E21ECE" w:rsidRPr="00E21ECE" w:rsidRDefault="00E21ECE" w:rsidP="00B80631">
                  <w:pPr>
                    <w:spacing w:before="120" w:after="0" w:line="288" w:lineRule="auto"/>
                    <w:ind w:left="62"/>
                    <w:rPr>
                      <w:rFonts w:ascii="Arial" w:hAnsi="Arial" w:cs="Arial"/>
                    </w:rPr>
                  </w:pPr>
                  <w:r w:rsidRPr="00E21ECE">
                    <w:rPr>
                      <w:rFonts w:ascii="Arial" w:hAnsi="Arial" w:cs="Arial"/>
                      <w:sz w:val="28"/>
                      <w:szCs w:val="24"/>
                    </w:rPr>
                    <w:t xml:space="preserve">Opracowanie sygnalne </w:t>
                  </w:r>
                </w:p>
              </w:tc>
              <w:tc>
                <w:tcPr>
                  <w:tcW w:w="3543" w:type="dxa"/>
                </w:tcPr>
                <w:p w:rsidR="00E21ECE" w:rsidRPr="001C0FB9" w:rsidRDefault="00E21ECE" w:rsidP="003E0623">
                  <w:pPr>
                    <w:spacing w:before="120" w:after="0" w:line="288" w:lineRule="auto"/>
                    <w:ind w:left="-125"/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C0FB9">
                    <w:rPr>
                      <w:rFonts w:ascii="Arial" w:hAnsi="Arial" w:cs="Arial"/>
                      <w:sz w:val="24"/>
                      <w:szCs w:val="24"/>
                    </w:rPr>
                    <w:t xml:space="preserve">Warszawa, </w:t>
                  </w:r>
                  <w:r w:rsidR="004D0429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3E0623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Pr="001C0FB9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E65FD0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3E0623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E65FD0">
                    <w:rPr>
                      <w:rFonts w:ascii="Arial" w:hAnsi="Arial" w:cs="Arial"/>
                      <w:sz w:val="24"/>
                      <w:szCs w:val="24"/>
                    </w:rPr>
                    <w:t>.201</w:t>
                  </w:r>
                  <w:r w:rsidR="00275804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4700E" w:rsidRDefault="0084700E"/>
        </w:tc>
        <w:tc>
          <w:tcPr>
            <w:tcW w:w="6208" w:type="dxa"/>
          </w:tcPr>
          <w:p w:rsidR="0084700E" w:rsidRPr="001C0FB9" w:rsidRDefault="0084700E" w:rsidP="00B80631">
            <w:pPr>
              <w:spacing w:before="120" w:line="288" w:lineRule="auto"/>
              <w:ind w:left="62"/>
              <w:rPr>
                <w:rFonts w:ascii="Arial" w:hAnsi="Arial" w:cs="Arial"/>
                <w:b/>
              </w:rPr>
            </w:pPr>
          </w:p>
        </w:tc>
        <w:tc>
          <w:tcPr>
            <w:tcW w:w="6198" w:type="dxa"/>
          </w:tcPr>
          <w:p w:rsidR="0084700E" w:rsidRDefault="0084700E"/>
        </w:tc>
      </w:tr>
    </w:tbl>
    <w:p w:rsidR="00D63E86" w:rsidRPr="0084700E" w:rsidRDefault="001707B3" w:rsidP="0084700E">
      <w:pPr>
        <w:spacing w:line="240" w:lineRule="auto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60116</wp:posOffset>
                </wp:positionH>
                <wp:positionV relativeFrom="paragraph">
                  <wp:posOffset>105268</wp:posOffset>
                </wp:positionV>
                <wp:extent cx="6362700" cy="341194"/>
                <wp:effectExtent l="0" t="0" r="0" b="190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1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17A" w:rsidRPr="00E21ECE" w:rsidRDefault="00C41070" w:rsidP="007C03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E21E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Dynamika sprzedaży detalicznej w </w:t>
                            </w:r>
                            <w:r w:rsidR="00CF439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kwietniu</w:t>
                            </w:r>
                            <w:r w:rsidR="004D042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E21E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201</w:t>
                            </w:r>
                            <w:r w:rsidR="0092599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7</w:t>
                            </w:r>
                            <w:r w:rsidRPr="00E21EC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75pt;margin-top:8.3pt;width:501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" stroked="f" strokecolor="#4f81bd [3204]">
                <v:stroke dashstyle="3 1"/>
                <v:textbox>
                  <w:txbxContent>
                    <w:p w:rsidR="006C417A" w:rsidRPr="00E21ECE" w:rsidRDefault="00C41070" w:rsidP="007C03C4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E21ECE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Dynamika sprzedaży detalicznej w </w:t>
                      </w:r>
                      <w:r w:rsidR="00CF4398">
                        <w:rPr>
                          <w:rFonts w:ascii="Arial" w:hAnsi="Arial" w:cs="Arial"/>
                          <w:b/>
                          <w:sz w:val="28"/>
                        </w:rPr>
                        <w:t>kwietniu</w:t>
                      </w:r>
                      <w:r w:rsidR="004D042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E21ECE">
                        <w:rPr>
                          <w:rFonts w:ascii="Arial" w:hAnsi="Arial" w:cs="Arial"/>
                          <w:b/>
                          <w:sz w:val="28"/>
                        </w:rPr>
                        <w:t>201</w:t>
                      </w:r>
                      <w:r w:rsidR="0092599A">
                        <w:rPr>
                          <w:rFonts w:ascii="Arial" w:hAnsi="Arial" w:cs="Arial"/>
                          <w:b/>
                          <w:sz w:val="28"/>
                        </w:rPr>
                        <w:t>7</w:t>
                      </w:r>
                      <w:r w:rsidRPr="00E21ECE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84700E">
        <w:rPr>
          <w:b/>
          <w:sz w:val="28"/>
        </w:rPr>
        <w:t xml:space="preserve">       </w:t>
      </w:r>
    </w:p>
    <w:p w:rsidR="00670E4C" w:rsidRDefault="001707B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60116</wp:posOffset>
                </wp:positionH>
                <wp:positionV relativeFrom="paragraph">
                  <wp:posOffset>149282</wp:posOffset>
                </wp:positionV>
                <wp:extent cx="6362700" cy="784746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784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070" w:rsidRDefault="007C03C4" w:rsidP="004A624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szCs w:val="28"/>
                              </w:rPr>
                              <w:tab/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</w:t>
                            </w:r>
                            <w:r w:rsidR="00067FB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CF43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kwietniu</w:t>
                            </w:r>
                            <w:r w:rsidR="00AE156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br.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odnotowano </w:t>
                            </w:r>
                            <w:r w:rsidR="008F00B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wzrost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sprzedaży detalicznej</w:t>
                            </w:r>
                            <w:r w:rsidR="002B61FC" w:rsidRPr="006B6B8D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1</w:t>
                            </w:r>
                            <w:r w:rsidR="00B57B42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w cenach stałych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w</w:t>
                            </w:r>
                            <w:r w:rsidR="00E038A4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skali roku o</w:t>
                            </w:r>
                            <w:r w:rsidR="003E3F1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CF43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6</w:t>
                            </w:r>
                            <w:r w:rsidR="009C06F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CF43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7</w:t>
                            </w:r>
                            <w:r w:rsidR="003E3F1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%</w:t>
                            </w:r>
                            <w:r w:rsidR="00457A4F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(wobec wzrostu o </w:t>
                            </w:r>
                            <w:r w:rsidR="00A2735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7</w:t>
                            </w:r>
                            <w:r w:rsidR="00C319C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A2735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9</w:t>
                            </w:r>
                            <w:r w:rsidR="00E0465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% </w:t>
                            </w:r>
                            <w:r w:rsidR="00AE156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przed miesiącem </w:t>
                            </w:r>
                            <w:r w:rsidR="00E0465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oraz o</w:t>
                            </w:r>
                            <w:r w:rsidR="00441E4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3B5D9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5</w:t>
                            </w:r>
                            <w:r w:rsidR="00441E4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3B5D9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5</w:t>
                            </w:r>
                            <w:r w:rsidR="00457A4F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% </w:t>
                            </w:r>
                            <w:r w:rsidR="00866DC9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</w:t>
                            </w:r>
                            <w:r w:rsidR="00067FB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3B5D9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kwietniu</w:t>
                            </w:r>
                            <w:r w:rsidR="00AE156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201</w:t>
                            </w:r>
                            <w:r w:rsidR="0092599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6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r.</w:t>
                            </w:r>
                            <w:r w:rsidR="00457A4F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).</w:t>
                            </w:r>
                            <w:r w:rsidR="00C41070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0250A2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 </w:t>
                            </w:r>
                            <w:r w:rsidR="006B6B8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porównaniu z</w:t>
                            </w:r>
                            <w:r w:rsidR="000F083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414C2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marcem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414C2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br. </w:t>
                            </w:r>
                            <w:r w:rsidR="006B6B8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miał miejsce </w:t>
                            </w:r>
                            <w:r w:rsidR="00AE156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spadek</w:t>
                            </w:r>
                            <w:r w:rsidR="00E65FD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6B6B8D" w:rsidRPr="006B6B8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sprzedaży detalicznej o</w:t>
                            </w:r>
                            <w:r w:rsidR="000250A2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 </w:t>
                            </w:r>
                            <w:r w:rsidR="00414C2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1</w:t>
                            </w:r>
                            <w:r w:rsidR="00E65FD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414C2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4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%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(wobec spadku przed rokiem o </w:t>
                            </w:r>
                            <w:r w:rsidR="00FF778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0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</w:t>
                            </w:r>
                            <w:r w:rsidR="00FF778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3</w:t>
                            </w:r>
                            <w:r w:rsidR="0024799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%)</w:t>
                            </w:r>
                            <w:r w:rsidR="00AE19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.75pt;margin-top:11.75pt;width:501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" stroked="f" strokecolor="#4f81bd [3204]">
                <v:stroke dashstyle="3 1"/>
                <v:textbox>
                  <w:txbxContent>
                    <w:p w:rsidR="00C41070" w:rsidRDefault="007C03C4" w:rsidP="004A624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szCs w:val="28"/>
                        </w:rPr>
                        <w:tab/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W</w:t>
                      </w:r>
                      <w:r w:rsidR="00067FBF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CF4398">
                        <w:rPr>
                          <w:rFonts w:ascii="Arial" w:hAnsi="Arial" w:cs="Arial"/>
                          <w:b/>
                          <w:szCs w:val="24"/>
                        </w:rPr>
                        <w:t>kwietniu</w:t>
                      </w:r>
                      <w:r w:rsidR="00AE1566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br.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odnotowano </w:t>
                      </w:r>
                      <w:r w:rsidR="008F00BA">
                        <w:rPr>
                          <w:rFonts w:ascii="Arial" w:hAnsi="Arial" w:cs="Arial"/>
                          <w:b/>
                          <w:szCs w:val="24"/>
                        </w:rPr>
                        <w:t>wzrost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sprzedaży detalicznej</w:t>
                      </w:r>
                      <w:r w:rsidR="002B61FC" w:rsidRPr="006B6B8D">
                        <w:rPr>
                          <w:rFonts w:ascii="Arial" w:hAnsi="Arial" w:cs="Arial"/>
                          <w:b/>
                          <w:vertAlign w:val="superscript"/>
                        </w:rPr>
                        <w:t>1</w:t>
                      </w:r>
                      <w:r w:rsidR="00B57B42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w cenach stałych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w</w:t>
                      </w:r>
                      <w:r w:rsidR="00E038A4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 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skali roku o</w:t>
                      </w:r>
                      <w:r w:rsidR="003E3F1B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CF4398">
                        <w:rPr>
                          <w:rFonts w:ascii="Arial" w:hAnsi="Arial" w:cs="Arial"/>
                          <w:b/>
                          <w:szCs w:val="24"/>
                        </w:rPr>
                        <w:t>6</w:t>
                      </w:r>
                      <w:r w:rsidR="009C06FE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CF4398">
                        <w:rPr>
                          <w:rFonts w:ascii="Arial" w:hAnsi="Arial" w:cs="Arial"/>
                          <w:b/>
                          <w:szCs w:val="24"/>
                        </w:rPr>
                        <w:t>7</w:t>
                      </w:r>
                      <w:r w:rsidR="003E3F1B">
                        <w:rPr>
                          <w:rFonts w:ascii="Arial" w:hAnsi="Arial" w:cs="Arial"/>
                          <w:b/>
                          <w:szCs w:val="24"/>
                        </w:rPr>
                        <w:t>%</w:t>
                      </w:r>
                      <w:r w:rsidR="00457A4F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(wobec wzrostu o </w:t>
                      </w:r>
                      <w:r w:rsidR="00A2735D">
                        <w:rPr>
                          <w:rFonts w:ascii="Arial" w:hAnsi="Arial" w:cs="Arial"/>
                          <w:b/>
                          <w:szCs w:val="24"/>
                        </w:rPr>
                        <w:t>7</w:t>
                      </w:r>
                      <w:r w:rsidR="00C319C0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A2735D">
                        <w:rPr>
                          <w:rFonts w:ascii="Arial" w:hAnsi="Arial" w:cs="Arial"/>
                          <w:b/>
                          <w:szCs w:val="24"/>
                        </w:rPr>
                        <w:t>9</w:t>
                      </w:r>
                      <w:r w:rsidR="00E0465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% </w:t>
                      </w:r>
                      <w:r w:rsidR="00AE1566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przed miesiącem </w:t>
                      </w:r>
                      <w:r w:rsidR="00E0465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oraz o</w:t>
                      </w:r>
                      <w:r w:rsidR="00441E4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3B5D9B">
                        <w:rPr>
                          <w:rFonts w:ascii="Arial" w:hAnsi="Arial" w:cs="Arial"/>
                          <w:b/>
                          <w:szCs w:val="24"/>
                        </w:rPr>
                        <w:t>5</w:t>
                      </w:r>
                      <w:r w:rsidR="00441E41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3B5D9B">
                        <w:rPr>
                          <w:rFonts w:ascii="Arial" w:hAnsi="Arial" w:cs="Arial"/>
                          <w:b/>
                          <w:szCs w:val="24"/>
                        </w:rPr>
                        <w:t>5</w:t>
                      </w:r>
                      <w:r w:rsidR="00457A4F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% </w:t>
                      </w:r>
                      <w:r w:rsidR="00866DC9">
                        <w:rPr>
                          <w:rFonts w:ascii="Arial" w:hAnsi="Arial" w:cs="Arial"/>
                          <w:b/>
                          <w:szCs w:val="24"/>
                        </w:rPr>
                        <w:t>w</w:t>
                      </w:r>
                      <w:r w:rsidR="00067FBF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3B5D9B">
                        <w:rPr>
                          <w:rFonts w:ascii="Arial" w:hAnsi="Arial" w:cs="Arial"/>
                          <w:b/>
                          <w:szCs w:val="24"/>
                        </w:rPr>
                        <w:t>kwietniu</w:t>
                      </w:r>
                      <w:r w:rsidR="00AE1566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>201</w:t>
                      </w:r>
                      <w:r w:rsidR="0092599A">
                        <w:rPr>
                          <w:rFonts w:ascii="Arial" w:hAnsi="Arial" w:cs="Arial"/>
                          <w:b/>
                          <w:szCs w:val="24"/>
                        </w:rPr>
                        <w:t>6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r.</w:t>
                      </w:r>
                      <w:r w:rsidR="00457A4F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).</w:t>
                      </w:r>
                      <w:r w:rsidR="00C41070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0250A2">
                        <w:rPr>
                          <w:rFonts w:ascii="Arial" w:hAnsi="Arial" w:cs="Arial"/>
                          <w:b/>
                          <w:szCs w:val="24"/>
                        </w:rPr>
                        <w:t>W </w:t>
                      </w:r>
                      <w:r w:rsidR="006B6B8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porównaniu z</w:t>
                      </w:r>
                      <w:r w:rsidR="000F083C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414C21">
                        <w:rPr>
                          <w:rFonts w:ascii="Arial" w:hAnsi="Arial" w:cs="Arial"/>
                          <w:b/>
                          <w:szCs w:val="24"/>
                        </w:rPr>
                        <w:t>marcem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414C2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br. </w:t>
                      </w:r>
                      <w:r w:rsidR="006B6B8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miał miejsce </w:t>
                      </w:r>
                      <w:r w:rsidR="00AE1566">
                        <w:rPr>
                          <w:rFonts w:ascii="Arial" w:hAnsi="Arial" w:cs="Arial"/>
                          <w:b/>
                          <w:szCs w:val="24"/>
                        </w:rPr>
                        <w:t>spadek</w:t>
                      </w:r>
                      <w:r w:rsidR="00E65FD0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6B6B8D" w:rsidRPr="006B6B8D">
                        <w:rPr>
                          <w:rFonts w:ascii="Arial" w:hAnsi="Arial" w:cs="Arial"/>
                          <w:b/>
                          <w:szCs w:val="24"/>
                        </w:rPr>
                        <w:t>sprzedaży detalicznej o</w:t>
                      </w:r>
                      <w:r w:rsidR="000250A2">
                        <w:rPr>
                          <w:rFonts w:ascii="Arial" w:hAnsi="Arial" w:cs="Arial"/>
                          <w:b/>
                          <w:szCs w:val="24"/>
                        </w:rPr>
                        <w:t> </w:t>
                      </w:r>
                      <w:r w:rsidR="00414C21">
                        <w:rPr>
                          <w:rFonts w:ascii="Arial" w:hAnsi="Arial" w:cs="Arial"/>
                          <w:b/>
                          <w:szCs w:val="24"/>
                        </w:rPr>
                        <w:t>1</w:t>
                      </w:r>
                      <w:r w:rsidR="00E65FD0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414C21">
                        <w:rPr>
                          <w:rFonts w:ascii="Arial" w:hAnsi="Arial" w:cs="Arial"/>
                          <w:b/>
                          <w:szCs w:val="24"/>
                        </w:rPr>
                        <w:t>4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>%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(wobec spadku przed rokiem o </w:t>
                      </w:r>
                      <w:r w:rsidR="00FF778A">
                        <w:rPr>
                          <w:rFonts w:ascii="Arial" w:hAnsi="Arial" w:cs="Arial"/>
                          <w:b/>
                          <w:szCs w:val="24"/>
                        </w:rPr>
                        <w:t>0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>,</w:t>
                      </w:r>
                      <w:r w:rsidR="00FF778A">
                        <w:rPr>
                          <w:rFonts w:ascii="Arial" w:hAnsi="Arial" w:cs="Arial"/>
                          <w:b/>
                          <w:szCs w:val="24"/>
                        </w:rPr>
                        <w:t>3</w:t>
                      </w:r>
                      <w:r w:rsidR="00247998">
                        <w:rPr>
                          <w:rFonts w:ascii="Arial" w:hAnsi="Arial" w:cs="Arial"/>
                          <w:b/>
                          <w:szCs w:val="24"/>
                        </w:rPr>
                        <w:t>%)</w:t>
                      </w:r>
                      <w:r w:rsidR="00AE19D1">
                        <w:rPr>
                          <w:rFonts w:ascii="Arial" w:hAnsi="Arial" w:cs="Arial"/>
                          <w:b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70E4C" w:rsidRDefault="00670E4C"/>
    <w:p w:rsidR="00670E4C" w:rsidRDefault="001707B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ED3A0A" wp14:editId="51D85D03">
                <wp:simplePos x="0" y="0"/>
                <wp:positionH relativeFrom="column">
                  <wp:posOffset>52590</wp:posOffset>
                </wp:positionH>
                <wp:positionV relativeFrom="paragraph">
                  <wp:posOffset>226349</wp:posOffset>
                </wp:positionV>
                <wp:extent cx="6791325" cy="8467898"/>
                <wp:effectExtent l="0" t="0" r="9525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8467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054" w:rsidRDefault="00A27E73" w:rsidP="003569F3">
                            <w:pPr>
                              <w:spacing w:before="120" w:after="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CC48C7" wp14:editId="5510CDD6">
                                  <wp:extent cx="6306589" cy="3219450"/>
                                  <wp:effectExtent l="0" t="0" r="0" b="0"/>
                                  <wp:docPr id="1" name="Wykres 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3DE7" w:rsidRDefault="00D43DE7" w:rsidP="003569F3">
                            <w:pPr>
                              <w:spacing w:before="120" w:after="4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831" w:rsidRDefault="00F95831" w:rsidP="00AE1566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Dynamika sprzedaży detalicznej kształtowała się następująco:</w:t>
                            </w:r>
                          </w:p>
                          <w:tbl>
                            <w:tblPr>
                              <w:tblW w:w="10070" w:type="dxa"/>
                              <w:tblInd w:w="-72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  <w:gridCol w:w="1110"/>
                              <w:gridCol w:w="1112"/>
                              <w:gridCol w:w="1112"/>
                              <w:gridCol w:w="1111"/>
                              <w:gridCol w:w="1111"/>
                              <w:gridCol w:w="1112"/>
                            </w:tblGrid>
                            <w:tr w:rsidR="00A340D9" w:rsidRPr="00E21ECE" w:rsidTr="00185E9F">
                              <w:trPr>
                                <w:cantSplit/>
                                <w:trHeight w:val="619"/>
                              </w:trPr>
                              <w:tc>
                                <w:tcPr>
                                  <w:tcW w:w="340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340D9" w:rsidRPr="00E453EC" w:rsidRDefault="00A340D9" w:rsidP="00A340D9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453E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gridSpan w:val="3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340D9" w:rsidRPr="004004EF" w:rsidRDefault="00A340D9" w:rsidP="00A340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Ceny stałe 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  <w:gridSpan w:val="3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4004EF" w:rsidRDefault="00A340D9" w:rsidP="00A340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Ceny bieżące</w:t>
                                  </w:r>
                                </w:p>
                              </w:tc>
                            </w:tr>
                            <w:tr w:rsidR="00A340D9" w:rsidRPr="00E21ECE" w:rsidTr="00185E9F">
                              <w:trPr>
                                <w:trHeight w:val="296"/>
                              </w:trPr>
                              <w:tc>
                                <w:tcPr>
                                  <w:tcW w:w="3402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340D9" w:rsidRPr="00E21ECE" w:rsidRDefault="00A340D9" w:rsidP="00A340D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340D9" w:rsidRPr="004004EF" w:rsidRDefault="00A340D9" w:rsidP="00A340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4004EF" w:rsidRDefault="00A340D9" w:rsidP="00A340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22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4004EF" w:rsidRDefault="00A340D9" w:rsidP="00A340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4004EF" w:rsidRDefault="00A340D9" w:rsidP="00A340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I-I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V 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340D9" w:rsidRPr="00E21ECE" w:rsidTr="00185E9F">
                              <w:trPr>
                                <w:trHeight w:val="474"/>
                              </w:trPr>
                              <w:tc>
                                <w:tcPr>
                                  <w:tcW w:w="340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340D9" w:rsidRPr="00E21ECE" w:rsidRDefault="00A340D9" w:rsidP="00A340D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4004EF" w:rsidRDefault="00A340D9" w:rsidP="00A340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II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= =100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4004EF" w:rsidRDefault="00A340D9" w:rsidP="00A340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= =100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4004EF" w:rsidRDefault="00A340D9" w:rsidP="00A340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I-IV 2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=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4004EF" w:rsidRDefault="00A340D9" w:rsidP="00A340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II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 201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= =100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4004EF" w:rsidRDefault="00A340D9" w:rsidP="00A340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= =100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4004EF" w:rsidRDefault="00A340D9" w:rsidP="00A340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=</w:t>
                                  </w:r>
                                  <w:r w:rsidRPr="004004EF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A340D9" w:rsidRPr="00E21ECE" w:rsidTr="00185E9F">
                              <w:trPr>
                                <w:trHeight w:val="275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340D9" w:rsidRPr="00073A03" w:rsidRDefault="00A340D9" w:rsidP="00A340D9">
                                  <w:pPr>
                                    <w:spacing w:before="60"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98,6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106,7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106,9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98,8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108,1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60" w:after="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108,7</w:t>
                                  </w:r>
                                </w:p>
                              </w:tc>
                            </w:tr>
                            <w:tr w:rsidR="00A340D9" w:rsidRPr="00E21ECE" w:rsidTr="00185E9F">
                              <w:trPr>
                                <w:trHeight w:val="363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A340D9" w:rsidRPr="00403AC2" w:rsidRDefault="00A340D9" w:rsidP="00A340D9">
                                  <w:pPr>
                                    <w:spacing w:after="0"/>
                                    <w:ind w:firstLine="214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8E009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D6159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D6159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403AC2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D6159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D6159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403AC2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A340D9" w:rsidRPr="00E21ECE" w:rsidTr="00185E9F">
                              <w:trPr>
                                <w:trHeight w:val="435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Pojazdy samochodowe, motocykle, części……....................................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81,4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94,6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104,5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81,4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92,4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102,5</w:t>
                                  </w:r>
                                </w:p>
                              </w:tc>
                            </w:tr>
                            <w:tr w:rsidR="00A340D9" w:rsidRPr="00E21ECE" w:rsidTr="00185E9F">
                              <w:trPr>
                                <w:trHeight w:val="396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Paliwa stałe, ciekłe i gazowe…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99,0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109,0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110,8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98,4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120,2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123,6</w:t>
                                  </w:r>
                                </w:p>
                              </w:tc>
                            </w:tr>
                            <w:tr w:rsidR="00A340D9" w:rsidRPr="00E21ECE" w:rsidTr="00185E9F">
                              <w:trPr>
                                <w:trHeight w:val="445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340D9" w:rsidRPr="00073A03" w:rsidRDefault="00A340D9" w:rsidP="00A340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Żywność, napoje i wyroby tytoniowe…...…......……………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104,6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109,4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102,0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104,5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112,0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104,9</w:t>
                                  </w:r>
                                </w:p>
                              </w:tc>
                            </w:tr>
                            <w:tr w:rsidR="00A340D9" w:rsidRPr="00E21ECE" w:rsidTr="00185E9F">
                              <w:trPr>
                                <w:trHeight w:val="556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A340D9" w:rsidRPr="00073A03" w:rsidRDefault="00A340D9" w:rsidP="00A340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Pozostała sprzedaż detaliczna </w:t>
                                  </w:r>
                                </w:p>
                                <w:p w:rsidR="00A340D9" w:rsidRPr="00073A03" w:rsidRDefault="00A340D9" w:rsidP="00A340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 niewyspecjalizowanych sklepach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103,0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109,1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106,5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103,7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107,8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105,2</w:t>
                                  </w:r>
                                </w:p>
                              </w:tc>
                            </w:tr>
                            <w:tr w:rsidR="00A340D9" w:rsidRPr="00E21ECE" w:rsidTr="00185E9F">
                              <w:trPr>
                                <w:cantSplit/>
                                <w:trHeight w:val="627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Farmaceutyki, kosmetyki, sprzęt ortopedyczny……………………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103,6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112,6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113,5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103,7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112,9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113,5</w:t>
                                  </w:r>
                                </w:p>
                              </w:tc>
                            </w:tr>
                            <w:tr w:rsidR="00A340D9" w:rsidRPr="00E21ECE" w:rsidTr="00185E9F">
                              <w:trPr>
                                <w:cantSplit/>
                                <w:trHeight w:val="424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Tekstylia, odzież, obuwie……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103,1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112,0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115,6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106,0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106,4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109,7</w:t>
                                  </w:r>
                                </w:p>
                              </w:tc>
                            </w:tr>
                            <w:tr w:rsidR="00A340D9" w:rsidRPr="00E21ECE" w:rsidTr="00185E9F">
                              <w:trPr>
                                <w:cantSplit/>
                                <w:trHeight w:val="370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Meble, </w:t>
                                  </w:r>
                                  <w:proofErr w:type="spellStart"/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rtv</w:t>
                                  </w:r>
                                  <w:proofErr w:type="spellEnd"/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agd</w:t>
                                  </w:r>
                                  <w:proofErr w:type="spellEnd"/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99,5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107,0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109,4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99,5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107,1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109,7</w:t>
                                  </w:r>
                                </w:p>
                              </w:tc>
                            </w:tr>
                            <w:tr w:rsidR="00A340D9" w:rsidRPr="00E21ECE" w:rsidTr="00185E9F">
                              <w:trPr>
                                <w:cantSplit/>
                                <w:trHeight w:val="790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A340D9" w:rsidRPr="00073A03" w:rsidRDefault="00A340D9" w:rsidP="00A340D9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Prasa, książki, pozostała sprzedaż </w:t>
                                  </w:r>
                                </w:p>
                                <w:p w:rsidR="00A340D9" w:rsidRPr="00073A03" w:rsidRDefault="00A340D9" w:rsidP="00A340D9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w wyspecjalizowanych sklepach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97,7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105,2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110,7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97,6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105,2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before="240" w:after="60" w:line="240" w:lineRule="auto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110,8</w:t>
                                  </w:r>
                                </w:p>
                              </w:tc>
                            </w:tr>
                            <w:tr w:rsidR="00A340D9" w:rsidRPr="00E21ECE" w:rsidTr="00185E9F">
                              <w:trPr>
                                <w:cantSplit/>
                                <w:trHeight w:val="270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340D9" w:rsidRPr="00073A03" w:rsidRDefault="00A340D9" w:rsidP="00A340D9">
                                  <w:pPr>
                                    <w:spacing w:after="6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Pozostałe………………………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073A03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93,2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99,8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104,8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93,6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99,7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340D9" w:rsidRPr="00073A03" w:rsidRDefault="00A340D9" w:rsidP="00A340D9">
                                  <w:pPr>
                                    <w:spacing w:after="60"/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104,9</w:t>
                                  </w:r>
                                </w:p>
                              </w:tc>
                            </w:tr>
                          </w:tbl>
                          <w:p w:rsidR="00FE035D" w:rsidRDefault="00FE035D" w:rsidP="005468F3">
                            <w:pPr>
                              <w:spacing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D3A0A" id="Text Box 5" o:spid="_x0000_s1028" type="#_x0000_t202" style="position:absolute;margin-left:4.15pt;margin-top:17.8pt;width:534.75pt;height:66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" stroked="f" strokecolor="#4f81bd [3204]">
                <v:stroke dashstyle="3 1"/>
                <v:textbox>
                  <w:txbxContent>
                    <w:p w:rsidR="005F2054" w:rsidRDefault="00A27E73" w:rsidP="003569F3">
                      <w:pPr>
                        <w:spacing w:before="120" w:after="40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CC48C7" wp14:editId="5510CDD6">
                            <wp:extent cx="6306589" cy="3219450"/>
                            <wp:effectExtent l="0" t="0" r="0" b="0"/>
                            <wp:docPr id="1" name="Wykres 1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  <w:p w:rsidR="00D43DE7" w:rsidRDefault="00D43DE7" w:rsidP="003569F3">
                      <w:pPr>
                        <w:spacing w:before="120" w:after="40"/>
                        <w:rPr>
                          <w:rFonts w:ascii="Arial" w:hAnsi="Arial" w:cs="Arial"/>
                        </w:rPr>
                      </w:pPr>
                    </w:p>
                    <w:p w:rsidR="00F95831" w:rsidRDefault="00F95831" w:rsidP="00AE1566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Dynamika sprzedaży detalicznej kształtowała się następująco:</w:t>
                      </w:r>
                    </w:p>
                    <w:tbl>
                      <w:tblPr>
                        <w:tblW w:w="10070" w:type="dxa"/>
                        <w:tblInd w:w="-72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  <w:gridCol w:w="1110"/>
                        <w:gridCol w:w="1112"/>
                        <w:gridCol w:w="1112"/>
                        <w:gridCol w:w="1111"/>
                        <w:gridCol w:w="1111"/>
                        <w:gridCol w:w="1112"/>
                      </w:tblGrid>
                      <w:tr w:rsidR="00A340D9" w:rsidRPr="00E21ECE" w:rsidTr="00185E9F">
                        <w:trPr>
                          <w:cantSplit/>
                          <w:trHeight w:val="619"/>
                        </w:trPr>
                        <w:tc>
                          <w:tcPr>
                            <w:tcW w:w="340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340D9" w:rsidRPr="00E453EC" w:rsidRDefault="00A340D9" w:rsidP="00A340D9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453E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3334" w:type="dxa"/>
                            <w:gridSpan w:val="3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340D9" w:rsidRPr="004004EF" w:rsidRDefault="00A340D9" w:rsidP="00A340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Ceny stałe </w:t>
                            </w:r>
                          </w:p>
                        </w:tc>
                        <w:tc>
                          <w:tcPr>
                            <w:tcW w:w="3334" w:type="dxa"/>
                            <w:gridSpan w:val="3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4004EF" w:rsidRDefault="00A340D9" w:rsidP="00A340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Ceny bieżące</w:t>
                            </w:r>
                          </w:p>
                        </w:tc>
                      </w:tr>
                      <w:tr w:rsidR="00A340D9" w:rsidRPr="00E21ECE" w:rsidTr="00185E9F">
                        <w:trPr>
                          <w:trHeight w:val="296"/>
                        </w:trPr>
                        <w:tc>
                          <w:tcPr>
                            <w:tcW w:w="3402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340D9" w:rsidRPr="00E21ECE" w:rsidRDefault="00A340D9" w:rsidP="00A340D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2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340D9" w:rsidRPr="004004EF" w:rsidRDefault="00A340D9" w:rsidP="00A340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4004EF" w:rsidRDefault="00A340D9" w:rsidP="00A340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22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4004EF" w:rsidRDefault="00A340D9" w:rsidP="00A340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4004EF" w:rsidRDefault="00A340D9" w:rsidP="00A340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I-I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 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A340D9" w:rsidRPr="00E21ECE" w:rsidTr="00185E9F">
                        <w:trPr>
                          <w:trHeight w:val="474"/>
                        </w:trPr>
                        <w:tc>
                          <w:tcPr>
                            <w:tcW w:w="3402" w:type="dxa"/>
                            <w:vMerge/>
                            <w:tcBorders>
                              <w:left w:val="single" w:sz="12" w:space="0" w:color="auto"/>
                              <w:bottom w:val="single" w:sz="12" w:space="0" w:color="000000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A340D9" w:rsidRPr="00E21ECE" w:rsidRDefault="00A340D9" w:rsidP="00A340D9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4004EF" w:rsidRDefault="00A340D9" w:rsidP="00A340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= =100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4004EF" w:rsidRDefault="00A340D9" w:rsidP="00A340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= =100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4004EF" w:rsidRDefault="00A340D9" w:rsidP="00A340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I-IV 2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=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4004EF" w:rsidRDefault="00A340D9" w:rsidP="00A340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 201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= =100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4004EF" w:rsidRDefault="00A340D9" w:rsidP="00A340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= =100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4004EF" w:rsidRDefault="00A340D9" w:rsidP="00A340D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=</w:t>
                            </w:r>
                            <w:r w:rsidRPr="004004E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</w:tr>
                      <w:tr w:rsidR="00A340D9" w:rsidRPr="00E21ECE" w:rsidTr="00185E9F">
                        <w:trPr>
                          <w:trHeight w:val="275"/>
                        </w:trPr>
                        <w:tc>
                          <w:tcPr>
                            <w:tcW w:w="340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340D9" w:rsidRPr="00073A03" w:rsidRDefault="00A340D9" w:rsidP="00A340D9">
                            <w:pPr>
                              <w:spacing w:before="60" w:after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Ogółem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98,6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106,7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106,9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98,8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108,1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60"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108,7</w:t>
                            </w:r>
                          </w:p>
                        </w:tc>
                      </w:tr>
                      <w:tr w:rsidR="00A340D9" w:rsidRPr="00E21ECE" w:rsidTr="00185E9F">
                        <w:trPr>
                          <w:trHeight w:val="363"/>
                        </w:trPr>
                        <w:tc>
                          <w:tcPr>
                            <w:tcW w:w="340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A340D9" w:rsidRPr="00403AC2" w:rsidRDefault="00A340D9" w:rsidP="00A340D9">
                            <w:pPr>
                              <w:spacing w:after="0"/>
                              <w:ind w:firstLine="214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8E009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D6159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D6159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403AC2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D6159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D6159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403AC2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</w:tr>
                      <w:tr w:rsidR="00A340D9" w:rsidRPr="00E21ECE" w:rsidTr="00185E9F">
                        <w:trPr>
                          <w:trHeight w:val="435"/>
                        </w:trPr>
                        <w:tc>
                          <w:tcPr>
                            <w:tcW w:w="340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Pojazdy samochodowe, motocykle, części……....................................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81,4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94,6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104,5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81,4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92,4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102,5</w:t>
                            </w:r>
                          </w:p>
                        </w:tc>
                      </w:tr>
                      <w:tr w:rsidR="00A340D9" w:rsidRPr="00E21ECE" w:rsidTr="00185E9F">
                        <w:trPr>
                          <w:trHeight w:val="396"/>
                        </w:trPr>
                        <w:tc>
                          <w:tcPr>
                            <w:tcW w:w="340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Paliwa stałe, ciekłe i gazowe…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99,0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109,0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110,8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98,4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120,2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123,6</w:t>
                            </w:r>
                          </w:p>
                        </w:tc>
                      </w:tr>
                      <w:tr w:rsidR="00A340D9" w:rsidRPr="00E21ECE" w:rsidTr="00185E9F">
                        <w:trPr>
                          <w:trHeight w:val="445"/>
                        </w:trPr>
                        <w:tc>
                          <w:tcPr>
                            <w:tcW w:w="340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340D9" w:rsidRPr="00073A03" w:rsidRDefault="00A340D9" w:rsidP="00A340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Żywność, napoje i wyroby tytoniowe…...…......……………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104,6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109,4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102,0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104,5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112,0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104,9</w:t>
                            </w:r>
                          </w:p>
                        </w:tc>
                      </w:tr>
                      <w:tr w:rsidR="00A340D9" w:rsidRPr="00E21ECE" w:rsidTr="00185E9F">
                        <w:trPr>
                          <w:trHeight w:val="556"/>
                        </w:trPr>
                        <w:tc>
                          <w:tcPr>
                            <w:tcW w:w="340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A340D9" w:rsidRPr="00073A03" w:rsidRDefault="00A340D9" w:rsidP="00A340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Pozostała sprzedaż detaliczna </w:t>
                            </w:r>
                          </w:p>
                          <w:p w:rsidR="00A340D9" w:rsidRPr="00073A03" w:rsidRDefault="00A340D9" w:rsidP="00A340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 niewyspecjalizowanych sklepach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103,0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109,1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106,5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103,7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107,8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105,2</w:t>
                            </w:r>
                          </w:p>
                        </w:tc>
                      </w:tr>
                      <w:tr w:rsidR="00A340D9" w:rsidRPr="00E21ECE" w:rsidTr="00185E9F">
                        <w:trPr>
                          <w:cantSplit/>
                          <w:trHeight w:val="627"/>
                        </w:trPr>
                        <w:tc>
                          <w:tcPr>
                            <w:tcW w:w="340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Farmaceutyki, kosmetyki, sprzęt ortopedyczny……………………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103,6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112,6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113,5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103,7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112,9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113,5</w:t>
                            </w:r>
                          </w:p>
                        </w:tc>
                      </w:tr>
                      <w:tr w:rsidR="00A340D9" w:rsidRPr="00E21ECE" w:rsidTr="00185E9F">
                        <w:trPr>
                          <w:cantSplit/>
                          <w:trHeight w:val="424"/>
                        </w:trPr>
                        <w:tc>
                          <w:tcPr>
                            <w:tcW w:w="340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Tekstylia, odzież, obuwie……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103,1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112,0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115,6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106,0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106,4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109,7</w:t>
                            </w:r>
                          </w:p>
                        </w:tc>
                      </w:tr>
                      <w:tr w:rsidR="00A340D9" w:rsidRPr="00E21ECE" w:rsidTr="00185E9F">
                        <w:trPr>
                          <w:cantSplit/>
                          <w:trHeight w:val="370"/>
                        </w:trPr>
                        <w:tc>
                          <w:tcPr>
                            <w:tcW w:w="340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Meble, </w:t>
                            </w:r>
                            <w:proofErr w:type="spellStart"/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rtv</w:t>
                            </w:r>
                            <w:proofErr w:type="spellEnd"/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agd</w:t>
                            </w:r>
                            <w:proofErr w:type="spellEnd"/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99,5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107,0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109,4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99,5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107,1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109,7</w:t>
                            </w:r>
                          </w:p>
                        </w:tc>
                      </w:tr>
                      <w:tr w:rsidR="00A340D9" w:rsidRPr="00E21ECE" w:rsidTr="00185E9F">
                        <w:trPr>
                          <w:cantSplit/>
                          <w:trHeight w:val="790"/>
                        </w:trPr>
                        <w:tc>
                          <w:tcPr>
                            <w:tcW w:w="3402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A340D9" w:rsidRPr="00073A03" w:rsidRDefault="00A340D9" w:rsidP="00A340D9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Prasa, książki, pozostała sprzedaż </w:t>
                            </w:r>
                          </w:p>
                          <w:p w:rsidR="00A340D9" w:rsidRPr="00073A03" w:rsidRDefault="00A340D9" w:rsidP="00A340D9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w wyspecjalizowanych sklepach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97,7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105,2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110,7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97,6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105,2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before="240" w:after="6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110,8</w:t>
                            </w:r>
                          </w:p>
                        </w:tc>
                      </w:tr>
                      <w:tr w:rsidR="00A340D9" w:rsidRPr="00E21ECE" w:rsidTr="00185E9F">
                        <w:trPr>
                          <w:cantSplit/>
                          <w:trHeight w:val="270"/>
                        </w:trPr>
                        <w:tc>
                          <w:tcPr>
                            <w:tcW w:w="3402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340D9" w:rsidRPr="00073A03" w:rsidRDefault="00A340D9" w:rsidP="00A340D9">
                            <w:pPr>
                              <w:spacing w:after="6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Pozostałe………………………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73A0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93,2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99,8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104,8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93,6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99,7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340D9" w:rsidRPr="00073A03" w:rsidRDefault="00A340D9" w:rsidP="00A340D9">
                            <w:pPr>
                              <w:spacing w:after="6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104,9</w:t>
                            </w:r>
                          </w:p>
                        </w:tc>
                      </w:tr>
                    </w:tbl>
                    <w:p w:rsidR="00FE035D" w:rsidRDefault="00FE035D" w:rsidP="005468F3">
                      <w:pPr>
                        <w:spacing w:after="60"/>
                      </w:pPr>
                    </w:p>
                  </w:txbxContent>
                </v:textbox>
              </v:shape>
            </w:pict>
          </mc:Fallback>
        </mc:AlternateContent>
      </w:r>
    </w:p>
    <w:p w:rsidR="006C417A" w:rsidRPr="00451D55" w:rsidRDefault="006C417A"/>
    <w:p w:rsidR="00670E4C" w:rsidRPr="00451D55" w:rsidRDefault="00670E4C"/>
    <w:p w:rsidR="00670E4C" w:rsidRPr="00451D55" w:rsidRDefault="00670E4C">
      <w:pPr>
        <w:rPr>
          <w:b/>
        </w:rPr>
      </w:pPr>
    </w:p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Default="00670E4C"/>
    <w:p w:rsidR="00451D55" w:rsidRPr="00451D55" w:rsidRDefault="00451D55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Pr="00451D55" w:rsidRDefault="00670E4C"/>
    <w:p w:rsidR="00670E4C" w:rsidRDefault="006B76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02E370" wp14:editId="3BDC1DB9">
                <wp:simplePos x="0" y="0"/>
                <wp:positionH relativeFrom="margin">
                  <wp:align>left</wp:align>
                </wp:positionH>
                <wp:positionV relativeFrom="page">
                  <wp:posOffset>640080</wp:posOffset>
                </wp:positionV>
                <wp:extent cx="6391275" cy="2926080"/>
                <wp:effectExtent l="0" t="0" r="9525" b="762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642" w:rsidRDefault="006B7642" w:rsidP="006B7642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W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kwietniu 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 r. </w:t>
                            </w:r>
                            <w:r>
                              <w:rPr>
                                <w:rFonts w:ascii="Arial" w:hAnsi="Arial" w:cs="Arial"/>
                              </w:rPr>
                              <w:t>odnotowano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 wzrost sprzedaży detalicznej w cenach stałych w skali roku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w większości 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grup. Wśród grup o znaczącym udziale w sprzedaży detalicznej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„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ogółem</w:t>
                            </w:r>
                            <w:r>
                              <w:rPr>
                                <w:rFonts w:ascii="Arial" w:hAnsi="Arial" w:cs="Arial"/>
                              </w:rPr>
                              <w:t>”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wysoki 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wzrost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w porównaniu z analogicznym okresem ub. roku zaobserwowano 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przedsiębiorstwach sprzedających żywność, napoje i wyroby tytoniowe (o 9,4% wobec wzrostu o 4,1% przed rokiem)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oraz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w podmiotach zaklasyfikowanych do grupy „pozostała sprzedaż detaliczna w niewyspecjalizowanych sklepach” (</w:t>
                            </w:r>
                            <w:r w:rsidRPr="00B577D6">
                              <w:rPr>
                                <w:rFonts w:ascii="Arial" w:hAnsi="Arial" w:cs="Arial"/>
                              </w:rPr>
                              <w:t>o 9,1% wobec 7,3%</w:t>
                            </w:r>
                            <w:r>
                              <w:rPr>
                                <w:rFonts w:ascii="Arial" w:hAnsi="Arial" w:cs="Arial"/>
                              </w:rPr>
                              <w:t>), jak również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w jednostkach 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>zajmujących się handlem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paliwami stałymi, ciekłymi i gazowymi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(o 9,0% wobec spadku o 5,1% w ub. roku).</w:t>
                            </w:r>
                            <w:r w:rsidRPr="004924B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23C3D">
                              <w:rPr>
                                <w:rFonts w:ascii="Arial" w:hAnsi="Arial" w:cs="Arial"/>
                              </w:rPr>
                              <w:t xml:space="preserve">Niższą </w:t>
                            </w:r>
                            <w:r>
                              <w:rPr>
                                <w:rFonts w:ascii="Arial" w:hAnsi="Arial" w:cs="Arial"/>
                              </w:rPr>
                              <w:t>sprzedaż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 xml:space="preserve"> odnotowano natomiast w podmiotach wchodzących w skład grupowań: „pojazdy samochodowe, motocykle, części” (o 5,4% wobec wzrostu o 19,1% przed rokiem) oraz „pozostałe” (o 0,2%). </w:t>
                            </w:r>
                          </w:p>
                          <w:p w:rsidR="006B7642" w:rsidRDefault="006B7642" w:rsidP="006B7642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 okresie styczeń-kwiecień br. sprzedaż detaliczna zwiększyła się w porównaniu z analogicznym okresem ub. roku o 6,9% (wobec wzrostu o 4,6% w 2016 r.).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2E370" id="Text Box 7" o:spid="_x0000_s1029" type="#_x0000_t202" style="position:absolute;margin-left:0;margin-top:50.4pt;width:503.25pt;height:230.4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" stroked="f" strokecolor="#4f81bd [3204]">
                <v:stroke dashstyle="3 1"/>
                <v:textbox>
                  <w:txbxContent>
                    <w:p w:rsidR="006B7642" w:rsidRDefault="006B7642" w:rsidP="006B7642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4924B9">
                        <w:rPr>
                          <w:rFonts w:ascii="Arial" w:hAnsi="Arial" w:cs="Arial"/>
                        </w:rPr>
                        <w:t xml:space="preserve">W </w:t>
                      </w:r>
                      <w:r>
                        <w:rPr>
                          <w:rFonts w:ascii="Arial" w:hAnsi="Arial" w:cs="Arial"/>
                        </w:rPr>
                        <w:t xml:space="preserve">kwietniu </w:t>
                      </w:r>
                      <w:r w:rsidRPr="004924B9">
                        <w:rPr>
                          <w:rFonts w:ascii="Arial" w:hAnsi="Arial" w:cs="Arial"/>
                        </w:rPr>
                        <w:t>201</w:t>
                      </w:r>
                      <w:r>
                        <w:rPr>
                          <w:rFonts w:ascii="Arial" w:hAnsi="Arial" w:cs="Arial"/>
                        </w:rPr>
                        <w:t>7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 r. </w:t>
                      </w:r>
                      <w:r>
                        <w:rPr>
                          <w:rFonts w:ascii="Arial" w:hAnsi="Arial" w:cs="Arial"/>
                        </w:rPr>
                        <w:t>odnotowano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 wzrost sprzedaży detalicznej w cenach stałych w skali roku </w:t>
                      </w:r>
                      <w:r>
                        <w:rPr>
                          <w:rFonts w:ascii="Arial" w:hAnsi="Arial" w:cs="Arial"/>
                        </w:rPr>
                        <w:t xml:space="preserve">w większości 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grup. Wśród grup o znaczącym udziale w sprzedaży detalicznej </w:t>
                      </w:r>
                      <w:r>
                        <w:rPr>
                          <w:rFonts w:ascii="Arial" w:hAnsi="Arial" w:cs="Arial"/>
                        </w:rPr>
                        <w:t>„</w:t>
                      </w:r>
                      <w:r w:rsidRPr="004924B9">
                        <w:rPr>
                          <w:rFonts w:ascii="Arial" w:hAnsi="Arial" w:cs="Arial"/>
                        </w:rPr>
                        <w:t>ogółem</w:t>
                      </w:r>
                      <w:r>
                        <w:rPr>
                          <w:rFonts w:ascii="Arial" w:hAnsi="Arial" w:cs="Arial"/>
                        </w:rPr>
                        <w:t>”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wysoki 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wzrost </w:t>
                      </w:r>
                      <w:r>
                        <w:rPr>
                          <w:rFonts w:ascii="Arial" w:hAnsi="Arial" w:cs="Arial"/>
                        </w:rPr>
                        <w:t xml:space="preserve">w porównaniu z analogicznym okresem ub. roku zaobserwowano </w:t>
                      </w:r>
                      <w:r w:rsidRPr="004924B9">
                        <w:rPr>
                          <w:rFonts w:ascii="Arial" w:hAnsi="Arial" w:cs="Arial"/>
                        </w:rPr>
                        <w:t>w</w:t>
                      </w:r>
                      <w:r>
                        <w:rPr>
                          <w:rFonts w:ascii="Arial" w:hAnsi="Arial" w:cs="Arial"/>
                        </w:rPr>
                        <w:t xml:space="preserve"> przedsiębiorstwach sprzedających żywność, napoje i wyroby tytoniowe (o 9,4% wobec wzrostu o 4,1% przed rokiem)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oraz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w podmiotach zaklasyfikowanych do grupy „pozostała sprzedaż detaliczna w niewyspecjalizowanych sklepach” (</w:t>
                      </w:r>
                      <w:r w:rsidRPr="00B577D6">
                        <w:rPr>
                          <w:rFonts w:ascii="Arial" w:hAnsi="Arial" w:cs="Arial"/>
                        </w:rPr>
                        <w:t>o 9,1% wobec 7,3%</w:t>
                      </w:r>
                      <w:r>
                        <w:rPr>
                          <w:rFonts w:ascii="Arial" w:hAnsi="Arial" w:cs="Arial"/>
                        </w:rPr>
                        <w:t>), jak również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w jednostkach </w:t>
                      </w:r>
                      <w:r w:rsidRPr="004924B9">
                        <w:rPr>
                          <w:rFonts w:ascii="Arial" w:hAnsi="Arial" w:cs="Arial"/>
                        </w:rPr>
                        <w:t>zajmujących się handlem</w:t>
                      </w:r>
                      <w:r>
                        <w:rPr>
                          <w:rFonts w:ascii="Arial" w:hAnsi="Arial" w:cs="Arial"/>
                        </w:rPr>
                        <w:t xml:space="preserve"> paliwami stałymi, ciekłymi i gazowymi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(o 9,0% wobec spadku o 5,1% w ub. roku).</w:t>
                      </w:r>
                      <w:r w:rsidRPr="004924B9">
                        <w:rPr>
                          <w:rFonts w:ascii="Arial" w:hAnsi="Arial" w:cs="Arial"/>
                        </w:rPr>
                        <w:t xml:space="preserve"> </w:t>
                      </w:r>
                      <w:r w:rsidR="00D23C3D">
                        <w:rPr>
                          <w:rFonts w:ascii="Arial" w:hAnsi="Arial" w:cs="Arial"/>
                        </w:rPr>
                        <w:t xml:space="preserve">Niższą </w:t>
                      </w:r>
                      <w:r>
                        <w:rPr>
                          <w:rFonts w:ascii="Arial" w:hAnsi="Arial" w:cs="Arial"/>
                        </w:rPr>
                        <w:t>sprzedaż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 odnotowano natomiast w podmiotach wchodzących w skład grupowań: „pojazdy samochodowe, motocykle, części” (o 5,4% wobec wzrostu o 19,1% przed rokiem) oraz „pozostałe” (o 0,2%). </w:t>
                      </w:r>
                    </w:p>
                    <w:p w:rsidR="006B7642" w:rsidRDefault="006B7642" w:rsidP="006B7642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 okresie styczeń-kwiecień br. sprzedaż detaliczna zwiększyła się w porównaniu z analogicznym okresem ub. roku o 6,9% (wobec wzrostu o 4,6% w 2016 r.).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828C6" w:rsidRDefault="00D828C6"/>
    <w:p w:rsidR="00D828C6" w:rsidRDefault="00D828C6"/>
    <w:p w:rsidR="00D828C6" w:rsidRDefault="00D828C6"/>
    <w:p w:rsidR="00D828C6" w:rsidRPr="00451D55" w:rsidRDefault="00D828C6"/>
    <w:p w:rsidR="00670E4C" w:rsidRPr="00451D55" w:rsidRDefault="00670E4C"/>
    <w:p w:rsidR="00670E4C" w:rsidRPr="00451D55" w:rsidRDefault="00670E4C"/>
    <w:p w:rsidR="00670E4C" w:rsidRDefault="00670E4C">
      <w:pPr>
        <w:rPr>
          <w:noProof/>
        </w:rPr>
      </w:pPr>
    </w:p>
    <w:p w:rsidR="00437A98" w:rsidRDefault="00437A98">
      <w:pPr>
        <w:rPr>
          <w:noProof/>
        </w:rPr>
      </w:pPr>
    </w:p>
    <w:p w:rsidR="005E2265" w:rsidRDefault="005E2265">
      <w:pPr>
        <w:rPr>
          <w:noProof/>
        </w:rPr>
      </w:pPr>
    </w:p>
    <w:p w:rsidR="005E2265" w:rsidRDefault="005E2265">
      <w:pPr>
        <w:rPr>
          <w:noProof/>
        </w:rPr>
      </w:pPr>
      <w:r>
        <w:rPr>
          <w:noProof/>
        </w:rPr>
        <w:drawing>
          <wp:inline distT="0" distB="0" distL="0" distR="0" wp14:anchorId="1481EA0B" wp14:editId="56FC607E">
            <wp:extent cx="6295390" cy="356235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0CAC" w:rsidRDefault="00B152BE">
      <w:r w:rsidRPr="00187D8B">
        <w:rPr>
          <w:noProof/>
        </w:rPr>
        <mc:AlternateContent>
          <mc:Choice Requires="wps">
            <w:drawing>
              <wp:inline distT="0" distB="0" distL="0" distR="0">
                <wp:extent cx="6362700" cy="1174865"/>
                <wp:effectExtent l="0" t="0" r="0" b="6350"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17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D8B" w:rsidRPr="009135CB" w:rsidRDefault="00187D8B" w:rsidP="00D374B2">
                            <w:pPr>
                              <w:tabs>
                                <w:tab w:val="left" w:pos="180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047F0">
                              <w:rPr>
                                <w:sz w:val="20"/>
                                <w:szCs w:val="24"/>
                                <w:vertAlign w:val="superscript"/>
                              </w:rPr>
                              <w:t xml:space="preserve">1 </w:t>
                            </w:r>
                            <w:r w:rsidR="009135CB" w:rsidRPr="002047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Dane dotyczą przedsiębiorstw handlowych i niehandlowych o liczbie pracujących powyżej 9 </w:t>
                            </w:r>
                            <w:r w:rsidR="009135CB" w:rsidRPr="002216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osób.</w:t>
                            </w:r>
                            <w:r w:rsidR="009135CB"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Grupowania przedsiębiorstw dokonano na podstawie Polskiej Klasyfikacji Działalności 2007 (PKD 2007), zaliczając przedsiębiorstwo do określonej kategorii w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edług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przeważającego rodzaju działalności, zgodnie z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aktualnym w omawianym okresie stanem organizacyjnym. Odnotowane zmiany (wzrost/spadek) wolumenu sprzedaży detalicznej w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poszczególnych grupach rodzajów działalności przedsiębiorstw mogą zatem również wynikać ze zmiany przeważającego rodzaju działalności przedsiębiorstwa oraz zmian organizacyjnych (np. połączenia przedsiębiorstw). Nie</w:t>
                            </w:r>
                            <w:r w:rsidR="00D250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35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 to wpływu na dynamikę sprzedaży detalicznej ogółem.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0" type="#_x0000_t202" style="width:501pt;height:9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" stroked="f" strokecolor="#4f81bd [3204]">
                <v:stroke dashstyle="3 1"/>
                <v:textbox>
                  <w:txbxContent>
                    <w:p w:rsidR="00187D8B" w:rsidRPr="009135CB" w:rsidRDefault="00187D8B" w:rsidP="00D374B2">
                      <w:pPr>
                        <w:tabs>
                          <w:tab w:val="left" w:pos="180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047F0">
                        <w:rPr>
                          <w:sz w:val="20"/>
                          <w:szCs w:val="24"/>
                          <w:vertAlign w:val="superscript"/>
                        </w:rPr>
                        <w:t xml:space="preserve">1 </w:t>
                      </w:r>
                      <w:r w:rsidR="009135CB" w:rsidRPr="002047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Dane dotyczą przedsiębiorstw handlowych i niehandlowych o liczbie pracujących powyżej 9 </w:t>
                      </w:r>
                      <w:r w:rsidR="009135CB" w:rsidRPr="0022163C">
                        <w:rPr>
                          <w:rFonts w:ascii="Arial" w:hAnsi="Arial" w:cs="Arial"/>
                          <w:sz w:val="18"/>
                          <w:szCs w:val="18"/>
                        </w:rPr>
                        <w:t>osób.</w:t>
                      </w:r>
                      <w:r w:rsidR="009135CB"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Grupowania przedsiębiorstw dokonano na podstawie Polskiej Klasyfikacji Działalności 2007 (PKD 2007), zaliczając przedsiębiorstwo do określonej kategorii w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>edług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przeważającego rodzaju działalności, zgodnie z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aktualnym w omawianym okresie stanem organizacyjnym. Odnotowane zmiany (wzrost/spadek) wolumenu sprzedaży detalicznej w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poszczególnych grupach rodzajów działalności przedsiębiorstw mogą zatem również wynikać ze zmiany przeważającego rodzaju działalności przedsiębiorstwa oraz zmian organizacyjnych (np. połączenia przedsiębiorstw). Nie</w:t>
                      </w:r>
                      <w:r w:rsidR="00D250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9135CB">
                        <w:rPr>
                          <w:rFonts w:ascii="Arial" w:hAnsi="Arial" w:cs="Arial"/>
                          <w:sz w:val="18"/>
                          <w:szCs w:val="18"/>
                        </w:rPr>
                        <w:t>ma to wpływu na dynamikę sprzedaży detalicznej ogółem.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1417" w:rsidRDefault="004924B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07C27A" wp14:editId="28BC8DED">
                <wp:simplePos x="0" y="0"/>
                <wp:positionH relativeFrom="column">
                  <wp:posOffset>412808</wp:posOffset>
                </wp:positionH>
                <wp:positionV relativeFrom="paragraph">
                  <wp:posOffset>1165283</wp:posOffset>
                </wp:positionV>
                <wp:extent cx="5781675" cy="349134"/>
                <wp:effectExtent l="0" t="0" r="952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49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DC9" w:rsidRPr="005021A3" w:rsidRDefault="00866DC9" w:rsidP="00866DC9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Więcej na: </w:t>
                            </w:r>
                            <w:hyperlink r:id="rId11" w:history="1">
                              <w:r w:rsidRPr="005021A3">
                                <w:rPr>
                                  <w:rStyle w:val="Hipercze"/>
                                  <w:rFonts w:ascii="Arial" w:hAnsi="Arial" w:cs="Arial"/>
                                  <w:szCs w:val="20"/>
                                </w:rPr>
                                <w:t>http://stat.gov.pl/obszary-tematyczne/ceny-handel/</w:t>
                              </w:r>
                            </w:hyperlink>
                            <w:r w:rsidRPr="005021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7C27A" id="Text Box 14" o:spid="_x0000_s1031" type="#_x0000_t202" style="position:absolute;margin-left:32.5pt;margin-top:91.75pt;width:455.25pt;height:2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" stroked="f" strokecolor="#4f81bd [3204]">
                <v:stroke dashstyle="3 1"/>
                <v:textbox>
                  <w:txbxContent>
                    <w:p w:rsidR="00866DC9" w:rsidRPr="005021A3" w:rsidRDefault="00866DC9" w:rsidP="00866DC9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21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Więcej na: </w:t>
                      </w:r>
                      <w:hyperlink r:id="rId12" w:history="1">
                        <w:r w:rsidRPr="005021A3">
                          <w:rPr>
                            <w:rStyle w:val="Hipercze"/>
                            <w:rFonts w:ascii="Arial" w:hAnsi="Arial" w:cs="Arial"/>
                            <w:szCs w:val="20"/>
                          </w:rPr>
                          <w:t>http://stat.gov.pl/obszary-tematyczne/ceny-handel/</w:t>
                        </w:r>
                      </w:hyperlink>
                      <w:r w:rsidRPr="005021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74B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F778F" wp14:editId="515A7CB8">
                <wp:simplePos x="0" y="0"/>
                <wp:positionH relativeFrom="column">
                  <wp:posOffset>229928</wp:posOffset>
                </wp:positionH>
                <wp:positionV relativeFrom="paragraph">
                  <wp:posOffset>74296</wp:posOffset>
                </wp:positionV>
                <wp:extent cx="2820785" cy="69267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785" cy="69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AA2" w:rsidRPr="005021A3" w:rsidRDefault="00B77AA2" w:rsidP="006B6B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Opracowanie merytoryczne:</w:t>
                            </w:r>
                          </w:p>
                          <w:p w:rsidR="00BB36DF" w:rsidRPr="005021A3" w:rsidRDefault="00B77AA2" w:rsidP="006B6B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Departament </w:t>
                            </w:r>
                            <w:r w:rsidR="00BB36DF" w:rsidRPr="005021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Handlu i Usług</w:t>
                            </w:r>
                          </w:p>
                          <w:p w:rsidR="00B77AA2" w:rsidRPr="005021A3" w:rsidRDefault="00AF635E" w:rsidP="006B6B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5021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i-FI"/>
                              </w:rPr>
                              <w:t>Jolanta Biernat</w:t>
                            </w:r>
                          </w:p>
                          <w:p w:rsidR="00B77AA2" w:rsidRPr="005021A3" w:rsidRDefault="00B77AA2" w:rsidP="006B6B8D">
                            <w:pPr>
                              <w:pStyle w:val="Nagwek3"/>
                              <w:spacing w:line="240" w:lineRule="auto"/>
                              <w:rPr>
                                <w:rFonts w:cs="Arial"/>
                                <w:sz w:val="20"/>
                                <w:lang w:val="fi-FI"/>
                              </w:rPr>
                            </w:pPr>
                            <w:r w:rsidRPr="005021A3">
                              <w:rPr>
                                <w:rFonts w:cs="Arial"/>
                                <w:sz w:val="20"/>
                                <w:lang w:val="fi-FI"/>
                              </w:rPr>
                              <w:t xml:space="preserve">Tel: 22 608 </w:t>
                            </w:r>
                            <w:r w:rsidR="00AF635E" w:rsidRPr="005021A3">
                              <w:rPr>
                                <w:rFonts w:cs="Arial"/>
                                <w:sz w:val="20"/>
                                <w:lang w:val="fi-FI"/>
                              </w:rPr>
                              <w:t>3336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778F" id="Text Box 10" o:spid="_x0000_s1032" type="#_x0000_t202" style="position:absolute;margin-left:18.1pt;margin-top:5.85pt;width:222.1pt;height:5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" stroked="f" strokecolor="#4f81bd [3204]">
                <v:stroke dashstyle="3 1"/>
                <v:textbox>
                  <w:txbxContent>
                    <w:p w:rsidR="00B77AA2" w:rsidRPr="005021A3" w:rsidRDefault="00B77AA2" w:rsidP="006B6B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21A3">
                        <w:rPr>
                          <w:rFonts w:ascii="Arial" w:hAnsi="Arial" w:cs="Arial"/>
                          <w:sz w:val="20"/>
                          <w:szCs w:val="20"/>
                        </w:rPr>
                        <w:t>Opracowanie merytoryczne:</w:t>
                      </w:r>
                    </w:p>
                    <w:p w:rsidR="00BB36DF" w:rsidRPr="005021A3" w:rsidRDefault="00B77AA2" w:rsidP="006B6B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021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Departament </w:t>
                      </w:r>
                      <w:r w:rsidR="00BB36DF" w:rsidRPr="005021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Handlu i Usług</w:t>
                      </w:r>
                    </w:p>
                    <w:p w:rsidR="00B77AA2" w:rsidRPr="005021A3" w:rsidRDefault="00AF635E" w:rsidP="006B6B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i-FI"/>
                        </w:rPr>
                      </w:pPr>
                      <w:r w:rsidRPr="005021A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i-FI"/>
                        </w:rPr>
                        <w:t>Jolanta Biernat</w:t>
                      </w:r>
                    </w:p>
                    <w:p w:rsidR="00B77AA2" w:rsidRPr="005021A3" w:rsidRDefault="00B77AA2" w:rsidP="006B6B8D">
                      <w:pPr>
                        <w:pStyle w:val="Nagwek3"/>
                        <w:spacing w:line="240" w:lineRule="auto"/>
                        <w:rPr>
                          <w:rFonts w:cs="Arial"/>
                          <w:sz w:val="20"/>
                          <w:lang w:val="fi-FI"/>
                        </w:rPr>
                      </w:pPr>
                      <w:r w:rsidRPr="005021A3">
                        <w:rPr>
                          <w:rFonts w:cs="Arial"/>
                          <w:sz w:val="20"/>
                          <w:lang w:val="fi-FI"/>
                        </w:rPr>
                        <w:t xml:space="preserve">Tel: 22 608 </w:t>
                      </w:r>
                      <w:r w:rsidR="00AF635E" w:rsidRPr="005021A3">
                        <w:rPr>
                          <w:rFonts w:cs="Arial"/>
                          <w:sz w:val="20"/>
                          <w:lang w:val="fi-FI"/>
                        </w:rPr>
                        <w:t>3336</w:t>
                      </w:r>
                    </w:p>
                  </w:txbxContent>
                </v:textbox>
              </v:shape>
            </w:pict>
          </mc:Fallback>
        </mc:AlternateContent>
      </w:r>
      <w:r w:rsidR="00D374B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F9289" wp14:editId="2E5556A1">
                <wp:simplePos x="0" y="0"/>
                <wp:positionH relativeFrom="column">
                  <wp:posOffset>3553943</wp:posOffset>
                </wp:positionH>
                <wp:positionV relativeFrom="paragraph">
                  <wp:posOffset>16956</wp:posOffset>
                </wp:positionV>
                <wp:extent cx="2785110" cy="831964"/>
                <wp:effectExtent l="0" t="0" r="0" b="63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831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ys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131" w:rsidRDefault="00391417" w:rsidP="00F111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66D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Rozpowszechnianie</w:t>
                            </w:r>
                            <w:r w:rsidR="00B77AA2" w:rsidRPr="00866D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B77AA2" w:rsidRPr="00866D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B77AA2" w:rsidRPr="00866D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Rzecznik Prasowy Prezesa GUS</w:t>
                            </w:r>
                            <w:r w:rsidR="00F11131" w:rsidRPr="00F111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11131" w:rsidRPr="00866DC9" w:rsidRDefault="00F11131" w:rsidP="00F111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Karolina Dawidziuk</w:t>
                            </w:r>
                          </w:p>
                          <w:p w:rsidR="00B77AA2" w:rsidRPr="00F11131" w:rsidRDefault="00F11131" w:rsidP="00F11131">
                            <w:pPr>
                              <w:pStyle w:val="Nagwek3"/>
                              <w:spacing w:line="240" w:lineRule="auto"/>
                              <w:rPr>
                                <w:rFonts w:cs="Arial"/>
                                <w:sz w:val="20"/>
                                <w:lang w:val="fi-FI"/>
                              </w:rPr>
                            </w:pPr>
                            <w:r w:rsidRPr="00866DC9">
                              <w:rPr>
                                <w:rFonts w:cs="Arial"/>
                                <w:sz w:val="20"/>
                                <w:lang w:val="fi-FI"/>
                              </w:rPr>
                              <w:t>Tel: 22 608 34</w:t>
                            </w:r>
                            <w:r>
                              <w:rPr>
                                <w:rFonts w:cs="Arial"/>
                                <w:sz w:val="20"/>
                                <w:lang w:val="fi-FI"/>
                              </w:rPr>
                              <w:t>7</w:t>
                            </w:r>
                            <w:r w:rsidRPr="00866DC9">
                              <w:rPr>
                                <w:rFonts w:cs="Arial"/>
                                <w:sz w:val="20"/>
                                <w:lang w:val="fi-FI"/>
                              </w:rPr>
                              <w:t>5, 22 608 3009</w:t>
                            </w:r>
                          </w:p>
                          <w:p w:rsidR="00391417" w:rsidRPr="00E21ECE" w:rsidRDefault="00B77AA2" w:rsidP="00B77A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866D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>e-mail</w:t>
                            </w:r>
                            <w:proofErr w:type="spellEnd"/>
                            <w:r w:rsidRPr="00866D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: </w:t>
                            </w:r>
                            <w:hyperlink r:id="rId13" w:history="1">
                              <w:r w:rsidRPr="00866DC9">
                                <w:rPr>
                                  <w:rStyle w:val="Hipercze"/>
                                  <w:rFonts w:ascii="Arial" w:hAnsi="Arial" w:cs="Arial"/>
                                  <w:b/>
                                  <w:szCs w:val="20"/>
                                  <w:lang w:val="de-AT"/>
                                </w:rPr>
                                <w:t>rzecznik@stat.gov.pl</w:t>
                              </w:r>
                            </w:hyperlink>
                            <w:r w:rsidRPr="00457A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9289" id="Text Box 9" o:spid="_x0000_s1033" type="#_x0000_t202" style="position:absolute;margin-left:279.85pt;margin-top:1.35pt;width:219.3pt;height:6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" stroked="f" strokecolor="#4f81bd [3204]">
                <v:stroke dashstyle="3 1"/>
                <v:textbox>
                  <w:txbxContent>
                    <w:p w:rsidR="00F11131" w:rsidRDefault="00391417" w:rsidP="00F111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66DC9">
                        <w:rPr>
                          <w:rFonts w:ascii="Arial" w:hAnsi="Arial" w:cs="Arial"/>
                          <w:sz w:val="20"/>
                          <w:szCs w:val="20"/>
                        </w:rPr>
                        <w:t>Rozpowszechnianie</w:t>
                      </w:r>
                      <w:r w:rsidR="00B77AA2" w:rsidRPr="00866DC9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B77AA2" w:rsidRPr="00866DC9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B77AA2" w:rsidRPr="00866D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Rzecznik Prasowy Prezesa GUS</w:t>
                      </w:r>
                      <w:r w:rsidR="00F11131" w:rsidRPr="00F111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F11131" w:rsidRPr="00866DC9" w:rsidRDefault="00F11131" w:rsidP="00F111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Karolina Dawidziuk</w:t>
                      </w:r>
                    </w:p>
                    <w:p w:rsidR="00B77AA2" w:rsidRPr="00F11131" w:rsidRDefault="00F11131" w:rsidP="00F11131">
                      <w:pPr>
                        <w:pStyle w:val="Nagwek3"/>
                        <w:spacing w:line="240" w:lineRule="auto"/>
                        <w:rPr>
                          <w:rFonts w:cs="Arial"/>
                          <w:sz w:val="20"/>
                          <w:lang w:val="fi-FI"/>
                        </w:rPr>
                      </w:pPr>
                      <w:r w:rsidRPr="00866DC9">
                        <w:rPr>
                          <w:rFonts w:cs="Arial"/>
                          <w:sz w:val="20"/>
                          <w:lang w:val="fi-FI"/>
                        </w:rPr>
                        <w:t>Tel: 22 608 34</w:t>
                      </w:r>
                      <w:r>
                        <w:rPr>
                          <w:rFonts w:cs="Arial"/>
                          <w:sz w:val="20"/>
                          <w:lang w:val="fi-FI"/>
                        </w:rPr>
                        <w:t>7</w:t>
                      </w:r>
                      <w:r w:rsidRPr="00866DC9">
                        <w:rPr>
                          <w:rFonts w:cs="Arial"/>
                          <w:sz w:val="20"/>
                          <w:lang w:val="fi-FI"/>
                        </w:rPr>
                        <w:t>5, 22 608 3009</w:t>
                      </w:r>
                    </w:p>
                    <w:p w:rsidR="00391417" w:rsidRPr="00E21ECE" w:rsidRDefault="00B77AA2" w:rsidP="00B77A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866DC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>e-mail</w:t>
                      </w:r>
                      <w:proofErr w:type="spellEnd"/>
                      <w:r w:rsidRPr="00866DC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 xml:space="preserve">: </w:t>
                      </w:r>
                      <w:hyperlink r:id="rId14" w:history="1">
                        <w:r w:rsidRPr="00866DC9">
                          <w:rPr>
                            <w:rStyle w:val="Hipercze"/>
                            <w:rFonts w:ascii="Arial" w:hAnsi="Arial" w:cs="Arial"/>
                            <w:b/>
                            <w:szCs w:val="20"/>
                            <w:lang w:val="de-AT"/>
                          </w:rPr>
                          <w:t>rzecznik@stat.gov.pl</w:t>
                        </w:r>
                      </w:hyperlink>
                      <w:r w:rsidRPr="00457A4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1417" w:rsidSect="005B19BD">
      <w:footerReference w:type="default" r:id="rId15"/>
      <w:pgSz w:w="11906" w:h="16838" w:code="9"/>
      <w:pgMar w:top="567" w:right="851" w:bottom="851" w:left="851" w:header="42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30" w:rsidRDefault="00987830" w:rsidP="00670E4C">
      <w:pPr>
        <w:spacing w:after="0" w:line="240" w:lineRule="auto"/>
      </w:pPr>
      <w:r>
        <w:separator/>
      </w:r>
    </w:p>
  </w:endnote>
  <w:endnote w:type="continuationSeparator" w:id="0">
    <w:p w:rsidR="00987830" w:rsidRDefault="00987830" w:rsidP="0067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4C" w:rsidRDefault="00670E4C">
    <w:pPr>
      <w:pStyle w:val="Stopka"/>
      <w:jc w:val="center"/>
    </w:pPr>
  </w:p>
  <w:p w:rsidR="00670E4C" w:rsidRDefault="00670E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30" w:rsidRDefault="00987830" w:rsidP="00670E4C">
      <w:pPr>
        <w:spacing w:after="0" w:line="240" w:lineRule="auto"/>
      </w:pPr>
      <w:r>
        <w:separator/>
      </w:r>
    </w:p>
  </w:footnote>
  <w:footnote w:type="continuationSeparator" w:id="0">
    <w:p w:rsidR="00987830" w:rsidRDefault="00987830" w:rsidP="0067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45018"/>
    <w:multiLevelType w:val="hybridMultilevel"/>
    <w:tmpl w:val="1AA8E054"/>
    <w:lvl w:ilvl="0" w:tplc="8A4E742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A417C"/>
    <w:multiLevelType w:val="hybridMultilevel"/>
    <w:tmpl w:val="9746EA6E"/>
    <w:lvl w:ilvl="0" w:tplc="DF185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A"/>
    <w:rsid w:val="00001D86"/>
    <w:rsid w:val="000057A7"/>
    <w:rsid w:val="00005892"/>
    <w:rsid w:val="00006BDF"/>
    <w:rsid w:val="000101D2"/>
    <w:rsid w:val="00011298"/>
    <w:rsid w:val="0001693B"/>
    <w:rsid w:val="000250A2"/>
    <w:rsid w:val="00032531"/>
    <w:rsid w:val="00032EFA"/>
    <w:rsid w:val="00036CCF"/>
    <w:rsid w:val="00042C84"/>
    <w:rsid w:val="00052D69"/>
    <w:rsid w:val="00060EB1"/>
    <w:rsid w:val="00061671"/>
    <w:rsid w:val="00061BA5"/>
    <w:rsid w:val="00067FBF"/>
    <w:rsid w:val="0007306A"/>
    <w:rsid w:val="00073A03"/>
    <w:rsid w:val="0008069B"/>
    <w:rsid w:val="00082906"/>
    <w:rsid w:val="00084F50"/>
    <w:rsid w:val="000926A0"/>
    <w:rsid w:val="00096967"/>
    <w:rsid w:val="000A111B"/>
    <w:rsid w:val="000A15B6"/>
    <w:rsid w:val="000A1C0E"/>
    <w:rsid w:val="000A3406"/>
    <w:rsid w:val="000A4CC8"/>
    <w:rsid w:val="000A59C7"/>
    <w:rsid w:val="000B6797"/>
    <w:rsid w:val="000C3550"/>
    <w:rsid w:val="000C3ECB"/>
    <w:rsid w:val="000C7C9F"/>
    <w:rsid w:val="000D1A49"/>
    <w:rsid w:val="000D48EE"/>
    <w:rsid w:val="000E0B1C"/>
    <w:rsid w:val="000F083C"/>
    <w:rsid w:val="000F56AF"/>
    <w:rsid w:val="001066EA"/>
    <w:rsid w:val="00117265"/>
    <w:rsid w:val="00120C63"/>
    <w:rsid w:val="00122FC2"/>
    <w:rsid w:val="00123CE0"/>
    <w:rsid w:val="00124228"/>
    <w:rsid w:val="00124E78"/>
    <w:rsid w:val="00125F35"/>
    <w:rsid w:val="001302F2"/>
    <w:rsid w:val="00140300"/>
    <w:rsid w:val="001437DE"/>
    <w:rsid w:val="00143D0E"/>
    <w:rsid w:val="001465F7"/>
    <w:rsid w:val="00150A5B"/>
    <w:rsid w:val="0015402F"/>
    <w:rsid w:val="0015586F"/>
    <w:rsid w:val="00165072"/>
    <w:rsid w:val="0016795F"/>
    <w:rsid w:val="00167CE4"/>
    <w:rsid w:val="001707B3"/>
    <w:rsid w:val="0017378F"/>
    <w:rsid w:val="00180537"/>
    <w:rsid w:val="0018161D"/>
    <w:rsid w:val="00185E9F"/>
    <w:rsid w:val="0018643E"/>
    <w:rsid w:val="001877DB"/>
    <w:rsid w:val="00187D8B"/>
    <w:rsid w:val="00187E73"/>
    <w:rsid w:val="0019273E"/>
    <w:rsid w:val="00195591"/>
    <w:rsid w:val="001A017C"/>
    <w:rsid w:val="001A0518"/>
    <w:rsid w:val="001B2C98"/>
    <w:rsid w:val="001B64F0"/>
    <w:rsid w:val="001B69E4"/>
    <w:rsid w:val="001B71C8"/>
    <w:rsid w:val="001B7FBD"/>
    <w:rsid w:val="001C1CF1"/>
    <w:rsid w:val="001C5E2C"/>
    <w:rsid w:val="001D001D"/>
    <w:rsid w:val="001D2B4E"/>
    <w:rsid w:val="001D38DE"/>
    <w:rsid w:val="001D6C45"/>
    <w:rsid w:val="001D7A53"/>
    <w:rsid w:val="001F045C"/>
    <w:rsid w:val="001F18A6"/>
    <w:rsid w:val="00200D77"/>
    <w:rsid w:val="002020B8"/>
    <w:rsid w:val="0020290C"/>
    <w:rsid w:val="002046A9"/>
    <w:rsid w:val="002047F0"/>
    <w:rsid w:val="002067AF"/>
    <w:rsid w:val="00217551"/>
    <w:rsid w:val="0022163C"/>
    <w:rsid w:val="002263CE"/>
    <w:rsid w:val="00233632"/>
    <w:rsid w:val="00236B5D"/>
    <w:rsid w:val="00247242"/>
    <w:rsid w:val="00247998"/>
    <w:rsid w:val="00257865"/>
    <w:rsid w:val="00260708"/>
    <w:rsid w:val="002676BC"/>
    <w:rsid w:val="002703A5"/>
    <w:rsid w:val="00271CB0"/>
    <w:rsid w:val="00275804"/>
    <w:rsid w:val="00275919"/>
    <w:rsid w:val="002778E2"/>
    <w:rsid w:val="00280044"/>
    <w:rsid w:val="002924EF"/>
    <w:rsid w:val="002A16D8"/>
    <w:rsid w:val="002A3FCD"/>
    <w:rsid w:val="002A76DD"/>
    <w:rsid w:val="002B298A"/>
    <w:rsid w:val="002B61FC"/>
    <w:rsid w:val="002C02E9"/>
    <w:rsid w:val="002C3542"/>
    <w:rsid w:val="002C388B"/>
    <w:rsid w:val="002D161B"/>
    <w:rsid w:val="002D26CF"/>
    <w:rsid w:val="002D6E3A"/>
    <w:rsid w:val="002D7A64"/>
    <w:rsid w:val="002E02EE"/>
    <w:rsid w:val="002E2B63"/>
    <w:rsid w:val="002E42D7"/>
    <w:rsid w:val="002F2CA0"/>
    <w:rsid w:val="002F4DEE"/>
    <w:rsid w:val="003032E9"/>
    <w:rsid w:val="0030544B"/>
    <w:rsid w:val="00312A0C"/>
    <w:rsid w:val="00317B0C"/>
    <w:rsid w:val="00317BDD"/>
    <w:rsid w:val="00317DEC"/>
    <w:rsid w:val="00320363"/>
    <w:rsid w:val="00323C74"/>
    <w:rsid w:val="00324276"/>
    <w:rsid w:val="00324839"/>
    <w:rsid w:val="003309A3"/>
    <w:rsid w:val="003327B2"/>
    <w:rsid w:val="00334AD0"/>
    <w:rsid w:val="003403A6"/>
    <w:rsid w:val="0034707E"/>
    <w:rsid w:val="0035612E"/>
    <w:rsid w:val="003569F3"/>
    <w:rsid w:val="003604F4"/>
    <w:rsid w:val="00361B96"/>
    <w:rsid w:val="00363C05"/>
    <w:rsid w:val="00373B52"/>
    <w:rsid w:val="00373C58"/>
    <w:rsid w:val="003766B5"/>
    <w:rsid w:val="003864DD"/>
    <w:rsid w:val="0039016D"/>
    <w:rsid w:val="00391417"/>
    <w:rsid w:val="00392EDA"/>
    <w:rsid w:val="00396522"/>
    <w:rsid w:val="003A5564"/>
    <w:rsid w:val="003A5704"/>
    <w:rsid w:val="003A5C0A"/>
    <w:rsid w:val="003B49F6"/>
    <w:rsid w:val="003B5D9B"/>
    <w:rsid w:val="003B73A6"/>
    <w:rsid w:val="003C1285"/>
    <w:rsid w:val="003C339D"/>
    <w:rsid w:val="003C4809"/>
    <w:rsid w:val="003D076E"/>
    <w:rsid w:val="003D308D"/>
    <w:rsid w:val="003D6A0B"/>
    <w:rsid w:val="003E0623"/>
    <w:rsid w:val="003E0AD3"/>
    <w:rsid w:val="003E3F1B"/>
    <w:rsid w:val="003E7FF7"/>
    <w:rsid w:val="003F0281"/>
    <w:rsid w:val="003F1C20"/>
    <w:rsid w:val="003F1D4B"/>
    <w:rsid w:val="003F46E2"/>
    <w:rsid w:val="003F54D3"/>
    <w:rsid w:val="003F6C45"/>
    <w:rsid w:val="004004EF"/>
    <w:rsid w:val="00403AC2"/>
    <w:rsid w:val="004042A4"/>
    <w:rsid w:val="00404440"/>
    <w:rsid w:val="00406942"/>
    <w:rsid w:val="00412018"/>
    <w:rsid w:val="0041323B"/>
    <w:rsid w:val="00414267"/>
    <w:rsid w:val="00414C21"/>
    <w:rsid w:val="004151E2"/>
    <w:rsid w:val="00415753"/>
    <w:rsid w:val="0041636F"/>
    <w:rsid w:val="00417178"/>
    <w:rsid w:val="004249E2"/>
    <w:rsid w:val="00424C1A"/>
    <w:rsid w:val="00430F89"/>
    <w:rsid w:val="00432906"/>
    <w:rsid w:val="00432F0E"/>
    <w:rsid w:val="0043347E"/>
    <w:rsid w:val="00437A98"/>
    <w:rsid w:val="00441E41"/>
    <w:rsid w:val="00446B30"/>
    <w:rsid w:val="00447479"/>
    <w:rsid w:val="00451019"/>
    <w:rsid w:val="0045193A"/>
    <w:rsid w:val="00451D55"/>
    <w:rsid w:val="004528B5"/>
    <w:rsid w:val="00456802"/>
    <w:rsid w:val="00457A4F"/>
    <w:rsid w:val="00462301"/>
    <w:rsid w:val="00462BB9"/>
    <w:rsid w:val="004644F8"/>
    <w:rsid w:val="0046480F"/>
    <w:rsid w:val="00467096"/>
    <w:rsid w:val="00470E39"/>
    <w:rsid w:val="004755BA"/>
    <w:rsid w:val="00476508"/>
    <w:rsid w:val="00480F9B"/>
    <w:rsid w:val="004816D7"/>
    <w:rsid w:val="00487CD1"/>
    <w:rsid w:val="004924B9"/>
    <w:rsid w:val="00496829"/>
    <w:rsid w:val="004A00A9"/>
    <w:rsid w:val="004A0F00"/>
    <w:rsid w:val="004A274F"/>
    <w:rsid w:val="004A4889"/>
    <w:rsid w:val="004A5E78"/>
    <w:rsid w:val="004A624C"/>
    <w:rsid w:val="004B3415"/>
    <w:rsid w:val="004B7A2D"/>
    <w:rsid w:val="004C53E1"/>
    <w:rsid w:val="004D0429"/>
    <w:rsid w:val="004D0537"/>
    <w:rsid w:val="004D46C9"/>
    <w:rsid w:val="004D6F48"/>
    <w:rsid w:val="004F0976"/>
    <w:rsid w:val="004F12FD"/>
    <w:rsid w:val="004F5D97"/>
    <w:rsid w:val="00501BEF"/>
    <w:rsid w:val="005021A3"/>
    <w:rsid w:val="005042E1"/>
    <w:rsid w:val="00504330"/>
    <w:rsid w:val="00505087"/>
    <w:rsid w:val="00507941"/>
    <w:rsid w:val="00510F53"/>
    <w:rsid w:val="00514632"/>
    <w:rsid w:val="00514EC5"/>
    <w:rsid w:val="005337AA"/>
    <w:rsid w:val="00533FEE"/>
    <w:rsid w:val="00534FAA"/>
    <w:rsid w:val="0054100F"/>
    <w:rsid w:val="0054258A"/>
    <w:rsid w:val="005427E7"/>
    <w:rsid w:val="00543CBA"/>
    <w:rsid w:val="00544141"/>
    <w:rsid w:val="005468F3"/>
    <w:rsid w:val="00550966"/>
    <w:rsid w:val="0055249E"/>
    <w:rsid w:val="0055421A"/>
    <w:rsid w:val="00556D11"/>
    <w:rsid w:val="005627B4"/>
    <w:rsid w:val="005630B3"/>
    <w:rsid w:val="00574056"/>
    <w:rsid w:val="005775DD"/>
    <w:rsid w:val="005804DD"/>
    <w:rsid w:val="00582B6F"/>
    <w:rsid w:val="00587B32"/>
    <w:rsid w:val="005901BB"/>
    <w:rsid w:val="00590740"/>
    <w:rsid w:val="00590C04"/>
    <w:rsid w:val="005A1C99"/>
    <w:rsid w:val="005A2364"/>
    <w:rsid w:val="005A4002"/>
    <w:rsid w:val="005A56C4"/>
    <w:rsid w:val="005B19BD"/>
    <w:rsid w:val="005B3EA1"/>
    <w:rsid w:val="005B5336"/>
    <w:rsid w:val="005C3ACF"/>
    <w:rsid w:val="005C64DB"/>
    <w:rsid w:val="005C7FFD"/>
    <w:rsid w:val="005D0334"/>
    <w:rsid w:val="005D14F8"/>
    <w:rsid w:val="005D3B2D"/>
    <w:rsid w:val="005D456A"/>
    <w:rsid w:val="005D4F84"/>
    <w:rsid w:val="005E2265"/>
    <w:rsid w:val="005E2B4A"/>
    <w:rsid w:val="005E2F71"/>
    <w:rsid w:val="005E6CAD"/>
    <w:rsid w:val="005F2054"/>
    <w:rsid w:val="005F67AB"/>
    <w:rsid w:val="005F67C1"/>
    <w:rsid w:val="0060554E"/>
    <w:rsid w:val="00612AA3"/>
    <w:rsid w:val="00613D8F"/>
    <w:rsid w:val="00614DAE"/>
    <w:rsid w:val="00616D4A"/>
    <w:rsid w:val="00616D96"/>
    <w:rsid w:val="00623BB9"/>
    <w:rsid w:val="00630F87"/>
    <w:rsid w:val="00631CAD"/>
    <w:rsid w:val="00632A8A"/>
    <w:rsid w:val="0063615F"/>
    <w:rsid w:val="00640274"/>
    <w:rsid w:val="00640C11"/>
    <w:rsid w:val="00641CDF"/>
    <w:rsid w:val="00645D72"/>
    <w:rsid w:val="00650961"/>
    <w:rsid w:val="006513DF"/>
    <w:rsid w:val="00651C2C"/>
    <w:rsid w:val="006527AF"/>
    <w:rsid w:val="00653BB7"/>
    <w:rsid w:val="006540C0"/>
    <w:rsid w:val="00655747"/>
    <w:rsid w:val="00665AE5"/>
    <w:rsid w:val="00670E4C"/>
    <w:rsid w:val="0067209D"/>
    <w:rsid w:val="00684B69"/>
    <w:rsid w:val="00695FFA"/>
    <w:rsid w:val="006A1F10"/>
    <w:rsid w:val="006A2B5A"/>
    <w:rsid w:val="006A2BEB"/>
    <w:rsid w:val="006A5DC2"/>
    <w:rsid w:val="006A6084"/>
    <w:rsid w:val="006A626E"/>
    <w:rsid w:val="006B2E7A"/>
    <w:rsid w:val="006B59DE"/>
    <w:rsid w:val="006B6B8D"/>
    <w:rsid w:val="006B7263"/>
    <w:rsid w:val="006B7642"/>
    <w:rsid w:val="006C417A"/>
    <w:rsid w:val="006C4C46"/>
    <w:rsid w:val="006C7810"/>
    <w:rsid w:val="006D1439"/>
    <w:rsid w:val="006E6914"/>
    <w:rsid w:val="006E6B5A"/>
    <w:rsid w:val="006E74A3"/>
    <w:rsid w:val="006F17A1"/>
    <w:rsid w:val="006F3FF6"/>
    <w:rsid w:val="006F5CB5"/>
    <w:rsid w:val="00700CAC"/>
    <w:rsid w:val="00703D3A"/>
    <w:rsid w:val="007125BC"/>
    <w:rsid w:val="00713239"/>
    <w:rsid w:val="007156DD"/>
    <w:rsid w:val="00720461"/>
    <w:rsid w:val="00726221"/>
    <w:rsid w:val="00727688"/>
    <w:rsid w:val="007414B0"/>
    <w:rsid w:val="00744FBB"/>
    <w:rsid w:val="007452D4"/>
    <w:rsid w:val="00747847"/>
    <w:rsid w:val="007479FF"/>
    <w:rsid w:val="00747FCD"/>
    <w:rsid w:val="00754A9D"/>
    <w:rsid w:val="00756793"/>
    <w:rsid w:val="00765CB9"/>
    <w:rsid w:val="0077161A"/>
    <w:rsid w:val="007737AF"/>
    <w:rsid w:val="007754D6"/>
    <w:rsid w:val="00782B00"/>
    <w:rsid w:val="00794CA2"/>
    <w:rsid w:val="0079759C"/>
    <w:rsid w:val="007A0997"/>
    <w:rsid w:val="007A34B0"/>
    <w:rsid w:val="007A455E"/>
    <w:rsid w:val="007A7508"/>
    <w:rsid w:val="007B381F"/>
    <w:rsid w:val="007C03C4"/>
    <w:rsid w:val="007C6CE2"/>
    <w:rsid w:val="007D0169"/>
    <w:rsid w:val="007D5226"/>
    <w:rsid w:val="007D5B46"/>
    <w:rsid w:val="007D68BC"/>
    <w:rsid w:val="007D6AAC"/>
    <w:rsid w:val="007D737E"/>
    <w:rsid w:val="007E1445"/>
    <w:rsid w:val="007E5032"/>
    <w:rsid w:val="007F6089"/>
    <w:rsid w:val="00804331"/>
    <w:rsid w:val="00805841"/>
    <w:rsid w:val="00806AAE"/>
    <w:rsid w:val="008145CF"/>
    <w:rsid w:val="00822F75"/>
    <w:rsid w:val="00827FCC"/>
    <w:rsid w:val="00830350"/>
    <w:rsid w:val="008315D4"/>
    <w:rsid w:val="0083172B"/>
    <w:rsid w:val="00843295"/>
    <w:rsid w:val="0084700E"/>
    <w:rsid w:val="0085195D"/>
    <w:rsid w:val="00853CD6"/>
    <w:rsid w:val="0086109E"/>
    <w:rsid w:val="008650EF"/>
    <w:rsid w:val="00865333"/>
    <w:rsid w:val="00866DC9"/>
    <w:rsid w:val="008708FD"/>
    <w:rsid w:val="00881CD2"/>
    <w:rsid w:val="00882B8A"/>
    <w:rsid w:val="00883B98"/>
    <w:rsid w:val="008864FB"/>
    <w:rsid w:val="008910B4"/>
    <w:rsid w:val="0089183A"/>
    <w:rsid w:val="00891878"/>
    <w:rsid w:val="008948DA"/>
    <w:rsid w:val="00895124"/>
    <w:rsid w:val="00896904"/>
    <w:rsid w:val="008C0800"/>
    <w:rsid w:val="008C1093"/>
    <w:rsid w:val="008C20EA"/>
    <w:rsid w:val="008C2D4D"/>
    <w:rsid w:val="008C5D87"/>
    <w:rsid w:val="008D0173"/>
    <w:rsid w:val="008D6BF4"/>
    <w:rsid w:val="008D70FB"/>
    <w:rsid w:val="008E009C"/>
    <w:rsid w:val="008E1079"/>
    <w:rsid w:val="008E6902"/>
    <w:rsid w:val="008E70AE"/>
    <w:rsid w:val="008F00BA"/>
    <w:rsid w:val="008F0250"/>
    <w:rsid w:val="0090178D"/>
    <w:rsid w:val="009135CB"/>
    <w:rsid w:val="0092166E"/>
    <w:rsid w:val="0092599A"/>
    <w:rsid w:val="00926BF3"/>
    <w:rsid w:val="00933C8A"/>
    <w:rsid w:val="00934BBC"/>
    <w:rsid w:val="009352C4"/>
    <w:rsid w:val="0093762B"/>
    <w:rsid w:val="00940BB9"/>
    <w:rsid w:val="009450BE"/>
    <w:rsid w:val="0094770D"/>
    <w:rsid w:val="00950CA4"/>
    <w:rsid w:val="00951992"/>
    <w:rsid w:val="0095230D"/>
    <w:rsid w:val="00955074"/>
    <w:rsid w:val="00961595"/>
    <w:rsid w:val="009744EB"/>
    <w:rsid w:val="009777F7"/>
    <w:rsid w:val="0098406A"/>
    <w:rsid w:val="00987830"/>
    <w:rsid w:val="009879B1"/>
    <w:rsid w:val="009904A9"/>
    <w:rsid w:val="009B1732"/>
    <w:rsid w:val="009B294B"/>
    <w:rsid w:val="009B383F"/>
    <w:rsid w:val="009B5604"/>
    <w:rsid w:val="009B5B84"/>
    <w:rsid w:val="009B7B76"/>
    <w:rsid w:val="009C06FE"/>
    <w:rsid w:val="009C0701"/>
    <w:rsid w:val="009C214B"/>
    <w:rsid w:val="009C2A6B"/>
    <w:rsid w:val="009C4999"/>
    <w:rsid w:val="009D65C6"/>
    <w:rsid w:val="009E1D09"/>
    <w:rsid w:val="009E5BB1"/>
    <w:rsid w:val="009F0A1F"/>
    <w:rsid w:val="009F1080"/>
    <w:rsid w:val="009F1AA9"/>
    <w:rsid w:val="009F3697"/>
    <w:rsid w:val="009F4329"/>
    <w:rsid w:val="009F4801"/>
    <w:rsid w:val="009F691A"/>
    <w:rsid w:val="00A02F3D"/>
    <w:rsid w:val="00A04513"/>
    <w:rsid w:val="00A0551E"/>
    <w:rsid w:val="00A07BC3"/>
    <w:rsid w:val="00A124AD"/>
    <w:rsid w:val="00A14304"/>
    <w:rsid w:val="00A232E0"/>
    <w:rsid w:val="00A2735D"/>
    <w:rsid w:val="00A27E73"/>
    <w:rsid w:val="00A31153"/>
    <w:rsid w:val="00A31ED2"/>
    <w:rsid w:val="00A32772"/>
    <w:rsid w:val="00A340D9"/>
    <w:rsid w:val="00A40BA5"/>
    <w:rsid w:val="00A40D7F"/>
    <w:rsid w:val="00A416DA"/>
    <w:rsid w:val="00A52AD6"/>
    <w:rsid w:val="00A53634"/>
    <w:rsid w:val="00A5646C"/>
    <w:rsid w:val="00A57F9D"/>
    <w:rsid w:val="00A604EF"/>
    <w:rsid w:val="00A61F6F"/>
    <w:rsid w:val="00A71FC8"/>
    <w:rsid w:val="00A75A9B"/>
    <w:rsid w:val="00A80E8B"/>
    <w:rsid w:val="00A96ADE"/>
    <w:rsid w:val="00A96F11"/>
    <w:rsid w:val="00AA67AB"/>
    <w:rsid w:val="00AA7941"/>
    <w:rsid w:val="00AB6DC4"/>
    <w:rsid w:val="00AB7F38"/>
    <w:rsid w:val="00AC0810"/>
    <w:rsid w:val="00AC32F2"/>
    <w:rsid w:val="00AC646E"/>
    <w:rsid w:val="00AD2129"/>
    <w:rsid w:val="00AD5516"/>
    <w:rsid w:val="00AE1566"/>
    <w:rsid w:val="00AE19D1"/>
    <w:rsid w:val="00AE2512"/>
    <w:rsid w:val="00AE3588"/>
    <w:rsid w:val="00AF0D13"/>
    <w:rsid w:val="00AF3B77"/>
    <w:rsid w:val="00AF4210"/>
    <w:rsid w:val="00AF59BA"/>
    <w:rsid w:val="00AF635E"/>
    <w:rsid w:val="00AF78A6"/>
    <w:rsid w:val="00B02600"/>
    <w:rsid w:val="00B03550"/>
    <w:rsid w:val="00B05800"/>
    <w:rsid w:val="00B05F5C"/>
    <w:rsid w:val="00B07171"/>
    <w:rsid w:val="00B10536"/>
    <w:rsid w:val="00B10E98"/>
    <w:rsid w:val="00B135C7"/>
    <w:rsid w:val="00B1421B"/>
    <w:rsid w:val="00B152BE"/>
    <w:rsid w:val="00B156D5"/>
    <w:rsid w:val="00B157C1"/>
    <w:rsid w:val="00B268ED"/>
    <w:rsid w:val="00B269DB"/>
    <w:rsid w:val="00B26A7D"/>
    <w:rsid w:val="00B26FC3"/>
    <w:rsid w:val="00B3202A"/>
    <w:rsid w:val="00B32FD1"/>
    <w:rsid w:val="00B36FA8"/>
    <w:rsid w:val="00B401BE"/>
    <w:rsid w:val="00B431CF"/>
    <w:rsid w:val="00B46255"/>
    <w:rsid w:val="00B577D6"/>
    <w:rsid w:val="00B57B42"/>
    <w:rsid w:val="00B57C12"/>
    <w:rsid w:val="00B61674"/>
    <w:rsid w:val="00B66F27"/>
    <w:rsid w:val="00B67EF1"/>
    <w:rsid w:val="00B72E20"/>
    <w:rsid w:val="00B74CE5"/>
    <w:rsid w:val="00B75F03"/>
    <w:rsid w:val="00B76910"/>
    <w:rsid w:val="00B77AA2"/>
    <w:rsid w:val="00B93159"/>
    <w:rsid w:val="00B96B54"/>
    <w:rsid w:val="00BA065E"/>
    <w:rsid w:val="00BA19DE"/>
    <w:rsid w:val="00BA239D"/>
    <w:rsid w:val="00BB36DF"/>
    <w:rsid w:val="00BB4FDA"/>
    <w:rsid w:val="00BB5981"/>
    <w:rsid w:val="00BC573C"/>
    <w:rsid w:val="00BD6524"/>
    <w:rsid w:val="00BD700D"/>
    <w:rsid w:val="00BE0D4C"/>
    <w:rsid w:val="00BE0E44"/>
    <w:rsid w:val="00BE5613"/>
    <w:rsid w:val="00BF1B46"/>
    <w:rsid w:val="00BF563E"/>
    <w:rsid w:val="00C02C96"/>
    <w:rsid w:val="00C04390"/>
    <w:rsid w:val="00C05468"/>
    <w:rsid w:val="00C11312"/>
    <w:rsid w:val="00C12581"/>
    <w:rsid w:val="00C143B4"/>
    <w:rsid w:val="00C24417"/>
    <w:rsid w:val="00C244E8"/>
    <w:rsid w:val="00C27C81"/>
    <w:rsid w:val="00C319C0"/>
    <w:rsid w:val="00C36164"/>
    <w:rsid w:val="00C3662A"/>
    <w:rsid w:val="00C41070"/>
    <w:rsid w:val="00C42FEE"/>
    <w:rsid w:val="00C52307"/>
    <w:rsid w:val="00C57DBC"/>
    <w:rsid w:val="00C61D49"/>
    <w:rsid w:val="00C63AB5"/>
    <w:rsid w:val="00C70FF8"/>
    <w:rsid w:val="00C71091"/>
    <w:rsid w:val="00C74F16"/>
    <w:rsid w:val="00C77B88"/>
    <w:rsid w:val="00C95150"/>
    <w:rsid w:val="00C95659"/>
    <w:rsid w:val="00CA22B6"/>
    <w:rsid w:val="00CA44F4"/>
    <w:rsid w:val="00CA4F51"/>
    <w:rsid w:val="00CA616A"/>
    <w:rsid w:val="00CB0464"/>
    <w:rsid w:val="00CB1CFD"/>
    <w:rsid w:val="00CB78BF"/>
    <w:rsid w:val="00CC273C"/>
    <w:rsid w:val="00CC3B4B"/>
    <w:rsid w:val="00CC5F5C"/>
    <w:rsid w:val="00CC7383"/>
    <w:rsid w:val="00CD3F6E"/>
    <w:rsid w:val="00CE3024"/>
    <w:rsid w:val="00CE4CAA"/>
    <w:rsid w:val="00CE56AD"/>
    <w:rsid w:val="00CE713B"/>
    <w:rsid w:val="00CF1645"/>
    <w:rsid w:val="00CF2694"/>
    <w:rsid w:val="00CF2B30"/>
    <w:rsid w:val="00CF4398"/>
    <w:rsid w:val="00D035D7"/>
    <w:rsid w:val="00D04296"/>
    <w:rsid w:val="00D05C15"/>
    <w:rsid w:val="00D108C0"/>
    <w:rsid w:val="00D11353"/>
    <w:rsid w:val="00D159B5"/>
    <w:rsid w:val="00D17085"/>
    <w:rsid w:val="00D23C3D"/>
    <w:rsid w:val="00D25020"/>
    <w:rsid w:val="00D257EF"/>
    <w:rsid w:val="00D264BB"/>
    <w:rsid w:val="00D3400B"/>
    <w:rsid w:val="00D34C56"/>
    <w:rsid w:val="00D374B2"/>
    <w:rsid w:val="00D40531"/>
    <w:rsid w:val="00D43DE7"/>
    <w:rsid w:val="00D4537C"/>
    <w:rsid w:val="00D45AE5"/>
    <w:rsid w:val="00D45C60"/>
    <w:rsid w:val="00D56963"/>
    <w:rsid w:val="00D61593"/>
    <w:rsid w:val="00D617A2"/>
    <w:rsid w:val="00D63E86"/>
    <w:rsid w:val="00D65163"/>
    <w:rsid w:val="00D7075C"/>
    <w:rsid w:val="00D721E3"/>
    <w:rsid w:val="00D726DA"/>
    <w:rsid w:val="00D72717"/>
    <w:rsid w:val="00D728E6"/>
    <w:rsid w:val="00D72CB1"/>
    <w:rsid w:val="00D76D39"/>
    <w:rsid w:val="00D818F9"/>
    <w:rsid w:val="00D828C6"/>
    <w:rsid w:val="00D833E4"/>
    <w:rsid w:val="00D8767A"/>
    <w:rsid w:val="00D87699"/>
    <w:rsid w:val="00D9051B"/>
    <w:rsid w:val="00DA59E1"/>
    <w:rsid w:val="00DA716A"/>
    <w:rsid w:val="00DB45DA"/>
    <w:rsid w:val="00DB6845"/>
    <w:rsid w:val="00DB7790"/>
    <w:rsid w:val="00DC26C4"/>
    <w:rsid w:val="00DC43A7"/>
    <w:rsid w:val="00DD2BF0"/>
    <w:rsid w:val="00DD59BA"/>
    <w:rsid w:val="00DE0F1F"/>
    <w:rsid w:val="00DE180B"/>
    <w:rsid w:val="00DE5E48"/>
    <w:rsid w:val="00DE6570"/>
    <w:rsid w:val="00DF0D71"/>
    <w:rsid w:val="00DF24AA"/>
    <w:rsid w:val="00DF4939"/>
    <w:rsid w:val="00DF49FA"/>
    <w:rsid w:val="00E038A4"/>
    <w:rsid w:val="00E0461E"/>
    <w:rsid w:val="00E0465D"/>
    <w:rsid w:val="00E12E6A"/>
    <w:rsid w:val="00E143EB"/>
    <w:rsid w:val="00E219CE"/>
    <w:rsid w:val="00E21ECE"/>
    <w:rsid w:val="00E221E8"/>
    <w:rsid w:val="00E27612"/>
    <w:rsid w:val="00E30F79"/>
    <w:rsid w:val="00E31828"/>
    <w:rsid w:val="00E31FEB"/>
    <w:rsid w:val="00E3714E"/>
    <w:rsid w:val="00E439ED"/>
    <w:rsid w:val="00E44A45"/>
    <w:rsid w:val="00E453EC"/>
    <w:rsid w:val="00E461CA"/>
    <w:rsid w:val="00E46A35"/>
    <w:rsid w:val="00E5207A"/>
    <w:rsid w:val="00E54166"/>
    <w:rsid w:val="00E565A7"/>
    <w:rsid w:val="00E56B4C"/>
    <w:rsid w:val="00E640C9"/>
    <w:rsid w:val="00E65444"/>
    <w:rsid w:val="00E65FD0"/>
    <w:rsid w:val="00E733FE"/>
    <w:rsid w:val="00E75CF8"/>
    <w:rsid w:val="00E83717"/>
    <w:rsid w:val="00E97564"/>
    <w:rsid w:val="00EA0D09"/>
    <w:rsid w:val="00EA2117"/>
    <w:rsid w:val="00EA26A9"/>
    <w:rsid w:val="00EA3A36"/>
    <w:rsid w:val="00EA5E62"/>
    <w:rsid w:val="00EA74A4"/>
    <w:rsid w:val="00EB00EB"/>
    <w:rsid w:val="00EB670D"/>
    <w:rsid w:val="00EB728F"/>
    <w:rsid w:val="00ED3CED"/>
    <w:rsid w:val="00ED5C14"/>
    <w:rsid w:val="00EE300D"/>
    <w:rsid w:val="00EE57BC"/>
    <w:rsid w:val="00EE5D16"/>
    <w:rsid w:val="00EE5E8B"/>
    <w:rsid w:val="00EF3C88"/>
    <w:rsid w:val="00EF6A0F"/>
    <w:rsid w:val="00EF6D19"/>
    <w:rsid w:val="00F03EC4"/>
    <w:rsid w:val="00F0413D"/>
    <w:rsid w:val="00F11131"/>
    <w:rsid w:val="00F154BD"/>
    <w:rsid w:val="00F206EE"/>
    <w:rsid w:val="00F225BB"/>
    <w:rsid w:val="00F2375D"/>
    <w:rsid w:val="00F24AB5"/>
    <w:rsid w:val="00F258CA"/>
    <w:rsid w:val="00F25A58"/>
    <w:rsid w:val="00F27E12"/>
    <w:rsid w:val="00F30213"/>
    <w:rsid w:val="00F33189"/>
    <w:rsid w:val="00F33589"/>
    <w:rsid w:val="00F355BC"/>
    <w:rsid w:val="00F368F5"/>
    <w:rsid w:val="00F42C32"/>
    <w:rsid w:val="00F43BC5"/>
    <w:rsid w:val="00F457F8"/>
    <w:rsid w:val="00F5175D"/>
    <w:rsid w:val="00F65BB2"/>
    <w:rsid w:val="00F65E73"/>
    <w:rsid w:val="00F724F3"/>
    <w:rsid w:val="00F76879"/>
    <w:rsid w:val="00F821CA"/>
    <w:rsid w:val="00F83DC9"/>
    <w:rsid w:val="00F917FC"/>
    <w:rsid w:val="00F95831"/>
    <w:rsid w:val="00FA1658"/>
    <w:rsid w:val="00FA3706"/>
    <w:rsid w:val="00FA471F"/>
    <w:rsid w:val="00FB03C6"/>
    <w:rsid w:val="00FB1081"/>
    <w:rsid w:val="00FB1DE2"/>
    <w:rsid w:val="00FB50D4"/>
    <w:rsid w:val="00FC0E64"/>
    <w:rsid w:val="00FC7544"/>
    <w:rsid w:val="00FC7DC8"/>
    <w:rsid w:val="00FD1F77"/>
    <w:rsid w:val="00FD2D5F"/>
    <w:rsid w:val="00FE035D"/>
    <w:rsid w:val="00FE5415"/>
    <w:rsid w:val="00FF1C69"/>
    <w:rsid w:val="00FF2889"/>
    <w:rsid w:val="00FF5C0F"/>
    <w:rsid w:val="00FF6308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D19D5-339A-4873-A3CA-899088BE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508"/>
  </w:style>
  <w:style w:type="paragraph" w:styleId="Nagwek3">
    <w:name w:val="heading 3"/>
    <w:basedOn w:val="Normalny"/>
    <w:next w:val="Normalny"/>
    <w:link w:val="Nagwek3Znak"/>
    <w:qFormat/>
    <w:rsid w:val="00B77AA2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1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E4C"/>
  </w:style>
  <w:style w:type="paragraph" w:styleId="Stopka">
    <w:name w:val="footer"/>
    <w:basedOn w:val="Normalny"/>
    <w:link w:val="StopkaZnak"/>
    <w:uiPriority w:val="99"/>
    <w:unhideWhenUsed/>
    <w:rsid w:val="0067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E4C"/>
  </w:style>
  <w:style w:type="character" w:customStyle="1" w:styleId="Nagwek3Znak">
    <w:name w:val="Nagłówek 3 Znak"/>
    <w:basedOn w:val="Domylnaczcionkaakapitu"/>
    <w:link w:val="Nagwek3"/>
    <w:rsid w:val="00B77AA2"/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styleId="Hipercze">
    <w:name w:val="Hyperlink"/>
    <w:rsid w:val="00B77AA2"/>
    <w:rPr>
      <w:color w:val="0000FF"/>
      <w:sz w:val="20"/>
      <w:u w:val="single"/>
    </w:rPr>
  </w:style>
  <w:style w:type="paragraph" w:styleId="Akapitzlist">
    <w:name w:val="List Paragraph"/>
    <w:basedOn w:val="Normalny"/>
    <w:uiPriority w:val="34"/>
    <w:qFormat/>
    <w:rsid w:val="00EB00E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C48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zecznik@st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t.gov.pl/obszary-tematyczne/ceny-handel/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.gov.pl/obszary-tematyczne/ceny-handel/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rzecznik@stat.gov.p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pl-PL" sz="900" b="1" i="0" u="none" strike="noStrike" baseline="0">
                <a:effectLst/>
              </a:rPr>
              <a:t>SPRZEDAŻ DETALICZNA TOWARÓW  (ceny stałe)</a:t>
            </a:r>
          </a:p>
          <a:p>
            <a:pPr>
              <a:defRPr sz="900"/>
            </a:pPr>
            <a:r>
              <a:rPr lang="pl-PL" sz="900" b="0" i="0" u="none" strike="noStrike" baseline="0"/>
              <a:t> </a:t>
            </a:r>
            <a:r>
              <a:rPr lang="pl-PL" sz="900" b="1" i="0" u="none" strike="noStrike" baseline="0">
                <a:effectLst/>
              </a:rPr>
              <a:t> analogiczny okres roku poprzedniego=100</a:t>
            </a:r>
            <a:r>
              <a:rPr lang="pl-PL" sz="900" b="0" i="0" u="none" strike="noStrike" baseline="0"/>
              <a:t> </a:t>
            </a:r>
            <a:r>
              <a:rPr lang="pl-PL" sz="900" b="1"/>
              <a:t> </a:t>
            </a:r>
          </a:p>
        </c:rich>
      </c:tx>
      <c:layout>
        <c:manualLayout>
          <c:xMode val="edge"/>
          <c:yMode val="edge"/>
          <c:x val="0.2448266530243042"/>
          <c:y val="2.59739011496802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387833531683579E-2"/>
          <c:y val="0.15981332215129915"/>
          <c:w val="0.93325015595757954"/>
          <c:h val="0.757950907545008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 w="3175">
              <a:solidFill>
                <a:srgbClr val="000000"/>
              </a:solidFill>
              <a:prstDash val="solid"/>
            </a:ln>
          </c:spPr>
          <c:invertIfNegative val="0"/>
          <c:dPt>
            <c:idx val="48"/>
            <c:invertIfNegative val="0"/>
            <c:bubble3D val="0"/>
          </c:dPt>
          <c:dPt>
            <c:idx val="5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3175">
                <a:solidFill>
                  <a:srgbClr val="000000"/>
                </a:solidFill>
                <a:prstDash val="solid"/>
              </a:ln>
            </c:spPr>
          </c:dPt>
          <c:cat>
            <c:multiLvlStrRef>
              <c:f>Arkusz1!$B$29:$C$80</c:f>
              <c:multiLvlStrCache>
                <c:ptCount val="52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  I </c:v>
                  </c:pt>
                  <c:pt idx="25">
                    <c:v>II</c:v>
                  </c:pt>
                  <c:pt idx="26">
                    <c:v>III</c:v>
                  </c:pt>
                  <c:pt idx="27">
                    <c:v>IV</c:v>
                  </c:pt>
                  <c:pt idx="28">
                    <c:v>V</c:v>
                  </c:pt>
                  <c:pt idx="29">
                    <c:v>VI</c:v>
                  </c:pt>
                  <c:pt idx="30">
                    <c:v>VII</c:v>
                  </c:pt>
                  <c:pt idx="31">
                    <c:v>VIII</c:v>
                  </c:pt>
                  <c:pt idx="32">
                    <c:v>IX</c:v>
                  </c:pt>
                  <c:pt idx="33">
                    <c:v>X</c:v>
                  </c:pt>
                  <c:pt idx="34">
                    <c:v>XI</c:v>
                  </c:pt>
                  <c:pt idx="35">
                    <c:v>XII</c:v>
                  </c:pt>
                  <c:pt idx="36">
                    <c:v>I</c:v>
                  </c:pt>
                  <c:pt idx="37">
                    <c:v>II</c:v>
                  </c:pt>
                  <c:pt idx="38">
                    <c:v>III</c:v>
                  </c:pt>
                  <c:pt idx="39">
                    <c:v>IV</c:v>
                  </c:pt>
                  <c:pt idx="40">
                    <c:v>V</c:v>
                  </c:pt>
                  <c:pt idx="41">
                    <c:v>VI</c:v>
                  </c:pt>
                  <c:pt idx="42">
                    <c:v>VII</c:v>
                  </c:pt>
                  <c:pt idx="43">
                    <c:v>VIII</c:v>
                  </c:pt>
                  <c:pt idx="44">
                    <c:v>IX</c:v>
                  </c:pt>
                  <c:pt idx="45">
                    <c:v>X</c:v>
                  </c:pt>
                  <c:pt idx="46">
                    <c:v>XI</c:v>
                  </c:pt>
                  <c:pt idx="47">
                    <c:v>XII</c:v>
                  </c:pt>
                  <c:pt idx="48">
                    <c:v>I</c:v>
                  </c:pt>
                  <c:pt idx="49">
                    <c:v>II</c:v>
                  </c:pt>
                  <c:pt idx="50">
                    <c:v>III</c:v>
                  </c:pt>
                  <c:pt idx="51">
                    <c:v>IV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Arkusz1!$D$29:$D$80</c:f>
              <c:numCache>
                <c:formatCode>General</c:formatCode>
                <c:ptCount val="52"/>
                <c:pt idx="0">
                  <c:v>102.4</c:v>
                </c:pt>
                <c:pt idx="1">
                  <c:v>98.7</c:v>
                </c:pt>
                <c:pt idx="2" formatCode="0.0">
                  <c:v>100</c:v>
                </c:pt>
                <c:pt idx="3">
                  <c:v>100.1</c:v>
                </c:pt>
                <c:pt idx="4">
                  <c:v>101.2</c:v>
                </c:pt>
                <c:pt idx="5">
                  <c:v>102.6</c:v>
                </c:pt>
                <c:pt idx="6">
                  <c:v>104.3</c:v>
                </c:pt>
                <c:pt idx="7">
                  <c:v>103.5</c:v>
                </c:pt>
                <c:pt idx="8">
                  <c:v>104.1</c:v>
                </c:pt>
                <c:pt idx="9">
                  <c:v>103.7</c:v>
                </c:pt>
                <c:pt idx="10">
                  <c:v>104.2</c:v>
                </c:pt>
                <c:pt idx="11">
                  <c:v>105.9</c:v>
                </c:pt>
                <c:pt idx="12" formatCode="0.0">
                  <c:v>104.8</c:v>
                </c:pt>
                <c:pt idx="13" formatCode="0.0">
                  <c:v>107</c:v>
                </c:pt>
                <c:pt idx="14">
                  <c:v>103.3</c:v>
                </c:pt>
                <c:pt idx="15">
                  <c:v>108.9</c:v>
                </c:pt>
                <c:pt idx="16">
                  <c:v>104.3</c:v>
                </c:pt>
                <c:pt idx="17">
                  <c:v>101.8</c:v>
                </c:pt>
                <c:pt idx="18">
                  <c:v>103.1</c:v>
                </c:pt>
                <c:pt idx="19">
                  <c:v>102.8</c:v>
                </c:pt>
                <c:pt idx="20" formatCode="0.0">
                  <c:v>103</c:v>
                </c:pt>
                <c:pt idx="21" formatCode="0.0">
                  <c:v>103.7</c:v>
                </c:pt>
                <c:pt idx="22" formatCode="0.0">
                  <c:v>101.4</c:v>
                </c:pt>
                <c:pt idx="23" formatCode="0.0">
                  <c:v>104</c:v>
                </c:pt>
                <c:pt idx="24" formatCode="0.0">
                  <c:v>103.6</c:v>
                </c:pt>
                <c:pt idx="25" formatCode="0.0">
                  <c:v>102.4</c:v>
                </c:pt>
                <c:pt idx="26" formatCode="0.0">
                  <c:v>106.6</c:v>
                </c:pt>
                <c:pt idx="27" formatCode="0.0">
                  <c:v>101.5</c:v>
                </c:pt>
                <c:pt idx="28" formatCode="0.0">
                  <c:v>104.7</c:v>
                </c:pt>
                <c:pt idx="29" formatCode="0.0">
                  <c:v>106.6</c:v>
                </c:pt>
                <c:pt idx="30" formatCode="0.0">
                  <c:v>103.5</c:v>
                </c:pt>
                <c:pt idx="31" formatCode="0.0">
                  <c:v>102</c:v>
                </c:pt>
                <c:pt idx="32" formatCode="0.0">
                  <c:v>102.9</c:v>
                </c:pt>
                <c:pt idx="33" formatCode="0.0">
                  <c:v>103.6</c:v>
                </c:pt>
                <c:pt idx="34" formatCode="0.0">
                  <c:v>105.7</c:v>
                </c:pt>
                <c:pt idx="35" formatCode="0.0">
                  <c:v>107</c:v>
                </c:pt>
                <c:pt idx="36" formatCode="0.0">
                  <c:v>103.2</c:v>
                </c:pt>
                <c:pt idx="37">
                  <c:v>106.2</c:v>
                </c:pt>
                <c:pt idx="38">
                  <c:v>103</c:v>
                </c:pt>
                <c:pt idx="39">
                  <c:v>105.5</c:v>
                </c:pt>
                <c:pt idx="40">
                  <c:v>104.3</c:v>
                </c:pt>
                <c:pt idx="41">
                  <c:v>106.5</c:v>
                </c:pt>
                <c:pt idx="42">
                  <c:v>104.4</c:v>
                </c:pt>
                <c:pt idx="43">
                  <c:v>107.8</c:v>
                </c:pt>
                <c:pt idx="44">
                  <c:v>106.3</c:v>
                </c:pt>
                <c:pt idx="45">
                  <c:v>104.6</c:v>
                </c:pt>
                <c:pt idx="46">
                  <c:v>107.4</c:v>
                </c:pt>
                <c:pt idx="47">
                  <c:v>106.1</c:v>
                </c:pt>
                <c:pt idx="48">
                  <c:v>109.5</c:v>
                </c:pt>
                <c:pt idx="49">
                  <c:v>105.2</c:v>
                </c:pt>
                <c:pt idx="50">
                  <c:v>107.9</c:v>
                </c:pt>
                <c:pt idx="51">
                  <c:v>106.7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7"/>
        <c:axId val="-893340144"/>
        <c:axId val="-893340688"/>
      </c:barChart>
      <c:catAx>
        <c:axId val="-893340144"/>
        <c:scaling>
          <c:orientation val="minMax"/>
        </c:scaling>
        <c:delete val="0"/>
        <c:axPos val="b"/>
        <c:numFmt formatCode="General" sourceLinked="0"/>
        <c:majorTickMark val="cross"/>
        <c:minorTickMark val="none"/>
        <c:tickLblPos val="low"/>
        <c:spPr>
          <a:noFill/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-893340688"/>
        <c:crossesAt val="100"/>
        <c:auto val="0"/>
        <c:lblAlgn val="ctr"/>
        <c:lblOffset val="50"/>
        <c:tickLblSkip val="10"/>
        <c:tickMarkSkip val="2"/>
        <c:noMultiLvlLbl val="0"/>
      </c:catAx>
      <c:valAx>
        <c:axId val="-893340688"/>
        <c:scaling>
          <c:orientation val="minMax"/>
          <c:max val="112"/>
          <c:min val="98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-893340144"/>
        <c:crosses val="autoZero"/>
        <c:crossBetween val="between"/>
        <c:majorUnit val="2"/>
        <c:minorUnit val="2"/>
      </c:valAx>
      <c:spPr>
        <a:noFill/>
        <a:ln w="3175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368115398728275E-2"/>
          <c:y val="0.11265618113525283"/>
          <c:w val="0.90746450357941544"/>
          <c:h val="0.6837892419415323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7C80"/>
            </a:solidFill>
            <a:ln w="12700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9999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invertIfNegative val="0"/>
            <c:bubble3D val="0"/>
            <c:spPr>
              <a:solidFill>
                <a:srgbClr val="FF9999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invertIfNegative val="0"/>
            <c:bubble3D val="0"/>
            <c:spPr>
              <a:solidFill>
                <a:srgbClr val="FF9999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invertIfNegative val="0"/>
            <c:bubble3D val="0"/>
            <c:spPr>
              <a:solidFill>
                <a:srgbClr val="FF9999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invertIfNegative val="0"/>
            <c:bubble3D val="0"/>
            <c:spPr>
              <a:solidFill>
                <a:srgbClr val="FF9999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invertIfNegative val="0"/>
            <c:bubble3D val="0"/>
            <c:spPr>
              <a:solidFill>
                <a:srgbClr val="FF9999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6"/>
            <c:invertIfNegative val="0"/>
            <c:bubble3D val="0"/>
            <c:spPr>
              <a:solidFill>
                <a:srgbClr val="FF9999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7"/>
            <c:invertIfNegative val="0"/>
            <c:bubble3D val="0"/>
            <c:spPr>
              <a:solidFill>
                <a:srgbClr val="FF9999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8"/>
            <c:invertIfNegative val="0"/>
            <c:bubble3D val="0"/>
            <c:spPr>
              <a:solidFill>
                <a:srgbClr val="FF9999"/>
              </a:solidFill>
              <a:ln w="12700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9.9136034463313621E-4"/>
                  <c:y val="1.62434909540050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94,6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452896484570456E-2"/>
                      <c:h val="4.1373250803542594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2.2532360981610875E-4"/>
                  <c:y val="3.35915898213251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4.1892242564613019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1.3646030428085586E-3"/>
                  <c:y val="2.55392325836299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9423196974293883E-8"/>
                  <c:y val="2.56951169873819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4.1892242564613019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5.1377103930224451E-4"/>
                  <c:y val="2.31456557354820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5189861152365568E-3"/>
                  <c:y val="5.071734454245850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062336090377244E-2"/>
                      <c:h val="5.5196521487445652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0439385010301188E-3"/>
                  <c:y val="6.271141241034056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3681519334003636E-4"/>
                  <c:y val="-2.68044970314539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403150559377574E-2"/>
                      <c:h val="4.1829771278590173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2.4623573757938857E-3"/>
                  <c:y val="1.9300461773829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992939277788977E-2"/>
                      <c:h val="4.9373565146461948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1.4588466376058548E-3"/>
                  <c:y val="6.825029651146145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[WARTOŚĆ]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50" b="1" i="1" baseline="0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rodz_dział_miesiąc!$B$4:$B$12</c:f>
              <c:strCache>
                <c:ptCount val="9"/>
                <c:pt idx="0">
                  <c:v>pojazdy 
samochodowe, 
motocykle, części  
</c:v>
                </c:pt>
                <c:pt idx="1">
                  <c:v>paliwa stałe,
ciekłe i gazowe  
</c:v>
                </c:pt>
                <c:pt idx="2">
                  <c:v>żywność,
napoje
i wyroby
 tytoniowe  
</c:v>
                </c:pt>
                <c:pt idx="3">
                  <c:v>pozostała
sprzedaż detaliczna
w niewyspecjalizo-
wanych sklepach
</c:v>
                </c:pt>
                <c:pt idx="4">
                  <c:v>farmaceutyki, 
kosmetyki, 
sprzęt 
ortopedyczny   </c:v>
                </c:pt>
                <c:pt idx="5">
                  <c:v>tekstylia, odzież, 
obuwie</c:v>
                </c:pt>
                <c:pt idx="6">
                  <c:v>meble,
rtv,
agd
</c:v>
                </c:pt>
                <c:pt idx="7">
                  <c:v>prasa, książki, 
pozostała sprzedaż
w wyspecjalizowanych
sklepach
</c:v>
                </c:pt>
                <c:pt idx="8">
                  <c:v>pozostałe  </c:v>
                </c:pt>
              </c:strCache>
            </c:strRef>
          </c:cat>
          <c:val>
            <c:numRef>
              <c:f>rodz_dział_miesiąc!$AK$4:$AK$12</c:f>
              <c:numCache>
                <c:formatCode>0.0</c:formatCode>
                <c:ptCount val="9"/>
                <c:pt idx="0">
                  <c:v>94.6</c:v>
                </c:pt>
                <c:pt idx="1">
                  <c:v>109</c:v>
                </c:pt>
                <c:pt idx="2">
                  <c:v>109.4</c:v>
                </c:pt>
                <c:pt idx="3">
                  <c:v>109.1</c:v>
                </c:pt>
                <c:pt idx="4">
                  <c:v>112.6</c:v>
                </c:pt>
                <c:pt idx="5">
                  <c:v>112</c:v>
                </c:pt>
                <c:pt idx="6">
                  <c:v>107</c:v>
                </c:pt>
                <c:pt idx="7">
                  <c:v>105.2</c:v>
                </c:pt>
                <c:pt idx="8">
                  <c:v>99.8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893339600"/>
        <c:axId val="-893332528"/>
      </c:barChart>
      <c:catAx>
        <c:axId val="-893339600"/>
        <c:scaling>
          <c:orientation val="minMax"/>
        </c:scaling>
        <c:delete val="0"/>
        <c:axPos val="b"/>
        <c:numFmt formatCode="#,##0.00" sourceLinked="0"/>
        <c:majorTickMark val="cross"/>
        <c:minorTickMark val="none"/>
        <c:tickLblPos val="low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3000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-893332528"/>
        <c:crossesAt val="100"/>
        <c:auto val="1"/>
        <c:lblAlgn val="ctr"/>
        <c:lblOffset val="80"/>
        <c:tickLblSkip val="1"/>
        <c:tickMarkSkip val="1"/>
        <c:noMultiLvlLbl val="0"/>
      </c:catAx>
      <c:valAx>
        <c:axId val="-893332528"/>
        <c:scaling>
          <c:orientation val="minMax"/>
          <c:max val="120"/>
          <c:min val="90"/>
        </c:scaling>
        <c:delete val="0"/>
        <c:axPos val="l"/>
        <c:majorGridlines>
          <c:spPr>
            <a:ln w="3175">
              <a:solidFill>
                <a:schemeClr val="tx1">
                  <a:lumMod val="50000"/>
                  <a:lumOff val="50000"/>
                </a:schemeClr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-893339600"/>
        <c:crosses val="autoZero"/>
        <c:crossBetween val="between"/>
        <c:majorUnit val="5"/>
      </c:valAx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0.1707</cdr:x>
      <cdr:y>0.01528</cdr:y>
    </cdr:from>
    <cdr:to>
      <cdr:x>0.87526</cdr:x>
      <cdr:y>0.14506</cdr:y>
    </cdr:to>
    <cdr:sp macro="" textlink="">
      <cdr:nvSpPr>
        <cdr:cNvPr id="340998" name="Text Box 103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533517" y="53340"/>
          <a:ext cx="6400851" cy="464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36576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9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SPRZEDAŻ DETALICZNA TOWARÓW W KWIETNIU 2017 R. (ceny stałe) </a:t>
          </a:r>
        </a:p>
        <a:p xmlns:a="http://schemas.openxmlformats.org/drawingml/2006/main">
          <a:pPr algn="ctr" rtl="0">
            <a:defRPr sz="1000"/>
          </a:pPr>
          <a:r>
            <a:rPr lang="pl-PL" sz="9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analogiczny okres roku </a:t>
          </a:r>
          <a:r>
            <a:rPr lang="pl-PL" sz="900" b="1" i="0" baseline="0">
              <a:latin typeface="Arial" pitchFamily="34" charset="0"/>
              <a:ea typeface="+mn-ea"/>
              <a:cs typeface="Arial" pitchFamily="34" charset="0"/>
            </a:rPr>
            <a:t>poprzedniego</a:t>
          </a:r>
          <a:r>
            <a:rPr lang="pl-PL" sz="900" b="1" i="0" u="none" strike="noStrike" baseline="0">
              <a:solidFill>
                <a:srgbClr val="000000"/>
              </a:solidFill>
              <a:latin typeface="Arial CE"/>
              <a:cs typeface="Arial CE"/>
            </a:rPr>
            <a:t>=100</a:t>
          </a:r>
        </a:p>
      </cdr:txBody>
    </cdr:sp>
  </cdr:relSizeAnchor>
  <cdr:relSizeAnchor xmlns:cdr="http://schemas.openxmlformats.org/drawingml/2006/chartDrawing">
    <cdr:from>
      <cdr:x>0.06808</cdr:x>
      <cdr:y>0.20535</cdr:y>
    </cdr:from>
    <cdr:to>
      <cdr:x>0.21787</cdr:x>
      <cdr:y>0.28571</cdr:y>
    </cdr:to>
    <cdr:sp macro="" textlink="">
      <cdr:nvSpPr>
        <cdr:cNvPr id="3" name="Text Box 103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>
          <a:off x="428587" y="731520"/>
          <a:ext cx="942987" cy="2862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anchorCtr="0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900" b="1" i="1" u="none" strike="noStrike" baseline="0">
            <a:solidFill>
              <a:srgbClr val="8B2725"/>
            </a:solidFill>
            <a:latin typeface="Arial CE"/>
            <a:cs typeface="Arial CE"/>
          </a:endParaRPr>
        </a:p>
        <a:p xmlns:a="http://schemas.openxmlformats.org/drawingml/2006/main">
          <a:pPr algn="ctr" rtl="0">
            <a:lnSpc>
              <a:spcPts val="800"/>
            </a:lnSpc>
            <a:defRPr sz="1000"/>
          </a:pPr>
          <a:r>
            <a:rPr lang="pl-PL" sz="900" b="1" i="1" u="none" strike="noStrike" baseline="0">
              <a:solidFill>
                <a:srgbClr val="8B2725"/>
              </a:solidFill>
              <a:latin typeface="Arial CE"/>
              <a:cs typeface="Arial CE"/>
            </a:rPr>
            <a:t>Ogółem 106,7</a:t>
          </a:r>
        </a:p>
      </cdr:txBody>
    </cdr:sp>
  </cdr:relSizeAnchor>
  <cdr:relSizeAnchor xmlns:cdr="http://schemas.openxmlformats.org/drawingml/2006/chartDrawing">
    <cdr:from>
      <cdr:x>0.08594</cdr:x>
      <cdr:y>0.27966</cdr:y>
    </cdr:from>
    <cdr:to>
      <cdr:x>0.14797</cdr:x>
      <cdr:y>0.40999</cdr:y>
    </cdr:to>
    <cdr:sp macro="" textlink="">
      <cdr:nvSpPr>
        <cdr:cNvPr id="4" name="Line 103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541016" y="996261"/>
          <a:ext cx="390503" cy="46428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val="8B2725"/>
          </a:solidFill>
          <a:round/>
          <a:headEnd/>
          <a:tailEnd type="triangle" w="med" len="med"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0.06204</cdr:x>
      <cdr:y>0.41499</cdr:y>
    </cdr:from>
    <cdr:to>
      <cdr:x>0.96076</cdr:x>
      <cdr:y>0.4175</cdr:y>
    </cdr:to>
    <cdr:sp macro="" textlink="">
      <cdr:nvSpPr>
        <cdr:cNvPr id="5" name="Line 103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90566" y="1478353"/>
          <a:ext cx="5657793" cy="894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4925">
          <a:solidFill>
            <a:srgbClr val="8B2725"/>
          </a:solidFill>
          <a:round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064D8-B92F-47D7-9125-D606D2F2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Łukaszewicz Mirosława</dc:creator>
  <cp:lastModifiedBy>Biernat Jolanta</cp:lastModifiedBy>
  <cp:revision>2</cp:revision>
  <cp:lastPrinted>2017-05-18T10:14:00Z</cp:lastPrinted>
  <dcterms:created xsi:type="dcterms:W3CDTF">2017-05-18T11:18:00Z</dcterms:created>
  <dcterms:modified xsi:type="dcterms:W3CDTF">2017-05-18T11:18:00Z</dcterms:modified>
</cp:coreProperties>
</file>