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5C" w:rsidRPr="00E31581" w:rsidRDefault="00D13520" w:rsidP="00074DD8">
      <w:pPr>
        <w:pStyle w:val="tytuinformacji"/>
        <w:rPr>
          <w:b/>
          <w:szCs w:val="40"/>
          <w:shd w:val="clear" w:color="auto" w:fill="FFFFFF"/>
        </w:rPr>
      </w:pPr>
      <w:bookmarkStart w:id="0" w:name="_GoBack"/>
      <w:bookmarkEnd w:id="0"/>
      <w:r w:rsidRPr="00E31581">
        <w:rPr>
          <w:rFonts w:cs="Arial"/>
          <w:b/>
          <w:szCs w:val="40"/>
        </w:rPr>
        <w:t xml:space="preserve">Dynamika sprzedaży detalicznej w </w:t>
      </w:r>
      <w:r w:rsidR="00A948AE">
        <w:rPr>
          <w:rFonts w:cs="Arial"/>
          <w:b/>
          <w:szCs w:val="40"/>
        </w:rPr>
        <w:t>maju</w:t>
      </w:r>
      <w:r w:rsidRPr="00E31581">
        <w:rPr>
          <w:rFonts w:cs="Arial"/>
          <w:b/>
          <w:szCs w:val="40"/>
        </w:rPr>
        <w:t xml:space="preserve"> 201</w:t>
      </w:r>
      <w:r w:rsidR="006534EB" w:rsidRPr="00E31581">
        <w:rPr>
          <w:rFonts w:cs="Arial"/>
          <w:b/>
          <w:szCs w:val="40"/>
        </w:rPr>
        <w:t>8</w:t>
      </w:r>
      <w:r w:rsidRPr="00E31581">
        <w:rPr>
          <w:rFonts w:cs="Arial"/>
          <w:b/>
          <w:szCs w:val="40"/>
        </w:rPr>
        <w:t xml:space="preserve"> r.</w:t>
      </w:r>
    </w:p>
    <w:p w:rsidR="00393761" w:rsidRPr="0095396F" w:rsidRDefault="00A2520C" w:rsidP="00074DD8">
      <w:pPr>
        <w:pStyle w:val="tytuinformacji"/>
        <w:rPr>
          <w:rFonts w:asciiTheme="majorHAnsi" w:hAnsiTheme="majorHAnsi"/>
          <w:sz w:val="32"/>
        </w:rPr>
      </w:pPr>
      <w:r>
        <w:rPr>
          <w:rFonts w:asciiTheme="majorHAnsi" w:hAnsiTheme="majorHAnsi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5241290</wp:posOffset>
                </wp:positionH>
                <wp:positionV relativeFrom="paragraph">
                  <wp:posOffset>246380</wp:posOffset>
                </wp:positionV>
                <wp:extent cx="1828800" cy="1095375"/>
                <wp:effectExtent l="0" t="0" r="0" b="0"/>
                <wp:wrapTight wrapText="bothSides">
                  <wp:wrapPolygon edited="0">
                    <wp:start x="675" y="0"/>
                    <wp:lineTo x="675" y="21037"/>
                    <wp:lineTo x="20700" y="21037"/>
                    <wp:lineTo x="20700" y="0"/>
                    <wp:lineTo x="67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F5B" w:rsidRPr="00917AEC" w:rsidRDefault="00A930B2" w:rsidP="00E80C30">
                            <w:pPr>
                              <w:pStyle w:val="tekstzboku"/>
                            </w:pPr>
                            <w:r>
                              <w:t xml:space="preserve">W </w:t>
                            </w:r>
                            <w:r w:rsidR="00E11119">
                              <w:t>maju</w:t>
                            </w:r>
                            <w:r>
                              <w:t xml:space="preserve"> br. </w:t>
                            </w:r>
                            <w:r w:rsidR="00EB77B3">
                              <w:t xml:space="preserve">tempo </w:t>
                            </w:r>
                            <w:r w:rsidR="007C70C7">
                              <w:t xml:space="preserve">wzrostu </w:t>
                            </w:r>
                            <w:r w:rsidR="00431F5B" w:rsidRPr="00917AEC">
                              <w:t>sprzedaż</w:t>
                            </w:r>
                            <w:r w:rsidR="00EB77B3">
                              <w:t>y</w:t>
                            </w:r>
                            <w:r w:rsidR="00431F5B" w:rsidRPr="00917AEC">
                              <w:t xml:space="preserve"> detaliczn</w:t>
                            </w:r>
                            <w:r w:rsidR="00EB77B3">
                              <w:t>ej</w:t>
                            </w:r>
                            <w:r w:rsidR="00431F5B" w:rsidRPr="00917AEC">
                              <w:t xml:space="preserve"> w</w:t>
                            </w:r>
                            <w:r w:rsidR="002B5380">
                              <w:t> </w:t>
                            </w:r>
                            <w:r w:rsidR="007C70C7">
                              <w:t>ce</w:t>
                            </w:r>
                            <w:r w:rsidR="00431F5B" w:rsidRPr="00917AEC">
                              <w:t xml:space="preserve">nach stałych </w:t>
                            </w:r>
                            <w:r w:rsidR="00EB77B3">
                              <w:t>r/r</w:t>
                            </w:r>
                            <w:r w:rsidR="00431F5B">
                              <w:t xml:space="preserve"> </w:t>
                            </w:r>
                            <w:r w:rsidR="002B5380">
                              <w:t xml:space="preserve">było </w:t>
                            </w:r>
                            <w:r w:rsidR="00E11119">
                              <w:t>o 2,1 p. proc. wyższe</w:t>
                            </w:r>
                            <w:r w:rsidR="002B5380">
                              <w:t xml:space="preserve"> niż w</w:t>
                            </w:r>
                            <w:r w:rsidR="00736BF5">
                              <w:t xml:space="preserve"> </w:t>
                            </w:r>
                            <w:r w:rsidR="00831736">
                              <w:t>p</w:t>
                            </w:r>
                            <w:r w:rsidR="002B5380">
                              <w:t>oprzedni</w:t>
                            </w:r>
                            <w:r w:rsidR="00E11119">
                              <w:t>m</w:t>
                            </w:r>
                            <w:r w:rsidR="002B5380">
                              <w:t xml:space="preserve"> mi</w:t>
                            </w:r>
                            <w:r w:rsidR="002B5380">
                              <w:t>e</w:t>
                            </w:r>
                            <w:r w:rsidR="002B5380">
                              <w:t>siąc</w:t>
                            </w:r>
                            <w:r w:rsidR="00E11119">
                              <w:t>u</w:t>
                            </w:r>
                            <w:r w:rsidR="002B5380">
                              <w:t xml:space="preserve"> </w:t>
                            </w:r>
                            <w:r w:rsidR="00B2788D">
                              <w:t>b</w:t>
                            </w:r>
                            <w:r w:rsidR="002B5380">
                              <w:t>r.</w:t>
                            </w:r>
                          </w:p>
                          <w:p w:rsidR="00431F5B" w:rsidRPr="00074DD8" w:rsidRDefault="00431F5B" w:rsidP="00074DD8">
                            <w:pPr>
                              <w:pStyle w:val="tekstzboku"/>
                            </w:pPr>
                            <w:r w:rsidRPr="00074DD8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7pt;margin-top:19.4pt;width:2in;height:86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" filled="f" stroked="f">
                <v:textbox>
                  <w:txbxContent>
                    <w:p w:rsidR="00431F5B" w:rsidRPr="00917AEC" w:rsidRDefault="00A930B2" w:rsidP="00E80C30">
                      <w:pPr>
                        <w:pStyle w:val="tekstzboku"/>
                      </w:pPr>
                      <w:r>
                        <w:t xml:space="preserve">W </w:t>
                      </w:r>
                      <w:r w:rsidR="00E11119">
                        <w:t>maju</w:t>
                      </w:r>
                      <w:r>
                        <w:t xml:space="preserve"> br. </w:t>
                      </w:r>
                      <w:r w:rsidR="00EB77B3">
                        <w:t xml:space="preserve">tempo </w:t>
                      </w:r>
                      <w:r w:rsidR="007C70C7">
                        <w:t xml:space="preserve">wzrostu </w:t>
                      </w:r>
                      <w:r w:rsidR="00431F5B" w:rsidRPr="00917AEC">
                        <w:t>sprzedaż</w:t>
                      </w:r>
                      <w:r w:rsidR="00EB77B3">
                        <w:t>y</w:t>
                      </w:r>
                      <w:r w:rsidR="00431F5B" w:rsidRPr="00917AEC">
                        <w:t xml:space="preserve"> detaliczn</w:t>
                      </w:r>
                      <w:r w:rsidR="00EB77B3">
                        <w:t>ej</w:t>
                      </w:r>
                      <w:r w:rsidR="00431F5B" w:rsidRPr="00917AEC">
                        <w:t xml:space="preserve"> w</w:t>
                      </w:r>
                      <w:r w:rsidR="002B5380">
                        <w:t> </w:t>
                      </w:r>
                      <w:r w:rsidR="007C70C7">
                        <w:t>ce</w:t>
                      </w:r>
                      <w:r w:rsidR="00431F5B" w:rsidRPr="00917AEC">
                        <w:t xml:space="preserve">nach stałych </w:t>
                      </w:r>
                      <w:r w:rsidR="00EB77B3">
                        <w:t>r/r</w:t>
                      </w:r>
                      <w:r w:rsidR="00431F5B">
                        <w:t xml:space="preserve"> </w:t>
                      </w:r>
                      <w:r w:rsidR="002B5380">
                        <w:t xml:space="preserve">było </w:t>
                      </w:r>
                      <w:r w:rsidR="00E11119">
                        <w:t>o 2,1 p. proc. wyższe</w:t>
                      </w:r>
                      <w:r w:rsidR="002B5380">
                        <w:t xml:space="preserve"> niż w</w:t>
                      </w:r>
                      <w:r w:rsidR="00736BF5">
                        <w:t xml:space="preserve"> </w:t>
                      </w:r>
                      <w:r w:rsidR="00831736">
                        <w:t>p</w:t>
                      </w:r>
                      <w:r w:rsidR="002B5380">
                        <w:t>oprzedni</w:t>
                      </w:r>
                      <w:r w:rsidR="00E11119">
                        <w:t>m</w:t>
                      </w:r>
                      <w:r w:rsidR="002B5380">
                        <w:t xml:space="preserve"> miesiąc</w:t>
                      </w:r>
                      <w:r w:rsidR="00E11119">
                        <w:t>u</w:t>
                      </w:r>
                      <w:r w:rsidR="002B5380">
                        <w:t xml:space="preserve"> </w:t>
                      </w:r>
                      <w:r w:rsidR="00B2788D">
                        <w:t>b</w:t>
                      </w:r>
                      <w:r w:rsidR="002B5380">
                        <w:t>r.</w:t>
                      </w:r>
                    </w:p>
                    <w:p w:rsidR="00431F5B" w:rsidRPr="00074DD8" w:rsidRDefault="00431F5B" w:rsidP="00074DD8">
                      <w:pPr>
                        <w:pStyle w:val="tekstzboku"/>
                      </w:pPr>
                      <w:r w:rsidRPr="00074DD8"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737E1" w:rsidRPr="00E31581" w:rsidRDefault="00A2520C" w:rsidP="005B6AAA">
      <w:pPr>
        <w:pStyle w:val="LID"/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1828800" cy="11887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8872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F5B" w:rsidRPr="00B66B19" w:rsidRDefault="00431F5B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>
                                  <wp:extent cx="342900" cy="333375"/>
                                  <wp:effectExtent l="0" t="0" r="0" b="9525"/>
                                  <wp:docPr id="2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</w:t>
                            </w:r>
                            <w:r w:rsidR="00F315C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6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F315C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</w:p>
                          <w:p w:rsidR="00431F5B" w:rsidRPr="007C61E6" w:rsidRDefault="00431F5B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7C61E6">
                              <w:t xml:space="preserve">Dynamika sprzedaży </w:t>
                            </w:r>
                            <w:r w:rsidRPr="007C61E6">
                              <w:br/>
                              <w:t xml:space="preserve">detalicznej </w:t>
                            </w:r>
                            <w:r>
                              <w:t>r/r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6.2pt;width:2in;height:93.6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" fillcolor="#001d77" stroked="f">
                <v:textbox>
                  <w:txbxContent>
                    <w:p w:rsidR="00431F5B" w:rsidRPr="00B66B19" w:rsidRDefault="00431F5B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>
                            <wp:extent cx="342900" cy="333375"/>
                            <wp:effectExtent l="0" t="0" r="0" b="9525"/>
                            <wp:docPr id="2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</w:t>
                      </w:r>
                      <w:r w:rsidR="00F315C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6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F315C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</w:p>
                    <w:p w:rsidR="00431F5B" w:rsidRPr="007C61E6" w:rsidRDefault="00431F5B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7C61E6">
                        <w:t xml:space="preserve">Dynamika sprzedaży </w:t>
                      </w:r>
                      <w:r w:rsidRPr="007C61E6">
                        <w:br/>
                        <w:t xml:space="preserve">detalicznej </w:t>
                      </w:r>
                      <w:r>
                        <w:t>r/r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2998">
        <w:t>S</w:t>
      </w:r>
      <w:r w:rsidR="003C2CAA" w:rsidRPr="00E31581">
        <w:t>przedaż</w:t>
      </w:r>
      <w:r w:rsidR="00C62998">
        <w:t xml:space="preserve"> detaliczna</w:t>
      </w:r>
      <w:r w:rsidR="00E80C30" w:rsidRPr="00E31581">
        <w:rPr>
          <w:rStyle w:val="Odwoanieprzypisudolnego"/>
        </w:rPr>
        <w:footnoteReference w:id="1"/>
      </w:r>
      <w:r w:rsidR="003C2CAA" w:rsidRPr="00E31581">
        <w:t xml:space="preserve"> </w:t>
      </w:r>
      <w:r w:rsidR="003C2CAA" w:rsidRPr="00E31581">
        <w:rPr>
          <w:rFonts w:cs="Arial"/>
          <w:szCs w:val="24"/>
        </w:rPr>
        <w:t xml:space="preserve">w cenach stałych </w:t>
      </w:r>
      <w:r w:rsidR="0096306A" w:rsidRPr="00E31581">
        <w:t>w </w:t>
      </w:r>
      <w:r w:rsidR="008A3CF7">
        <w:t>maju</w:t>
      </w:r>
      <w:r w:rsidR="003C2CAA" w:rsidRPr="00E31581">
        <w:t xml:space="preserve"> br. </w:t>
      </w:r>
      <w:r w:rsidR="00C62998">
        <w:t xml:space="preserve">była wyższa niż przed rokiem o </w:t>
      </w:r>
      <w:r w:rsidR="00BA4DDF">
        <w:t>6</w:t>
      </w:r>
      <w:r w:rsidR="00C62998">
        <w:t>,</w:t>
      </w:r>
      <w:r w:rsidR="00BA4DDF">
        <w:t>1</w:t>
      </w:r>
      <w:r w:rsidR="00C62998">
        <w:t>% (wobec wzrostu o</w:t>
      </w:r>
      <w:r w:rsidR="00511F40">
        <w:t> </w:t>
      </w:r>
      <w:r w:rsidR="00176A3D">
        <w:t>7</w:t>
      </w:r>
      <w:r w:rsidR="00C62998">
        <w:t>,</w:t>
      </w:r>
      <w:r w:rsidR="00176A3D">
        <w:t>4</w:t>
      </w:r>
      <w:r w:rsidR="00C62998">
        <w:t>% w</w:t>
      </w:r>
      <w:r w:rsidR="00176A3D">
        <w:t> maju</w:t>
      </w:r>
      <w:r w:rsidR="00C62998">
        <w:t xml:space="preserve"> u</w:t>
      </w:r>
      <w:r w:rsidR="00511F40">
        <w:t>b</w:t>
      </w:r>
      <w:r w:rsidR="00C62998">
        <w:t xml:space="preserve">. </w:t>
      </w:r>
      <w:r w:rsidR="00511F40">
        <w:t>roku</w:t>
      </w:r>
      <w:r w:rsidR="00C62998">
        <w:t>)</w:t>
      </w:r>
      <w:r w:rsidR="003C2CAA" w:rsidRPr="00E31581">
        <w:t xml:space="preserve">. </w:t>
      </w:r>
      <w:r w:rsidR="00017FFE" w:rsidRPr="00E31581">
        <w:rPr>
          <w:rFonts w:cs="Arial"/>
          <w:szCs w:val="24"/>
        </w:rPr>
        <w:t>W porównaniu z</w:t>
      </w:r>
      <w:r w:rsidR="00CC55EA">
        <w:rPr>
          <w:rFonts w:cs="Arial"/>
          <w:szCs w:val="24"/>
        </w:rPr>
        <w:t xml:space="preserve"> </w:t>
      </w:r>
      <w:r w:rsidR="00B818D9">
        <w:rPr>
          <w:rFonts w:cs="Arial"/>
          <w:szCs w:val="24"/>
        </w:rPr>
        <w:t>kwietniem</w:t>
      </w:r>
      <w:r w:rsidR="00017FFE" w:rsidRPr="00E31581">
        <w:rPr>
          <w:rFonts w:cs="Arial"/>
          <w:szCs w:val="24"/>
        </w:rPr>
        <w:t xml:space="preserve"> </w:t>
      </w:r>
      <w:r w:rsidR="00EE5667">
        <w:rPr>
          <w:rFonts w:cs="Arial"/>
          <w:szCs w:val="24"/>
        </w:rPr>
        <w:t>br</w:t>
      </w:r>
      <w:r w:rsidR="00976445">
        <w:rPr>
          <w:rFonts w:cs="Arial"/>
          <w:szCs w:val="24"/>
        </w:rPr>
        <w:t xml:space="preserve">. </w:t>
      </w:r>
      <w:r w:rsidR="00017FFE" w:rsidRPr="00E31581">
        <w:rPr>
          <w:rFonts w:cs="Arial"/>
          <w:szCs w:val="24"/>
        </w:rPr>
        <w:t xml:space="preserve">miał miejsce </w:t>
      </w:r>
      <w:r w:rsidR="00B818D9">
        <w:rPr>
          <w:rFonts w:cs="Arial"/>
          <w:szCs w:val="24"/>
        </w:rPr>
        <w:t xml:space="preserve">wzrost </w:t>
      </w:r>
      <w:r w:rsidR="00976445">
        <w:rPr>
          <w:rFonts w:cs="Arial"/>
          <w:szCs w:val="24"/>
        </w:rPr>
        <w:t xml:space="preserve">sprzedaży detalicznej o </w:t>
      </w:r>
      <w:r w:rsidR="00B818D9">
        <w:rPr>
          <w:rFonts w:cs="Arial"/>
          <w:szCs w:val="24"/>
        </w:rPr>
        <w:t>2</w:t>
      </w:r>
      <w:r w:rsidR="00017FFE" w:rsidRPr="00E31581">
        <w:rPr>
          <w:rFonts w:cs="Arial"/>
          <w:szCs w:val="24"/>
        </w:rPr>
        <w:t>,</w:t>
      </w:r>
      <w:r w:rsidR="00B818D9">
        <w:rPr>
          <w:rFonts w:cs="Arial"/>
          <w:szCs w:val="24"/>
        </w:rPr>
        <w:t>2</w:t>
      </w:r>
      <w:r w:rsidR="00017FFE" w:rsidRPr="00E31581">
        <w:rPr>
          <w:rFonts w:cs="Arial"/>
          <w:szCs w:val="24"/>
        </w:rPr>
        <w:t>%</w:t>
      </w:r>
      <w:r w:rsidR="001F67FE">
        <w:rPr>
          <w:rFonts w:cs="Arial"/>
          <w:szCs w:val="24"/>
        </w:rPr>
        <w:t>.</w:t>
      </w:r>
    </w:p>
    <w:p w:rsidR="005737E1" w:rsidRPr="0095396F" w:rsidRDefault="005737E1" w:rsidP="00074DD8">
      <w:pPr>
        <w:pStyle w:val="Nagwek1"/>
        <w:rPr>
          <w:rFonts w:asciiTheme="majorHAnsi" w:hAnsiTheme="majorHAnsi"/>
        </w:rPr>
      </w:pPr>
    </w:p>
    <w:p w:rsidR="00EA2B44" w:rsidRDefault="00EA2B44" w:rsidP="00074DD8">
      <w:pPr>
        <w:pStyle w:val="Nagwek1"/>
      </w:pPr>
    </w:p>
    <w:p w:rsidR="00C22105" w:rsidRPr="00E31581" w:rsidRDefault="00BE1D4B" w:rsidP="00074DD8">
      <w:pPr>
        <w:pStyle w:val="Nagwek1"/>
      </w:pPr>
      <w:r>
        <w:rPr>
          <w:rFonts w:asciiTheme="majorHAnsi" w:hAnsiTheme="majorHAnsi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5233670</wp:posOffset>
                </wp:positionH>
                <wp:positionV relativeFrom="paragraph">
                  <wp:posOffset>163830</wp:posOffset>
                </wp:positionV>
                <wp:extent cx="1835785" cy="1074420"/>
                <wp:effectExtent l="0" t="0" r="0" b="0"/>
                <wp:wrapTight wrapText="bothSides">
                  <wp:wrapPolygon edited="0">
                    <wp:start x="672" y="0"/>
                    <wp:lineTo x="672" y="21064"/>
                    <wp:lineTo x="20845" y="21064"/>
                    <wp:lineTo x="20845" y="0"/>
                    <wp:lineTo x="672" y="0"/>
                  </wp:wrapPolygon>
                </wp:wrapTight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1074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F5B" w:rsidRPr="00415861" w:rsidRDefault="00431F5B" w:rsidP="00074DD8">
                            <w:pPr>
                              <w:pStyle w:val="tekstzboku"/>
                            </w:pPr>
                            <w:r>
                              <w:rPr>
                                <w:rFonts w:cs="Arial"/>
                              </w:rPr>
                              <w:t xml:space="preserve">W </w:t>
                            </w:r>
                            <w:r w:rsidR="00AB11B1">
                              <w:rPr>
                                <w:rFonts w:cs="Arial"/>
                              </w:rPr>
                              <w:t>maju</w:t>
                            </w:r>
                            <w:r>
                              <w:rPr>
                                <w:rFonts w:cs="Arial"/>
                              </w:rPr>
                              <w:t xml:space="preserve"> 2018 r. w</w:t>
                            </w:r>
                            <w:r w:rsidR="00DC5C14">
                              <w:rPr>
                                <w:rFonts w:cs="Arial"/>
                              </w:rPr>
                              <w:t>zrost sprzed</w:t>
                            </w:r>
                            <w:r w:rsidR="00DC5C14">
                              <w:rPr>
                                <w:rFonts w:cs="Arial"/>
                              </w:rPr>
                              <w:t>a</w:t>
                            </w:r>
                            <w:r w:rsidR="00DC5C14">
                              <w:rPr>
                                <w:rFonts w:cs="Arial"/>
                              </w:rPr>
                              <w:t xml:space="preserve">ży detalicznej w </w:t>
                            </w:r>
                            <w:r w:rsidRPr="00E31581">
                              <w:rPr>
                                <w:rFonts w:cs="Arial"/>
                              </w:rPr>
                              <w:t xml:space="preserve">cenach stałych w skali roku </w:t>
                            </w:r>
                            <w:r w:rsidR="00AB11B1">
                              <w:rPr>
                                <w:rFonts w:cs="Arial"/>
                              </w:rPr>
                              <w:t>odnotowano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="00680FFF">
                              <w:rPr>
                                <w:rFonts w:cs="Arial"/>
                              </w:rPr>
                              <w:t>w</w:t>
                            </w:r>
                            <w:r w:rsidR="00AB11B1">
                              <w:rPr>
                                <w:rFonts w:cs="Arial"/>
                              </w:rPr>
                              <w:t>e wszystkich</w:t>
                            </w:r>
                            <w:r w:rsidR="00680FFF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grupowa</w:t>
                            </w:r>
                            <w:r w:rsidR="00AB11B1">
                              <w:rPr>
                                <w:rFonts w:cs="Arial"/>
                              </w:rPr>
                              <w:t>niach</w:t>
                            </w:r>
                          </w:p>
                          <w:p w:rsidR="00431F5B" w:rsidRPr="00415861" w:rsidRDefault="00431F5B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12.1pt;margin-top:12.9pt;width:144.55pt;height:84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" filled="f" stroked="f">
                <v:textbox>
                  <w:txbxContent>
                    <w:p w:rsidR="00431F5B" w:rsidRPr="00415861" w:rsidRDefault="00431F5B" w:rsidP="00074DD8">
                      <w:pPr>
                        <w:pStyle w:val="tekstzboku"/>
                      </w:pPr>
                      <w:r>
                        <w:rPr>
                          <w:rFonts w:cs="Arial"/>
                        </w:rPr>
                        <w:t xml:space="preserve">W </w:t>
                      </w:r>
                      <w:r w:rsidR="00AB11B1">
                        <w:rPr>
                          <w:rFonts w:cs="Arial"/>
                        </w:rPr>
                        <w:t>maju</w:t>
                      </w:r>
                      <w:r>
                        <w:rPr>
                          <w:rFonts w:cs="Arial"/>
                        </w:rPr>
                        <w:t xml:space="preserve"> 2018 r. w</w:t>
                      </w:r>
                      <w:r w:rsidR="00DC5C14">
                        <w:rPr>
                          <w:rFonts w:cs="Arial"/>
                        </w:rPr>
                        <w:t xml:space="preserve">zrost sprzedaży detalicznej w </w:t>
                      </w:r>
                      <w:bookmarkStart w:id="1" w:name="_GoBack"/>
                      <w:bookmarkEnd w:id="1"/>
                      <w:r w:rsidRPr="00E31581">
                        <w:rPr>
                          <w:rFonts w:cs="Arial"/>
                        </w:rPr>
                        <w:t xml:space="preserve">cenach stałych w skali roku </w:t>
                      </w:r>
                      <w:r w:rsidR="00AB11B1">
                        <w:rPr>
                          <w:rFonts w:cs="Arial"/>
                        </w:rPr>
                        <w:t>odnotowano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="00680FFF">
                        <w:rPr>
                          <w:rFonts w:cs="Arial"/>
                        </w:rPr>
                        <w:t>w</w:t>
                      </w:r>
                      <w:r w:rsidR="00AB11B1">
                        <w:rPr>
                          <w:rFonts w:cs="Arial"/>
                        </w:rPr>
                        <w:t>e wszystkich</w:t>
                      </w:r>
                      <w:r w:rsidR="00680FFF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grupowa</w:t>
                      </w:r>
                      <w:r w:rsidR="00AB11B1">
                        <w:rPr>
                          <w:rFonts w:cs="Arial"/>
                        </w:rPr>
                        <w:t>niach</w:t>
                      </w:r>
                    </w:p>
                    <w:p w:rsidR="00431F5B" w:rsidRPr="00415861" w:rsidRDefault="00431F5B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7FFE" w:rsidRPr="00E31581">
        <w:t xml:space="preserve">Sprzedaż detaliczna towarów według rodzajów działalności </w:t>
      </w:r>
      <w:r w:rsidR="00C20E37">
        <w:t>przedsiębiorstwa</w:t>
      </w:r>
    </w:p>
    <w:p w:rsidR="00E80C30" w:rsidRPr="00E31581" w:rsidRDefault="00E80C30" w:rsidP="00634344">
      <w:pPr>
        <w:spacing w:before="0" w:after="0"/>
        <w:rPr>
          <w:rFonts w:cs="Arial"/>
        </w:rPr>
      </w:pPr>
      <w:r w:rsidRPr="00E31581">
        <w:rPr>
          <w:rFonts w:cs="Arial"/>
        </w:rPr>
        <w:t>Wśród grup o znaczącym udziale w sprzedaży detalicznej „ogółem</w:t>
      </w:r>
      <w:r w:rsidR="00E00E46">
        <w:rPr>
          <w:rFonts w:cs="Arial"/>
        </w:rPr>
        <w:t>”</w:t>
      </w:r>
      <w:r w:rsidR="00C20E37">
        <w:rPr>
          <w:rFonts w:cs="Arial"/>
        </w:rPr>
        <w:t xml:space="preserve"> </w:t>
      </w:r>
      <w:r w:rsidR="006C5460">
        <w:rPr>
          <w:rFonts w:cs="Arial"/>
        </w:rPr>
        <w:t>najwyższy</w:t>
      </w:r>
      <w:r w:rsidR="000144A9">
        <w:rPr>
          <w:rFonts w:cs="Arial"/>
        </w:rPr>
        <w:t xml:space="preserve"> </w:t>
      </w:r>
      <w:r w:rsidRPr="00E31581">
        <w:rPr>
          <w:rFonts w:cs="Arial"/>
        </w:rPr>
        <w:t xml:space="preserve">wzrost w </w:t>
      </w:r>
      <w:r w:rsidR="002E34A6">
        <w:rPr>
          <w:rFonts w:cs="Arial"/>
        </w:rPr>
        <w:t>maju</w:t>
      </w:r>
      <w:r w:rsidR="00630E43">
        <w:rPr>
          <w:rFonts w:cs="Arial"/>
        </w:rPr>
        <w:t xml:space="preserve"> </w:t>
      </w:r>
      <w:r w:rsidRPr="0099491E">
        <w:t>2018</w:t>
      </w:r>
      <w:r w:rsidR="00A44540">
        <w:t xml:space="preserve"> </w:t>
      </w:r>
      <w:r w:rsidRPr="0099491E">
        <w:t>r</w:t>
      </w:r>
      <w:r w:rsidRPr="00E31581">
        <w:rPr>
          <w:rFonts w:cs="Arial"/>
        </w:rPr>
        <w:t>. w porównaniu z analogicznym okresem ub. roku</w:t>
      </w:r>
      <w:r w:rsidR="0008767F">
        <w:rPr>
          <w:rFonts w:cs="Arial"/>
        </w:rPr>
        <w:t xml:space="preserve"> (w cenach stałych)</w:t>
      </w:r>
      <w:r w:rsidRPr="00E31581">
        <w:rPr>
          <w:rFonts w:cs="Arial"/>
        </w:rPr>
        <w:t xml:space="preserve"> zaobse</w:t>
      </w:r>
      <w:r w:rsidR="00C943D6">
        <w:rPr>
          <w:rFonts w:cs="Arial"/>
        </w:rPr>
        <w:t>rwowano w</w:t>
      </w:r>
      <w:r w:rsidR="00247BF8">
        <w:rPr>
          <w:rFonts w:cs="Arial"/>
        </w:rPr>
        <w:t> </w:t>
      </w:r>
      <w:r w:rsidR="00427910" w:rsidRPr="00E31581">
        <w:rPr>
          <w:rFonts w:cs="Arial"/>
        </w:rPr>
        <w:t>przedsiębior</w:t>
      </w:r>
      <w:r w:rsidR="00427910">
        <w:rPr>
          <w:rFonts w:cs="Arial"/>
        </w:rPr>
        <w:t xml:space="preserve">stwach </w:t>
      </w:r>
      <w:r w:rsidR="002E34A6">
        <w:rPr>
          <w:rFonts w:cs="Arial"/>
        </w:rPr>
        <w:t xml:space="preserve">handlujących paliwami stałymi, ciekłymi i gazowymi </w:t>
      </w:r>
      <w:r w:rsidR="00427910">
        <w:rPr>
          <w:rFonts w:cs="Arial"/>
        </w:rPr>
        <w:t xml:space="preserve">(o </w:t>
      </w:r>
      <w:r w:rsidR="002E34A6">
        <w:rPr>
          <w:rFonts w:cs="Arial"/>
        </w:rPr>
        <w:t>9</w:t>
      </w:r>
      <w:r w:rsidR="00427910">
        <w:rPr>
          <w:rFonts w:cs="Arial"/>
        </w:rPr>
        <w:t>,</w:t>
      </w:r>
      <w:r w:rsidR="002E34A6">
        <w:rPr>
          <w:rFonts w:cs="Arial"/>
        </w:rPr>
        <w:t>6</w:t>
      </w:r>
      <w:r w:rsidR="00427910">
        <w:rPr>
          <w:rFonts w:cs="Arial"/>
        </w:rPr>
        <w:t xml:space="preserve">% wobec </w:t>
      </w:r>
      <w:r w:rsidR="002E34A6">
        <w:rPr>
          <w:rFonts w:cs="Arial"/>
        </w:rPr>
        <w:t>wzrostu</w:t>
      </w:r>
      <w:r w:rsidR="00630E43">
        <w:rPr>
          <w:rFonts w:cs="Arial"/>
        </w:rPr>
        <w:t xml:space="preserve"> o </w:t>
      </w:r>
      <w:r w:rsidR="002E34A6">
        <w:rPr>
          <w:rFonts w:cs="Arial"/>
        </w:rPr>
        <w:t>8</w:t>
      </w:r>
      <w:r w:rsidR="00427910">
        <w:rPr>
          <w:rFonts w:cs="Arial"/>
        </w:rPr>
        <w:t>,</w:t>
      </w:r>
      <w:r w:rsidR="002E34A6">
        <w:rPr>
          <w:rFonts w:cs="Arial"/>
        </w:rPr>
        <w:t>1</w:t>
      </w:r>
      <w:r w:rsidR="00427910">
        <w:rPr>
          <w:rFonts w:cs="Arial"/>
        </w:rPr>
        <w:t>% przed rokiem)</w:t>
      </w:r>
      <w:r w:rsidRPr="00E31581">
        <w:rPr>
          <w:rFonts w:cs="Arial"/>
        </w:rPr>
        <w:t xml:space="preserve">. Znaczny wzrost sprzedaży odnotowano również w </w:t>
      </w:r>
      <w:r w:rsidR="00A43DCF">
        <w:rPr>
          <w:rFonts w:cs="Arial"/>
        </w:rPr>
        <w:t>jednostkach z</w:t>
      </w:r>
      <w:r w:rsidR="00B2788D">
        <w:rPr>
          <w:rFonts w:cs="Arial"/>
        </w:rPr>
        <w:t xml:space="preserve">aklasyfikowanych do </w:t>
      </w:r>
      <w:r w:rsidR="00A43DCF">
        <w:rPr>
          <w:rFonts w:cs="Arial"/>
        </w:rPr>
        <w:t>grup</w:t>
      </w:r>
      <w:r w:rsidR="00D3526E">
        <w:rPr>
          <w:rFonts w:cs="Arial"/>
        </w:rPr>
        <w:t>y</w:t>
      </w:r>
      <w:r w:rsidR="00A43DCF">
        <w:rPr>
          <w:rFonts w:cs="Arial"/>
        </w:rPr>
        <w:t xml:space="preserve"> „pozostałe”</w:t>
      </w:r>
      <w:r w:rsidR="00D517E0">
        <w:rPr>
          <w:rFonts w:cs="Arial"/>
        </w:rPr>
        <w:t xml:space="preserve"> </w:t>
      </w:r>
      <w:r w:rsidR="00710EF8">
        <w:rPr>
          <w:rFonts w:cs="Arial"/>
        </w:rPr>
        <w:t xml:space="preserve">(o </w:t>
      </w:r>
      <w:r w:rsidR="00A43DCF">
        <w:rPr>
          <w:rFonts w:cs="Arial"/>
        </w:rPr>
        <w:t>8</w:t>
      </w:r>
      <w:r w:rsidR="00710EF8">
        <w:rPr>
          <w:rFonts w:cs="Arial"/>
        </w:rPr>
        <w:t>,</w:t>
      </w:r>
      <w:r w:rsidR="00A43DCF">
        <w:rPr>
          <w:rFonts w:cs="Arial"/>
        </w:rPr>
        <w:t>4</w:t>
      </w:r>
      <w:r w:rsidR="00710EF8">
        <w:rPr>
          <w:rFonts w:cs="Arial"/>
        </w:rPr>
        <w:t>%) oraz</w:t>
      </w:r>
      <w:r w:rsidR="00D36BDE">
        <w:rPr>
          <w:rFonts w:cs="Arial"/>
        </w:rPr>
        <w:t xml:space="preserve"> w przedsiębiorstwach prowadzących</w:t>
      </w:r>
      <w:r w:rsidR="00710EF8">
        <w:rPr>
          <w:rFonts w:cs="Arial"/>
        </w:rPr>
        <w:t xml:space="preserve"> </w:t>
      </w:r>
      <w:r w:rsidR="00D36BDE">
        <w:rPr>
          <w:rFonts w:cs="Arial"/>
        </w:rPr>
        <w:t>pozostałą</w:t>
      </w:r>
      <w:r w:rsidR="00A036C0" w:rsidRPr="00E31581">
        <w:rPr>
          <w:rFonts w:cs="Arial"/>
        </w:rPr>
        <w:t xml:space="preserve"> sprzedaż detaliczn</w:t>
      </w:r>
      <w:r w:rsidR="00D36BDE">
        <w:rPr>
          <w:rFonts w:cs="Arial"/>
        </w:rPr>
        <w:t>ą</w:t>
      </w:r>
      <w:r w:rsidR="00A036C0" w:rsidRPr="00E31581">
        <w:rPr>
          <w:rFonts w:cs="Arial"/>
        </w:rPr>
        <w:t xml:space="preserve"> w</w:t>
      </w:r>
      <w:r w:rsidR="00A036C0">
        <w:rPr>
          <w:rFonts w:cs="Arial"/>
        </w:rPr>
        <w:t xml:space="preserve"> </w:t>
      </w:r>
      <w:r w:rsidR="00A036C0" w:rsidRPr="00E31581">
        <w:rPr>
          <w:rFonts w:cs="Arial"/>
        </w:rPr>
        <w:t>niewyspecjalizowanych sklepach</w:t>
      </w:r>
      <w:r w:rsidR="00A036C0">
        <w:rPr>
          <w:rFonts w:cs="Arial"/>
        </w:rPr>
        <w:t xml:space="preserve"> </w:t>
      </w:r>
      <w:r w:rsidR="00427910">
        <w:rPr>
          <w:rFonts w:cs="Arial"/>
        </w:rPr>
        <w:t xml:space="preserve">(o </w:t>
      </w:r>
      <w:r w:rsidR="00A036C0">
        <w:rPr>
          <w:rFonts w:cs="Arial"/>
        </w:rPr>
        <w:t>7</w:t>
      </w:r>
      <w:r w:rsidR="00427910">
        <w:rPr>
          <w:rFonts w:cs="Arial"/>
        </w:rPr>
        <w:t>,</w:t>
      </w:r>
      <w:r w:rsidR="00A036C0">
        <w:rPr>
          <w:rFonts w:cs="Arial"/>
        </w:rPr>
        <w:t>8</w:t>
      </w:r>
      <w:r w:rsidR="00427910">
        <w:rPr>
          <w:rFonts w:cs="Arial"/>
        </w:rPr>
        <w:t>%)</w:t>
      </w:r>
      <w:r w:rsidR="001A2C7F">
        <w:rPr>
          <w:rFonts w:cs="Arial"/>
        </w:rPr>
        <w:t>.</w:t>
      </w:r>
      <w:r w:rsidR="00B33803">
        <w:rPr>
          <w:rFonts w:cs="Arial"/>
        </w:rPr>
        <w:t xml:space="preserve"> </w:t>
      </w:r>
    </w:p>
    <w:p w:rsidR="0019732B" w:rsidRDefault="00E80C30" w:rsidP="00634344">
      <w:pPr>
        <w:spacing w:before="0" w:after="0"/>
        <w:rPr>
          <w:rFonts w:cs="Arial"/>
        </w:rPr>
      </w:pPr>
      <w:r w:rsidRPr="00E31581">
        <w:rPr>
          <w:rFonts w:cs="Arial"/>
        </w:rPr>
        <w:t>S</w:t>
      </w:r>
      <w:r w:rsidR="00C943D6">
        <w:rPr>
          <w:rFonts w:cs="Arial"/>
        </w:rPr>
        <w:t xml:space="preserve">pośród grup o niższym udziale w </w:t>
      </w:r>
      <w:r w:rsidRPr="00E31581">
        <w:rPr>
          <w:rFonts w:cs="Arial"/>
        </w:rPr>
        <w:t xml:space="preserve">sprzedaży detalicznej „ogółem” </w:t>
      </w:r>
      <w:r w:rsidR="00B2788D">
        <w:rPr>
          <w:rFonts w:cs="Arial"/>
        </w:rPr>
        <w:t>wysoki</w:t>
      </w:r>
      <w:r w:rsidRPr="00E31581">
        <w:rPr>
          <w:rFonts w:cs="Arial"/>
        </w:rPr>
        <w:t xml:space="preserve"> wzrost</w:t>
      </w:r>
      <w:r w:rsidR="00B2788D">
        <w:rPr>
          <w:rFonts w:cs="Arial"/>
        </w:rPr>
        <w:t xml:space="preserve"> </w:t>
      </w:r>
      <w:r w:rsidRPr="00E31581">
        <w:rPr>
          <w:rFonts w:cs="Arial"/>
        </w:rPr>
        <w:t xml:space="preserve">wykazały podmioty </w:t>
      </w:r>
      <w:r w:rsidR="0063751F">
        <w:rPr>
          <w:rFonts w:cs="Arial"/>
        </w:rPr>
        <w:t xml:space="preserve">sprzedające </w:t>
      </w:r>
      <w:r w:rsidR="00901860">
        <w:rPr>
          <w:rFonts w:cs="Arial"/>
        </w:rPr>
        <w:t xml:space="preserve">farmaceutyki, kosmetyki, sprzęt ortopedyczny (o 8,8%); </w:t>
      </w:r>
      <w:r w:rsidR="0063751F">
        <w:rPr>
          <w:rFonts w:cs="Arial"/>
        </w:rPr>
        <w:t>tekstylia, odzież, obuwie</w:t>
      </w:r>
      <w:r w:rsidRPr="00E31581">
        <w:rPr>
          <w:rFonts w:cs="Arial"/>
        </w:rPr>
        <w:t xml:space="preserve"> (</w:t>
      </w:r>
      <w:r w:rsidR="00901860">
        <w:rPr>
          <w:rFonts w:cs="Arial"/>
        </w:rPr>
        <w:t>o 8,6%)</w:t>
      </w:r>
      <w:r w:rsidR="005170C9">
        <w:rPr>
          <w:rFonts w:cs="Arial"/>
        </w:rPr>
        <w:t>,</w:t>
      </w:r>
      <w:r w:rsidR="00901860">
        <w:rPr>
          <w:rFonts w:cs="Arial"/>
        </w:rPr>
        <w:t xml:space="preserve"> jak również meble, rtv, agd (o 6,0%).</w:t>
      </w:r>
    </w:p>
    <w:p w:rsidR="00CF3814" w:rsidRDefault="00CF3814" w:rsidP="00634344">
      <w:pPr>
        <w:spacing w:before="0" w:after="0"/>
        <w:rPr>
          <w:rFonts w:cs="Arial"/>
        </w:rPr>
      </w:pPr>
      <w:r>
        <w:rPr>
          <w:rFonts w:cs="Arial"/>
        </w:rPr>
        <w:t>W okresie styczeń-</w:t>
      </w:r>
      <w:r w:rsidR="00901860">
        <w:rPr>
          <w:rFonts w:cs="Arial"/>
        </w:rPr>
        <w:t>maj</w:t>
      </w:r>
      <w:r w:rsidR="00C90628">
        <w:rPr>
          <w:rStyle w:val="Odwoanieprzypisudolnego"/>
          <w:rFonts w:cs="Arial"/>
        </w:rPr>
        <w:footnoteReference w:id="2"/>
      </w:r>
      <w:r>
        <w:rPr>
          <w:rFonts w:cs="Arial"/>
        </w:rPr>
        <w:t xml:space="preserve"> br.</w:t>
      </w:r>
      <w:r w:rsidR="007222EA">
        <w:rPr>
          <w:rFonts w:cs="Arial"/>
        </w:rPr>
        <w:t xml:space="preserve"> </w:t>
      </w:r>
      <w:r w:rsidR="00C943D6">
        <w:rPr>
          <w:rFonts w:cs="Arial"/>
        </w:rPr>
        <w:t>wzrost</w:t>
      </w:r>
      <w:r>
        <w:rPr>
          <w:rFonts w:cs="Arial"/>
        </w:rPr>
        <w:t xml:space="preserve"> sprzedaż</w:t>
      </w:r>
      <w:r w:rsidR="007222EA">
        <w:rPr>
          <w:rFonts w:cs="Arial"/>
        </w:rPr>
        <w:t>y</w:t>
      </w:r>
      <w:r>
        <w:rPr>
          <w:rFonts w:cs="Arial"/>
        </w:rPr>
        <w:t xml:space="preserve"> detaliczn</w:t>
      </w:r>
      <w:r w:rsidR="007222EA">
        <w:rPr>
          <w:rFonts w:cs="Arial"/>
        </w:rPr>
        <w:t>ej</w:t>
      </w:r>
      <w:r>
        <w:rPr>
          <w:rFonts w:cs="Arial"/>
        </w:rPr>
        <w:t xml:space="preserve"> w porównaniu z analogicznym okr</w:t>
      </w:r>
      <w:r>
        <w:rPr>
          <w:rFonts w:cs="Arial"/>
        </w:rPr>
        <w:t>e</w:t>
      </w:r>
      <w:r>
        <w:rPr>
          <w:rFonts w:cs="Arial"/>
        </w:rPr>
        <w:t>sem ub. roku</w:t>
      </w:r>
      <w:r w:rsidR="00045FF7">
        <w:rPr>
          <w:rFonts w:cs="Arial"/>
        </w:rPr>
        <w:t xml:space="preserve"> </w:t>
      </w:r>
      <w:r w:rsidR="007222EA">
        <w:rPr>
          <w:rFonts w:cs="Arial"/>
        </w:rPr>
        <w:t>wyniósł 6</w:t>
      </w:r>
      <w:r w:rsidR="00F77676">
        <w:rPr>
          <w:rFonts w:cs="Arial"/>
        </w:rPr>
        <w:t>,</w:t>
      </w:r>
      <w:r w:rsidR="00901860">
        <w:rPr>
          <w:rFonts w:cs="Arial"/>
        </w:rPr>
        <w:t>7</w:t>
      </w:r>
      <w:r w:rsidR="001374BF">
        <w:rPr>
          <w:rFonts w:cs="Arial"/>
        </w:rPr>
        <w:t>%</w:t>
      </w:r>
      <w:r w:rsidR="005E0113">
        <w:rPr>
          <w:rFonts w:cs="Arial"/>
        </w:rPr>
        <w:t xml:space="preserve"> (wobec wzrostu o 6,9</w:t>
      </w:r>
      <w:r w:rsidR="0055439E">
        <w:rPr>
          <w:rFonts w:cs="Arial"/>
        </w:rPr>
        <w:t>%</w:t>
      </w:r>
      <w:r w:rsidR="005E0113">
        <w:rPr>
          <w:rFonts w:cs="Arial"/>
        </w:rPr>
        <w:t xml:space="preserve"> w 2017 r.)</w:t>
      </w:r>
      <w:r w:rsidR="007222EA">
        <w:rPr>
          <w:rFonts w:cs="Arial"/>
        </w:rPr>
        <w:t>.</w:t>
      </w:r>
    </w:p>
    <w:p w:rsidR="00E80C30" w:rsidRDefault="00C943D6" w:rsidP="00957ADF">
      <w:pPr>
        <w:pStyle w:val="tytuwykresu"/>
        <w:rPr>
          <w:shd w:val="clear" w:color="auto" w:fill="FFFFFF"/>
        </w:rPr>
      </w:pPr>
      <w:r w:rsidRPr="0095396F">
        <w:rPr>
          <w:rFonts w:asciiTheme="majorHAnsi" w:hAnsiTheme="majorHAnsi"/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79D63BBB" wp14:editId="2ABE7656">
            <wp:simplePos x="0" y="0"/>
            <wp:positionH relativeFrom="margin">
              <wp:posOffset>0</wp:posOffset>
            </wp:positionH>
            <wp:positionV relativeFrom="margin">
              <wp:posOffset>4798060</wp:posOffset>
            </wp:positionV>
            <wp:extent cx="5048250" cy="2720975"/>
            <wp:effectExtent l="0" t="0" r="0" b="3175"/>
            <wp:wrapSquare wrapText="bothSides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V relativeFrom="margin">
              <wp14:pctHeight>0</wp14:pctHeight>
            </wp14:sizeRelV>
          </wp:anchor>
        </w:drawing>
      </w:r>
      <w:r w:rsidR="00B25EE8" w:rsidRPr="00B5309C">
        <w:t>Wykres 1</w:t>
      </w:r>
      <w:r w:rsidR="00976445">
        <w:t>.</w:t>
      </w:r>
      <w:r w:rsidR="00B25EE8" w:rsidRPr="00B5309C">
        <w:rPr>
          <w:shd w:val="clear" w:color="auto" w:fill="FFFFFF"/>
        </w:rPr>
        <w:t xml:space="preserve"> Sprzedaż detaliczna towarów (ceny stałe) – analogiczny okres roku poprzedniego</w:t>
      </w:r>
      <w:r w:rsidR="00B25EE8">
        <w:rPr>
          <w:shd w:val="clear" w:color="auto" w:fill="FFFFFF"/>
        </w:rPr>
        <w:t>=100</w:t>
      </w:r>
    </w:p>
    <w:p w:rsidR="009C6ACB" w:rsidRPr="0095396F" w:rsidRDefault="009C6ACB" w:rsidP="00957ADF">
      <w:pPr>
        <w:pStyle w:val="tytuwykresu"/>
        <w:jc w:val="center"/>
        <w:rPr>
          <w:rFonts w:asciiTheme="majorHAnsi" w:hAnsiTheme="majorHAnsi"/>
          <w:lang w:eastAsia="pl-PL"/>
        </w:rPr>
      </w:pPr>
    </w:p>
    <w:p w:rsidR="003F3D37" w:rsidRPr="001C3D59" w:rsidRDefault="00A2520C" w:rsidP="003F3D37">
      <w:pPr>
        <w:pStyle w:val="Nagwek1"/>
        <w:rPr>
          <w:rFonts w:cs="Arial"/>
          <w:b/>
        </w:rPr>
      </w:pPr>
      <w:r w:rsidRPr="0088559B">
        <w:rPr>
          <w:noProof/>
          <w:color w:val="auto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377825</wp:posOffset>
                </wp:positionV>
                <wp:extent cx="1746885" cy="1228725"/>
                <wp:effectExtent l="0" t="0" r="0" b="0"/>
                <wp:wrapTight wrapText="bothSides">
                  <wp:wrapPolygon edited="0">
                    <wp:start x="707" y="0"/>
                    <wp:lineTo x="707" y="21098"/>
                    <wp:lineTo x="20728" y="21098"/>
                    <wp:lineTo x="20728" y="0"/>
                    <wp:lineTo x="707" y="0"/>
                  </wp:wrapPolygon>
                </wp:wrapTight>
                <wp:docPr id="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D37" w:rsidRPr="00074DD8" w:rsidRDefault="00831736" w:rsidP="003F3D37">
                            <w:pPr>
                              <w:pStyle w:val="tekstzboku"/>
                            </w:pPr>
                            <w:r>
                              <w:rPr>
                                <w:rFonts w:cs="Arial"/>
                              </w:rPr>
                              <w:t>W okresie styczeń</w:t>
                            </w:r>
                            <w:r>
                              <w:t>-</w:t>
                            </w:r>
                            <w:r w:rsidR="00F563B1">
                              <w:t xml:space="preserve">maj </w:t>
                            </w:r>
                            <w:r>
                              <w:t>2018 r. dynamika sprzedaży detalic</w:t>
                            </w:r>
                            <w:r>
                              <w:t>z</w:t>
                            </w:r>
                            <w:r>
                              <w:t xml:space="preserve">nej </w:t>
                            </w:r>
                            <w:r w:rsidR="005B390A">
                              <w:t xml:space="preserve">(w cenach stałych) </w:t>
                            </w:r>
                            <w:r w:rsidR="00F563B1">
                              <w:t xml:space="preserve">w skali </w:t>
                            </w:r>
                            <w:r w:rsidR="00BA6F2C">
                              <w:t>roku</w:t>
                            </w:r>
                            <w:r w:rsidR="00397EE4">
                              <w:t xml:space="preserve"> </w:t>
                            </w:r>
                            <w:r w:rsidR="00F563B1">
                              <w:t>wyniosła 106,7</w:t>
                            </w:r>
                            <w:r w:rsidR="00397EE4">
                              <w:t xml:space="preserve"> </w:t>
                            </w:r>
                            <w:r w:rsidR="00F563B1">
                              <w:t>i była o</w:t>
                            </w:r>
                            <w:r w:rsidR="00837579">
                              <w:t> </w:t>
                            </w:r>
                            <w:r w:rsidR="00F563B1">
                              <w:t xml:space="preserve">0,2 p. proc. niższa niż </w:t>
                            </w:r>
                            <w:r w:rsidR="00397EE4">
                              <w:t>w</w:t>
                            </w:r>
                            <w:r w:rsidR="00837579">
                              <w:t> </w:t>
                            </w:r>
                            <w:r w:rsidR="00397EE4">
                              <w:t xml:space="preserve">analogicznym okresie ub. roku </w:t>
                            </w:r>
                          </w:p>
                          <w:p w:rsidR="003F3D37" w:rsidRPr="00D616D2" w:rsidRDefault="003F3D37" w:rsidP="003F3D37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29" type="#_x0000_t202" style="position:absolute;margin-left:416.25pt;margin-top:29.75pt;width:137.55pt;height:96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" filled="f" stroked="f">
                <v:textbox>
                  <w:txbxContent>
                    <w:p w:rsidR="003F3D37" w:rsidRPr="00074DD8" w:rsidRDefault="00831736" w:rsidP="003F3D37">
                      <w:pPr>
                        <w:pStyle w:val="tekstzboku"/>
                      </w:pPr>
                      <w:r>
                        <w:rPr>
                          <w:rFonts w:cs="Arial"/>
                        </w:rPr>
                        <w:t>W okresie styczeń</w:t>
                      </w:r>
                      <w:r>
                        <w:t>-</w:t>
                      </w:r>
                      <w:r w:rsidR="00F563B1">
                        <w:t xml:space="preserve">maj </w:t>
                      </w:r>
                      <w:r>
                        <w:t xml:space="preserve">2018 r. dynamika sprzedaży detalicznej </w:t>
                      </w:r>
                      <w:r w:rsidR="005B390A">
                        <w:t xml:space="preserve">(w cenach stałych) </w:t>
                      </w:r>
                      <w:r w:rsidR="00F563B1">
                        <w:t xml:space="preserve">w skali </w:t>
                      </w:r>
                      <w:r w:rsidR="00BA6F2C">
                        <w:t>roku</w:t>
                      </w:r>
                      <w:r w:rsidR="00397EE4">
                        <w:t xml:space="preserve"> </w:t>
                      </w:r>
                      <w:r w:rsidR="00F563B1">
                        <w:t>wyniosła 106,7</w:t>
                      </w:r>
                      <w:r w:rsidR="00397EE4">
                        <w:t xml:space="preserve"> </w:t>
                      </w:r>
                      <w:r w:rsidR="00F563B1">
                        <w:t>i była o</w:t>
                      </w:r>
                      <w:r w:rsidR="00837579">
                        <w:t> </w:t>
                      </w:r>
                      <w:r w:rsidR="00F563B1">
                        <w:t xml:space="preserve">0,2 p. proc. niższa niż </w:t>
                      </w:r>
                      <w:r w:rsidR="00397EE4">
                        <w:t>w</w:t>
                      </w:r>
                      <w:r w:rsidR="00837579">
                        <w:t> </w:t>
                      </w:r>
                      <w:bookmarkStart w:id="1" w:name="_GoBack"/>
                      <w:bookmarkEnd w:id="1"/>
                      <w:r w:rsidR="00397EE4">
                        <w:t xml:space="preserve">analogicznym okresie ub. roku </w:t>
                      </w:r>
                    </w:p>
                    <w:p w:rsidR="003F3D37" w:rsidRPr="00D616D2" w:rsidRDefault="003F3D37" w:rsidP="003F3D37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F3D37" w:rsidRPr="0088559B">
        <w:rPr>
          <w:b/>
          <w:color w:val="auto"/>
        </w:rPr>
        <w:t>Tabela 1. Dynamika</w:t>
      </w:r>
      <w:r w:rsidR="003F3D37" w:rsidRPr="0088559B">
        <w:rPr>
          <w:rFonts w:cs="Arial"/>
          <w:b/>
          <w:color w:val="auto"/>
        </w:rPr>
        <w:t xml:space="preserve"> sprzedaży detalicznej (ceny </w:t>
      </w:r>
      <w:r w:rsidR="00954E87" w:rsidRPr="0088559B">
        <w:rPr>
          <w:rFonts w:cs="Arial"/>
          <w:b/>
          <w:color w:val="auto"/>
        </w:rPr>
        <w:t>stałe</w:t>
      </w:r>
      <w:r w:rsidR="003F3D37" w:rsidRPr="0088559B">
        <w:rPr>
          <w:rFonts w:cs="Arial"/>
          <w:b/>
          <w:color w:val="auto"/>
        </w:rPr>
        <w:t>)</w:t>
      </w:r>
      <w:r w:rsidR="0088559B">
        <w:rPr>
          <w:rFonts w:cs="Arial"/>
          <w:b/>
        </w:rPr>
        <w:t>.</w:t>
      </w:r>
    </w:p>
    <w:tbl>
      <w:tblPr>
        <w:tblW w:w="7030" w:type="dxa"/>
        <w:tblInd w:w="-72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8"/>
        <w:gridCol w:w="1134"/>
        <w:gridCol w:w="1134"/>
        <w:gridCol w:w="1134"/>
      </w:tblGrid>
      <w:tr w:rsidR="003F3D37" w:rsidRPr="00F156AE" w:rsidTr="000714C9">
        <w:trPr>
          <w:gridAfter w:val="3"/>
          <w:wAfter w:w="3402" w:type="dxa"/>
          <w:cantSplit/>
          <w:trHeight w:val="360"/>
        </w:trPr>
        <w:tc>
          <w:tcPr>
            <w:tcW w:w="362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3F3D37" w:rsidRPr="00F156AE" w:rsidRDefault="003F3D37" w:rsidP="000714C9">
            <w:pPr>
              <w:spacing w:before="2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Wyszczególnienie</w:t>
            </w:r>
          </w:p>
        </w:tc>
      </w:tr>
      <w:tr w:rsidR="003F3D37" w:rsidRPr="0095396F" w:rsidTr="000714C9">
        <w:trPr>
          <w:cantSplit/>
          <w:trHeight w:val="340"/>
        </w:trPr>
        <w:tc>
          <w:tcPr>
            <w:tcW w:w="3628" w:type="dxa"/>
            <w:vMerge/>
            <w:shd w:val="clear" w:color="auto" w:fill="auto"/>
            <w:vAlign w:val="center"/>
          </w:tcPr>
          <w:p w:rsidR="003F3D37" w:rsidRPr="00F156AE" w:rsidRDefault="003F3D37" w:rsidP="000714C9">
            <w:pPr>
              <w:spacing w:before="24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F3D37" w:rsidRPr="00F156AE" w:rsidRDefault="004746B6" w:rsidP="00E07365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V </w:t>
            </w:r>
            <w:r w:rsidR="003F3D37" w:rsidRPr="00F156AE">
              <w:rPr>
                <w:rFonts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F3D37" w:rsidRPr="00F156AE" w:rsidRDefault="004A59D6" w:rsidP="002308E2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I-</w:t>
            </w:r>
            <w:r w:rsidR="004746B6">
              <w:rPr>
                <w:rFonts w:cs="Arial"/>
                <w:color w:val="000000"/>
                <w:sz w:val="16"/>
                <w:szCs w:val="16"/>
              </w:rPr>
              <w:t xml:space="preserve">V </w:t>
            </w:r>
            <w:r w:rsidR="003F3D37" w:rsidRPr="00F156AE">
              <w:rPr>
                <w:rFonts w:cs="Arial"/>
                <w:color w:val="000000"/>
                <w:sz w:val="16"/>
                <w:szCs w:val="16"/>
              </w:rPr>
              <w:t>2018</w:t>
            </w:r>
          </w:p>
        </w:tc>
      </w:tr>
      <w:tr w:rsidR="003F3D37" w:rsidRPr="0095396F" w:rsidTr="000714C9">
        <w:trPr>
          <w:trHeight w:val="340"/>
        </w:trPr>
        <w:tc>
          <w:tcPr>
            <w:tcW w:w="3628" w:type="dxa"/>
            <w:vMerge/>
            <w:tcBorders>
              <w:bottom w:val="single" w:sz="12" w:space="0" w:color="001D77"/>
            </w:tcBorders>
            <w:vAlign w:val="center"/>
            <w:hideMark/>
          </w:tcPr>
          <w:p w:rsidR="003F3D37" w:rsidRPr="00F156AE" w:rsidRDefault="003F3D37" w:rsidP="000714C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3F3D37" w:rsidRPr="00F156AE" w:rsidRDefault="003F3D37" w:rsidP="004A59D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I</w:t>
            </w:r>
            <w:r w:rsidR="004A59D6">
              <w:rPr>
                <w:rFonts w:cs="Arial"/>
                <w:color w:val="000000"/>
                <w:sz w:val="16"/>
                <w:szCs w:val="16"/>
              </w:rPr>
              <w:t>V</w:t>
            </w:r>
            <w:r w:rsidRPr="00F156AE">
              <w:rPr>
                <w:rFonts w:cs="Arial"/>
                <w:color w:val="000000"/>
                <w:sz w:val="16"/>
                <w:szCs w:val="16"/>
              </w:rPr>
              <w:t xml:space="preserve"> 2018=100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3F3D37" w:rsidRPr="00F156AE" w:rsidRDefault="004746B6" w:rsidP="002308E2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</w:t>
            </w:r>
            <w:r w:rsidR="003F3D37" w:rsidRPr="00F156AE">
              <w:rPr>
                <w:rFonts w:cs="Arial"/>
                <w:color w:val="000000"/>
                <w:sz w:val="16"/>
                <w:szCs w:val="16"/>
              </w:rPr>
              <w:t xml:space="preserve"> 2017=100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3F3D37" w:rsidRPr="00F156AE" w:rsidRDefault="004A59D6" w:rsidP="002308E2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I-</w:t>
            </w:r>
            <w:r w:rsidR="004746B6">
              <w:rPr>
                <w:rFonts w:cs="Arial"/>
                <w:color w:val="000000"/>
                <w:sz w:val="16"/>
                <w:szCs w:val="16"/>
              </w:rPr>
              <w:t>V</w:t>
            </w:r>
            <w:r w:rsidR="003F3D37" w:rsidRPr="00F156AE">
              <w:rPr>
                <w:rFonts w:cs="Arial"/>
                <w:color w:val="000000"/>
                <w:sz w:val="16"/>
                <w:szCs w:val="16"/>
              </w:rPr>
              <w:t xml:space="preserve"> 2017=100</w:t>
            </w:r>
          </w:p>
        </w:tc>
      </w:tr>
      <w:tr w:rsidR="003F3D37" w:rsidRPr="0095396F" w:rsidTr="00825389">
        <w:trPr>
          <w:trHeight w:hRule="exact" w:val="369"/>
        </w:trPr>
        <w:tc>
          <w:tcPr>
            <w:tcW w:w="3628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:rsidR="003F3D37" w:rsidRPr="00F156AE" w:rsidRDefault="003F3D37" w:rsidP="000714C9">
            <w:pPr>
              <w:spacing w:before="0" w:after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3F3D37" w:rsidRPr="00F156AE" w:rsidRDefault="00182766" w:rsidP="00A016A3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3F3D37" w:rsidRPr="00F156AE" w:rsidRDefault="002B731E" w:rsidP="00D77D45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3F3D37" w:rsidRPr="00F156AE" w:rsidRDefault="002A3375" w:rsidP="00EC0E14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106,7</w:t>
            </w:r>
          </w:p>
        </w:tc>
      </w:tr>
      <w:tr w:rsidR="003F3D37" w:rsidRPr="0095396F" w:rsidTr="00825389">
        <w:trPr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3F3D37" w:rsidRPr="00F156AE" w:rsidRDefault="003F3D37" w:rsidP="000714C9">
            <w:pPr>
              <w:spacing w:before="0" w:after="0"/>
              <w:ind w:firstLine="181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3F3D37" w:rsidP="000714C9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3F3D37" w:rsidP="000714C9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3F3D37" w:rsidP="000714C9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F3D37" w:rsidRPr="0095396F" w:rsidTr="00825389">
        <w:trPr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3F3D37" w:rsidRPr="00F156AE" w:rsidRDefault="003F3D37" w:rsidP="000714C9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Pojazdy samochodowe, motocykle, części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182766" w:rsidP="00A016A3">
            <w:pPr>
              <w:tabs>
                <w:tab w:val="left" w:pos="674"/>
              </w:tabs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2B731E" w:rsidP="00CA091B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2A3375" w:rsidP="007008C0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106,3</w:t>
            </w:r>
          </w:p>
        </w:tc>
      </w:tr>
      <w:tr w:rsidR="003F3D37" w:rsidRPr="0095396F" w:rsidTr="00825389">
        <w:trPr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3F3D37" w:rsidRPr="00F156AE" w:rsidRDefault="003F3D37" w:rsidP="000714C9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Paliwa stałe, ciekłe i gazowe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182766" w:rsidP="004358A9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2B731E" w:rsidP="006E760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2A3375" w:rsidP="007008C0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107,6</w:t>
            </w:r>
          </w:p>
        </w:tc>
      </w:tr>
      <w:tr w:rsidR="003F3D37" w:rsidRPr="0095396F" w:rsidTr="00825389">
        <w:trPr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3F3D37" w:rsidRPr="00F156AE" w:rsidRDefault="003F3D37" w:rsidP="000714C9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Żywność, napoje i wyroby tytoniowe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182766" w:rsidP="000714C9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2B731E" w:rsidP="001B727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2A3375" w:rsidP="00214797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102,4</w:t>
            </w:r>
          </w:p>
        </w:tc>
      </w:tr>
      <w:tr w:rsidR="003F3D37" w:rsidRPr="0095396F" w:rsidTr="00825389">
        <w:trPr>
          <w:trHeight w:hRule="exact" w:val="567"/>
        </w:trPr>
        <w:tc>
          <w:tcPr>
            <w:tcW w:w="3628" w:type="dxa"/>
            <w:shd w:val="clear" w:color="auto" w:fill="auto"/>
            <w:vAlign w:val="center"/>
            <w:hideMark/>
          </w:tcPr>
          <w:p w:rsidR="003F3D37" w:rsidRPr="00F156AE" w:rsidRDefault="003F3D37" w:rsidP="000714C9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 xml:space="preserve">Pozostała sprzedaż detaliczna </w:t>
            </w:r>
          </w:p>
          <w:p w:rsidR="003F3D37" w:rsidRPr="00F156AE" w:rsidRDefault="003F3D37" w:rsidP="000714C9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w niewyspecjalizowanych sklepach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182766" w:rsidP="004358A9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2B731E" w:rsidP="000714C9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2A3375" w:rsidP="00CE0430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108,2</w:t>
            </w:r>
          </w:p>
        </w:tc>
      </w:tr>
      <w:tr w:rsidR="003F3D37" w:rsidRPr="0095396F" w:rsidTr="00825389">
        <w:trPr>
          <w:cantSplit/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3F3D37" w:rsidRPr="00F156AE" w:rsidRDefault="003F3D37" w:rsidP="000714C9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Farmaceutyki, kosmetyki, sprzęt ortopedyczny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182766" w:rsidP="002D0EF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2B731E" w:rsidP="00304F7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2A3375" w:rsidP="005A04D8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111,7</w:t>
            </w:r>
          </w:p>
        </w:tc>
      </w:tr>
      <w:tr w:rsidR="003F3D37" w:rsidRPr="0095396F" w:rsidTr="00825389">
        <w:trPr>
          <w:cantSplit/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3F3D37" w:rsidRPr="00F156AE" w:rsidRDefault="003F3D37" w:rsidP="000714C9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Tekstylia, odzież, obuwie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182766" w:rsidP="002D0EF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2B731E" w:rsidP="00490249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2A3375" w:rsidP="000714C9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110,8</w:t>
            </w:r>
          </w:p>
        </w:tc>
      </w:tr>
      <w:tr w:rsidR="003F3D37" w:rsidRPr="0095396F" w:rsidTr="00825389">
        <w:trPr>
          <w:cantSplit/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3F3D37" w:rsidRPr="00F156AE" w:rsidRDefault="003F3D37" w:rsidP="000714C9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Meble, rtv, agd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182766" w:rsidP="002D0EF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2B731E" w:rsidP="00FB7B25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2A3375" w:rsidP="005A04D8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106,9</w:t>
            </w:r>
          </w:p>
        </w:tc>
      </w:tr>
      <w:tr w:rsidR="003F3D37" w:rsidRPr="0095396F" w:rsidTr="00825389">
        <w:trPr>
          <w:cantSplit/>
          <w:trHeight w:hRule="exact" w:val="567"/>
        </w:trPr>
        <w:tc>
          <w:tcPr>
            <w:tcW w:w="3628" w:type="dxa"/>
            <w:shd w:val="clear" w:color="auto" w:fill="auto"/>
            <w:vAlign w:val="center"/>
            <w:hideMark/>
          </w:tcPr>
          <w:p w:rsidR="003F3D37" w:rsidRPr="00F156AE" w:rsidRDefault="003F3D37" w:rsidP="000714C9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 xml:space="preserve">Prasa, książki, pozostała sprzedaż </w:t>
            </w:r>
          </w:p>
          <w:p w:rsidR="003F3D37" w:rsidRPr="00F156AE" w:rsidRDefault="003F3D37" w:rsidP="000714C9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 xml:space="preserve"> w wyspecjalizowanych sklepach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182766" w:rsidP="002D0EF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2B731E" w:rsidP="00FB7B25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2A3375" w:rsidP="005A04D8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102,6</w:t>
            </w:r>
          </w:p>
        </w:tc>
      </w:tr>
      <w:tr w:rsidR="003F3D37" w:rsidRPr="0095396F" w:rsidTr="00825389">
        <w:trPr>
          <w:cantSplit/>
          <w:trHeight w:hRule="exact" w:val="369"/>
        </w:trPr>
        <w:tc>
          <w:tcPr>
            <w:tcW w:w="3628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F3D37" w:rsidRPr="00F156AE" w:rsidRDefault="003F3D37" w:rsidP="000714C9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Pozostałe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F3D37" w:rsidRPr="00F156AE" w:rsidRDefault="00182766" w:rsidP="002D0EF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F3D37" w:rsidRPr="00F156AE" w:rsidRDefault="002B731E" w:rsidP="00FB7B25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108,4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F3D37" w:rsidRPr="00F156AE" w:rsidRDefault="002A3375" w:rsidP="005A04D8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109,9</w:t>
            </w:r>
          </w:p>
        </w:tc>
      </w:tr>
    </w:tbl>
    <w:p w:rsidR="003F3D37" w:rsidRDefault="003F3D37" w:rsidP="003F3D37">
      <w:pPr>
        <w:pStyle w:val="tekstnaniebieskimtle"/>
      </w:pPr>
    </w:p>
    <w:p w:rsidR="003F3D37" w:rsidRDefault="003F3D37" w:rsidP="003F3D37">
      <w:pPr>
        <w:pStyle w:val="tekstnaniebieskimtle"/>
      </w:pPr>
    </w:p>
    <w:p w:rsidR="003F3D37" w:rsidRPr="001C3D59" w:rsidRDefault="003F3D37" w:rsidP="003F3D37">
      <w:pPr>
        <w:pStyle w:val="tytuwykresu"/>
        <w:rPr>
          <w:rFonts w:ascii="Fira Sans SemiBold" w:hAnsi="Fira Sans SemiBold"/>
          <w:color w:val="001D77"/>
          <w:sz w:val="19"/>
          <w:szCs w:val="19"/>
        </w:rPr>
      </w:pPr>
      <w:r w:rsidRPr="0088559B">
        <w:rPr>
          <w:rFonts w:ascii="Fira Sans SemiBold" w:hAnsi="Fira Sans SemiBold"/>
          <w:sz w:val="19"/>
          <w:szCs w:val="19"/>
        </w:rPr>
        <w:t>Tabela 2. Dynamika</w:t>
      </w:r>
      <w:r w:rsidRPr="0088559B">
        <w:rPr>
          <w:rFonts w:ascii="Fira Sans SemiBold" w:hAnsi="Fira Sans SemiBold" w:cs="Arial"/>
          <w:sz w:val="19"/>
          <w:szCs w:val="19"/>
        </w:rPr>
        <w:t xml:space="preserve"> sprzedaży detalicznej (ceny </w:t>
      </w:r>
      <w:r w:rsidR="00954E87" w:rsidRPr="0088559B">
        <w:rPr>
          <w:rFonts w:ascii="Fira Sans SemiBold" w:hAnsi="Fira Sans SemiBold" w:cs="Arial"/>
          <w:sz w:val="19"/>
          <w:szCs w:val="19"/>
        </w:rPr>
        <w:t>bieżące</w:t>
      </w:r>
      <w:r w:rsidRPr="0088559B">
        <w:rPr>
          <w:rFonts w:ascii="Fira Sans SemiBold" w:hAnsi="Fira Sans SemiBold" w:cs="Arial"/>
          <w:sz w:val="19"/>
          <w:szCs w:val="19"/>
        </w:rPr>
        <w:t>).</w:t>
      </w:r>
    </w:p>
    <w:tbl>
      <w:tblPr>
        <w:tblW w:w="0" w:type="auto"/>
        <w:tblInd w:w="-72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8"/>
        <w:gridCol w:w="1134"/>
        <w:gridCol w:w="1134"/>
        <w:gridCol w:w="1134"/>
      </w:tblGrid>
      <w:tr w:rsidR="003F3D37" w:rsidRPr="00F156AE" w:rsidTr="000714C9">
        <w:trPr>
          <w:gridAfter w:val="3"/>
          <w:wAfter w:w="3402" w:type="dxa"/>
          <w:cantSplit/>
          <w:trHeight w:val="360"/>
        </w:trPr>
        <w:tc>
          <w:tcPr>
            <w:tcW w:w="362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3F3D37" w:rsidRPr="00F156AE" w:rsidRDefault="003F3D37" w:rsidP="000714C9">
            <w:pPr>
              <w:spacing w:before="2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Wyszczególnienie</w:t>
            </w:r>
          </w:p>
        </w:tc>
      </w:tr>
      <w:tr w:rsidR="003F3D37" w:rsidRPr="0095396F" w:rsidTr="000714C9">
        <w:trPr>
          <w:cantSplit/>
          <w:trHeight w:val="340"/>
        </w:trPr>
        <w:tc>
          <w:tcPr>
            <w:tcW w:w="3628" w:type="dxa"/>
            <w:vMerge/>
            <w:shd w:val="clear" w:color="auto" w:fill="auto"/>
            <w:vAlign w:val="center"/>
          </w:tcPr>
          <w:p w:rsidR="003F3D37" w:rsidRPr="00F156AE" w:rsidRDefault="003F3D37" w:rsidP="000714C9">
            <w:pPr>
              <w:spacing w:before="24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F3D37" w:rsidRPr="00F156AE" w:rsidRDefault="00846013" w:rsidP="000714C9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</w:t>
            </w:r>
            <w:r w:rsidR="003F3D37" w:rsidRPr="00F156AE">
              <w:rPr>
                <w:rFonts w:cs="Arial"/>
                <w:color w:val="000000"/>
                <w:sz w:val="16"/>
                <w:szCs w:val="16"/>
              </w:rPr>
              <w:t xml:space="preserve"> 2018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F3D37" w:rsidRPr="00F156AE" w:rsidRDefault="00AE3402" w:rsidP="003C1FA5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I-</w:t>
            </w:r>
            <w:r w:rsidR="00846013">
              <w:rPr>
                <w:rFonts w:cs="Arial"/>
                <w:color w:val="000000"/>
                <w:sz w:val="16"/>
                <w:szCs w:val="16"/>
              </w:rPr>
              <w:t>V</w:t>
            </w:r>
            <w:r w:rsidR="003F3D37" w:rsidRPr="00F156AE">
              <w:rPr>
                <w:rFonts w:cs="Arial"/>
                <w:color w:val="000000"/>
                <w:sz w:val="16"/>
                <w:szCs w:val="16"/>
              </w:rPr>
              <w:t xml:space="preserve"> 2018</w:t>
            </w:r>
          </w:p>
        </w:tc>
      </w:tr>
      <w:tr w:rsidR="003F3D37" w:rsidRPr="0095396F" w:rsidTr="000714C9">
        <w:trPr>
          <w:trHeight w:val="340"/>
        </w:trPr>
        <w:tc>
          <w:tcPr>
            <w:tcW w:w="3628" w:type="dxa"/>
            <w:vMerge/>
            <w:tcBorders>
              <w:bottom w:val="single" w:sz="12" w:space="0" w:color="001D77"/>
            </w:tcBorders>
            <w:vAlign w:val="center"/>
            <w:hideMark/>
          </w:tcPr>
          <w:p w:rsidR="003F3D37" w:rsidRPr="00F156AE" w:rsidRDefault="003F3D37" w:rsidP="000714C9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3F3D37" w:rsidRPr="00F156AE" w:rsidRDefault="003C1FA5" w:rsidP="00AE3402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I</w:t>
            </w:r>
            <w:r w:rsidR="00AE3402">
              <w:rPr>
                <w:rFonts w:cs="Arial"/>
                <w:color w:val="000000"/>
                <w:sz w:val="16"/>
                <w:szCs w:val="16"/>
              </w:rPr>
              <w:t>V</w:t>
            </w:r>
            <w:r w:rsidR="003F3D37" w:rsidRPr="00F156AE">
              <w:rPr>
                <w:rFonts w:cs="Arial"/>
                <w:color w:val="000000"/>
                <w:sz w:val="16"/>
                <w:szCs w:val="16"/>
              </w:rPr>
              <w:t xml:space="preserve"> 2018=100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3F3D37" w:rsidRPr="00F156AE" w:rsidRDefault="00846013" w:rsidP="00846013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</w:t>
            </w:r>
            <w:r w:rsidR="003F3D37" w:rsidRPr="00F156AE">
              <w:rPr>
                <w:rFonts w:cs="Arial"/>
                <w:color w:val="000000"/>
                <w:sz w:val="16"/>
                <w:szCs w:val="16"/>
              </w:rPr>
              <w:t xml:space="preserve"> 2017=100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3F3D37" w:rsidRPr="00F156AE" w:rsidRDefault="00AE3402" w:rsidP="000714C9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I-</w:t>
            </w:r>
            <w:r w:rsidR="00846013">
              <w:rPr>
                <w:rFonts w:cs="Arial"/>
                <w:color w:val="000000"/>
                <w:sz w:val="16"/>
                <w:szCs w:val="16"/>
              </w:rPr>
              <w:t>V</w:t>
            </w:r>
            <w:r w:rsidR="003F3D37" w:rsidRPr="00F156AE">
              <w:rPr>
                <w:rFonts w:cs="Arial"/>
                <w:color w:val="000000"/>
                <w:sz w:val="16"/>
                <w:szCs w:val="16"/>
              </w:rPr>
              <w:t xml:space="preserve"> 2017=100</w:t>
            </w:r>
          </w:p>
        </w:tc>
      </w:tr>
      <w:tr w:rsidR="003F3D37" w:rsidRPr="0095396F" w:rsidTr="00825389">
        <w:trPr>
          <w:trHeight w:hRule="exact" w:val="369"/>
        </w:trPr>
        <w:tc>
          <w:tcPr>
            <w:tcW w:w="3628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:rsidR="003F3D37" w:rsidRPr="00F156AE" w:rsidRDefault="003F3D37" w:rsidP="000714C9">
            <w:pPr>
              <w:spacing w:before="0" w:after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3F3D37" w:rsidRPr="00F156AE" w:rsidRDefault="00C93AF0" w:rsidP="003C319C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3F3D37" w:rsidRPr="00F156AE" w:rsidRDefault="00C93AF0" w:rsidP="00F76F45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107,6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3F3D37" w:rsidRPr="00F156AE" w:rsidRDefault="004F7082" w:rsidP="004C751F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107,4</w:t>
            </w:r>
          </w:p>
        </w:tc>
      </w:tr>
      <w:tr w:rsidR="003F3D37" w:rsidRPr="0095396F" w:rsidTr="00825389">
        <w:trPr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3F3D37" w:rsidRPr="00F156AE" w:rsidRDefault="003F3D37" w:rsidP="000714C9">
            <w:pPr>
              <w:spacing w:before="0" w:after="0"/>
              <w:ind w:firstLine="181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3F3D37" w:rsidP="000714C9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3F3D37" w:rsidP="000714C9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3F3D37" w:rsidP="000714C9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F3D37" w:rsidRPr="0095396F" w:rsidTr="00825389">
        <w:trPr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3F3D37" w:rsidRPr="00F156AE" w:rsidRDefault="003F3D37" w:rsidP="000714C9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Pojazdy samochodowe, motocykle, części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C93AF0" w:rsidP="006653DF">
            <w:pPr>
              <w:tabs>
                <w:tab w:val="left" w:pos="674"/>
              </w:tabs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C93AF0" w:rsidP="00F76F45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4F7082" w:rsidP="008046D8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101,9</w:t>
            </w:r>
          </w:p>
        </w:tc>
      </w:tr>
      <w:tr w:rsidR="003F3D37" w:rsidRPr="0095396F" w:rsidTr="00825389">
        <w:trPr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3F3D37" w:rsidRPr="00F156AE" w:rsidRDefault="003F3D37" w:rsidP="000714C9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Paliwa stałe, ciekłe i gazowe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C93AF0" w:rsidP="0034248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C93AF0" w:rsidP="00F76F45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4F7082" w:rsidP="00813C08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110,9</w:t>
            </w:r>
          </w:p>
        </w:tc>
      </w:tr>
      <w:tr w:rsidR="003F3D37" w:rsidRPr="0095396F" w:rsidTr="00825389">
        <w:trPr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3F3D37" w:rsidRPr="00F156AE" w:rsidRDefault="003F3D37" w:rsidP="000714C9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Żywność, napoje i wyroby tytoniowe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C93AF0" w:rsidP="00C57B89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C93AF0" w:rsidP="0080593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4F7082" w:rsidP="00D916CA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105,7</w:t>
            </w:r>
          </w:p>
        </w:tc>
      </w:tr>
      <w:tr w:rsidR="003F3D37" w:rsidRPr="0095396F" w:rsidTr="00825389">
        <w:trPr>
          <w:trHeight w:hRule="exact" w:val="567"/>
        </w:trPr>
        <w:tc>
          <w:tcPr>
            <w:tcW w:w="3628" w:type="dxa"/>
            <w:shd w:val="clear" w:color="auto" w:fill="auto"/>
            <w:vAlign w:val="center"/>
            <w:hideMark/>
          </w:tcPr>
          <w:p w:rsidR="003F3D37" w:rsidRPr="00F156AE" w:rsidRDefault="003F3D37" w:rsidP="000714C9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 xml:space="preserve">Pozostała sprzedaż detaliczna </w:t>
            </w:r>
          </w:p>
          <w:p w:rsidR="003F3D37" w:rsidRPr="00F156AE" w:rsidRDefault="003F3D37" w:rsidP="000714C9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w niewyspecjalizowanych sklepach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C93AF0" w:rsidP="00C57B89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C93AF0" w:rsidP="0080593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4F7082" w:rsidP="000B0442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107,3</w:t>
            </w:r>
          </w:p>
        </w:tc>
      </w:tr>
      <w:tr w:rsidR="003F3D37" w:rsidRPr="0095396F" w:rsidTr="00825389">
        <w:trPr>
          <w:cantSplit/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3F3D37" w:rsidRPr="00F156AE" w:rsidRDefault="003F3D37" w:rsidP="000714C9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Farmaceutyki, kosmetyki, sprzęt ortopedyczny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C93AF0" w:rsidP="00C57B89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C93AF0" w:rsidP="0080593C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4F7082" w:rsidP="00AC1D06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112,1</w:t>
            </w:r>
          </w:p>
        </w:tc>
      </w:tr>
      <w:tr w:rsidR="003F3D37" w:rsidRPr="0095396F" w:rsidTr="00825389">
        <w:trPr>
          <w:cantSplit/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3F3D37" w:rsidRPr="00F156AE" w:rsidRDefault="003F3D37" w:rsidP="000714C9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Tekstylia, odzież, obuwie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C93AF0" w:rsidP="00C57B89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C93AF0" w:rsidP="00AD3888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4F7082" w:rsidP="001F29D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106,6</w:t>
            </w:r>
          </w:p>
        </w:tc>
      </w:tr>
      <w:tr w:rsidR="003F3D37" w:rsidRPr="0095396F" w:rsidTr="00825389">
        <w:trPr>
          <w:cantSplit/>
          <w:trHeight w:hRule="exact" w:val="369"/>
        </w:trPr>
        <w:tc>
          <w:tcPr>
            <w:tcW w:w="3628" w:type="dxa"/>
            <w:shd w:val="clear" w:color="auto" w:fill="auto"/>
            <w:vAlign w:val="center"/>
            <w:hideMark/>
          </w:tcPr>
          <w:p w:rsidR="003F3D37" w:rsidRPr="00F156AE" w:rsidRDefault="003F3D37" w:rsidP="000714C9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Meble, rtv, agd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C93AF0" w:rsidP="00C57B89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C93AF0" w:rsidP="00EB0A8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4F7082" w:rsidP="001F29D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107,4</w:t>
            </w:r>
          </w:p>
        </w:tc>
      </w:tr>
      <w:tr w:rsidR="003F3D37" w:rsidRPr="0095396F" w:rsidTr="00825389">
        <w:trPr>
          <w:cantSplit/>
          <w:trHeight w:hRule="exact" w:val="567"/>
        </w:trPr>
        <w:tc>
          <w:tcPr>
            <w:tcW w:w="3628" w:type="dxa"/>
            <w:shd w:val="clear" w:color="auto" w:fill="auto"/>
            <w:vAlign w:val="center"/>
            <w:hideMark/>
          </w:tcPr>
          <w:p w:rsidR="003F3D37" w:rsidRPr="00F156AE" w:rsidRDefault="003F3D37" w:rsidP="000714C9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 xml:space="preserve">Prasa, książki, pozostała sprzedaż </w:t>
            </w:r>
          </w:p>
          <w:p w:rsidR="003F3D37" w:rsidRPr="00F156AE" w:rsidRDefault="003F3D37" w:rsidP="000714C9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 xml:space="preserve"> w wyspecjalizowanych sklepach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C93AF0" w:rsidP="00C57B89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C93AF0" w:rsidP="00EB0A8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3D37" w:rsidRPr="00F156AE" w:rsidRDefault="004F7082" w:rsidP="001F29D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102,1</w:t>
            </w:r>
          </w:p>
        </w:tc>
      </w:tr>
      <w:tr w:rsidR="003F3D37" w:rsidRPr="0095396F" w:rsidTr="00825389">
        <w:trPr>
          <w:cantSplit/>
          <w:trHeight w:hRule="exact" w:val="369"/>
        </w:trPr>
        <w:tc>
          <w:tcPr>
            <w:tcW w:w="3628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F3D37" w:rsidRPr="00F156AE" w:rsidRDefault="003F3D37" w:rsidP="000714C9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Pozostałe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F3D37" w:rsidRPr="00F156AE" w:rsidRDefault="00C93AF0" w:rsidP="00C57B89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F3D37" w:rsidRPr="00F156AE" w:rsidRDefault="00C93AF0" w:rsidP="00EB0A84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108,8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F3D37" w:rsidRPr="00F156AE" w:rsidRDefault="004F7082" w:rsidP="001F29DE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110,4</w:t>
            </w:r>
          </w:p>
        </w:tc>
      </w:tr>
    </w:tbl>
    <w:p w:rsidR="003F3D37" w:rsidRDefault="003F3D37" w:rsidP="003F3D37">
      <w:pPr>
        <w:pStyle w:val="tytuwykresu"/>
      </w:pPr>
    </w:p>
    <w:p w:rsidR="003F3D37" w:rsidRDefault="003F3D37" w:rsidP="003F3D37">
      <w:pPr>
        <w:pStyle w:val="tytuwykresu"/>
      </w:pPr>
    </w:p>
    <w:p w:rsidR="00490822" w:rsidRDefault="00490822" w:rsidP="00B25EE8">
      <w:pPr>
        <w:pStyle w:val="tytuwykresu"/>
      </w:pPr>
    </w:p>
    <w:p w:rsidR="00B25EE8" w:rsidRDefault="003F3D37" w:rsidP="00B25EE8">
      <w:pPr>
        <w:pStyle w:val="tytuwykresu"/>
        <w:rPr>
          <w:shd w:val="clear" w:color="auto" w:fill="FFFFFF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209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443509</wp:posOffset>
            </wp:positionV>
            <wp:extent cx="5127625" cy="3269615"/>
            <wp:effectExtent l="0" t="0" r="0" b="6985"/>
            <wp:wrapSquare wrapText="bothSides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B25EE8" w:rsidRPr="00B5309C">
        <w:t xml:space="preserve">Wykres </w:t>
      </w:r>
      <w:r w:rsidR="00B25EE8">
        <w:t>2</w:t>
      </w:r>
      <w:r w:rsidR="00976445">
        <w:t>.</w:t>
      </w:r>
      <w:r w:rsidR="00B25EE8" w:rsidRPr="00B5309C">
        <w:rPr>
          <w:shd w:val="clear" w:color="auto" w:fill="FFFFFF"/>
        </w:rPr>
        <w:t xml:space="preserve"> Sprzedaż detaliczna towarów </w:t>
      </w:r>
      <w:r w:rsidR="00B25EE8">
        <w:rPr>
          <w:shd w:val="clear" w:color="auto" w:fill="FFFFFF"/>
        </w:rPr>
        <w:t xml:space="preserve">w </w:t>
      </w:r>
      <w:r w:rsidR="00C9245F">
        <w:rPr>
          <w:shd w:val="clear" w:color="auto" w:fill="FFFFFF"/>
        </w:rPr>
        <w:t>maju</w:t>
      </w:r>
      <w:r w:rsidR="00B25EE8">
        <w:rPr>
          <w:shd w:val="clear" w:color="auto" w:fill="FFFFFF"/>
        </w:rPr>
        <w:t xml:space="preserve"> 2018 r</w:t>
      </w:r>
      <w:r w:rsidR="006F2ACE">
        <w:rPr>
          <w:shd w:val="clear" w:color="auto" w:fill="FFFFFF"/>
        </w:rPr>
        <w:t xml:space="preserve">. </w:t>
      </w:r>
      <w:r w:rsidR="00320FEE">
        <w:rPr>
          <w:shd w:val="clear" w:color="auto" w:fill="FFFFFF"/>
        </w:rPr>
        <w:t>według rodzajów</w:t>
      </w:r>
      <w:r w:rsidR="00D90D7A">
        <w:rPr>
          <w:shd w:val="clear" w:color="auto" w:fill="FFFFFF"/>
        </w:rPr>
        <w:t xml:space="preserve"> działalności przeds</w:t>
      </w:r>
      <w:r w:rsidR="00205C7E">
        <w:rPr>
          <w:shd w:val="clear" w:color="auto" w:fill="FFFFFF"/>
        </w:rPr>
        <w:t>iębio</w:t>
      </w:r>
      <w:r w:rsidR="006812AE">
        <w:rPr>
          <w:shd w:val="clear" w:color="auto" w:fill="FFFFFF"/>
        </w:rPr>
        <w:t>r</w:t>
      </w:r>
      <w:r w:rsidR="00D90D7A">
        <w:rPr>
          <w:shd w:val="clear" w:color="auto" w:fill="FFFFFF"/>
        </w:rPr>
        <w:t>stwa</w:t>
      </w:r>
      <w:r w:rsidR="00375B9E">
        <w:rPr>
          <w:shd w:val="clear" w:color="auto" w:fill="FFFFFF"/>
        </w:rPr>
        <w:t xml:space="preserve"> (</w:t>
      </w:r>
      <w:r w:rsidR="00B25EE8" w:rsidRPr="00B5309C">
        <w:rPr>
          <w:shd w:val="clear" w:color="auto" w:fill="FFFFFF"/>
        </w:rPr>
        <w:t>ceny stałe) – analogiczny okres roku poprzedniego</w:t>
      </w:r>
      <w:r w:rsidR="00B25EE8">
        <w:rPr>
          <w:shd w:val="clear" w:color="auto" w:fill="FFFFFF"/>
        </w:rPr>
        <w:t>=100</w:t>
      </w:r>
    </w:p>
    <w:p w:rsidR="00E80C30" w:rsidRDefault="00E80C30" w:rsidP="00B25EE8">
      <w:pPr>
        <w:pStyle w:val="tytuwykresu"/>
        <w:rPr>
          <w:rFonts w:asciiTheme="majorHAnsi" w:hAnsiTheme="majorHAnsi"/>
          <w:shd w:val="clear" w:color="auto" w:fill="FFFFFF"/>
        </w:rPr>
      </w:pPr>
    </w:p>
    <w:p w:rsidR="00C20E37" w:rsidRPr="00964F10" w:rsidRDefault="00A2520C" w:rsidP="00C20E37">
      <w:pPr>
        <w:spacing w:before="240" w:line="259" w:lineRule="auto"/>
        <w:rPr>
          <w:rFonts w:cs="Arial"/>
          <w:b/>
          <w:color w:val="002060"/>
          <w:szCs w:val="19"/>
        </w:rPr>
      </w:pPr>
      <w:r>
        <w:rPr>
          <w:rFonts w:asciiTheme="majorHAnsi" w:hAnsiTheme="majorHAnsi"/>
          <w:b/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5277917</wp:posOffset>
                </wp:positionH>
                <wp:positionV relativeFrom="paragraph">
                  <wp:posOffset>191465</wp:posOffset>
                </wp:positionV>
                <wp:extent cx="1770278" cy="91440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278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F5B" w:rsidRDefault="00431F5B" w:rsidP="00C20E37">
                            <w:pPr>
                              <w:pStyle w:val="tytuwykresu"/>
                            </w:pPr>
                            <w:r w:rsidRPr="00E31581">
                              <w:rPr>
                                <w:b w:val="0"/>
                                <w:color w:val="001D77"/>
                              </w:rPr>
                              <w:t>W</w:t>
                            </w:r>
                            <w:r w:rsidR="00B102BA">
                              <w:rPr>
                                <w:b w:val="0"/>
                                <w:color w:val="001D77"/>
                              </w:rPr>
                              <w:t xml:space="preserve"> </w:t>
                            </w:r>
                            <w:r w:rsidR="00F14B02">
                              <w:rPr>
                                <w:b w:val="0"/>
                                <w:color w:val="001D77"/>
                              </w:rPr>
                              <w:t xml:space="preserve">maju </w:t>
                            </w:r>
                            <w:r>
                              <w:rPr>
                                <w:b w:val="0"/>
                                <w:color w:val="001D77"/>
                              </w:rPr>
                              <w:t xml:space="preserve">2018 r. odnotowano </w:t>
                            </w:r>
                            <w:r w:rsidR="00F14B02">
                              <w:rPr>
                                <w:b w:val="0"/>
                                <w:color w:val="001D77"/>
                              </w:rPr>
                              <w:t xml:space="preserve">wzrost </w:t>
                            </w:r>
                            <w:r w:rsidRPr="00E31581">
                              <w:rPr>
                                <w:b w:val="0"/>
                                <w:color w:val="001D77"/>
                              </w:rPr>
                              <w:t>sprzedaż</w:t>
                            </w:r>
                            <w:r>
                              <w:rPr>
                                <w:b w:val="0"/>
                                <w:color w:val="001D77"/>
                              </w:rPr>
                              <w:t>y</w:t>
                            </w:r>
                            <w:r w:rsidRPr="00E31581">
                              <w:rPr>
                                <w:b w:val="0"/>
                                <w:color w:val="001D77"/>
                              </w:rPr>
                              <w:t xml:space="preserve"> detaliczn</w:t>
                            </w:r>
                            <w:r>
                              <w:rPr>
                                <w:b w:val="0"/>
                                <w:color w:val="001D77"/>
                              </w:rPr>
                              <w:t>ej</w:t>
                            </w:r>
                            <w:r w:rsidRPr="00E31581">
                              <w:rPr>
                                <w:b w:val="0"/>
                                <w:color w:val="001D77"/>
                              </w:rPr>
                              <w:t xml:space="preserve"> wyrównan</w:t>
                            </w:r>
                            <w:r>
                              <w:rPr>
                                <w:b w:val="0"/>
                                <w:color w:val="001D77"/>
                              </w:rPr>
                              <w:t>ej</w:t>
                            </w:r>
                            <w:r w:rsidRPr="00E31581">
                              <w:rPr>
                                <w:b w:val="0"/>
                                <w:color w:val="001D77"/>
                              </w:rPr>
                              <w:t xml:space="preserve"> sezonowo </w:t>
                            </w:r>
                            <w:r>
                              <w:rPr>
                                <w:b w:val="0"/>
                                <w:color w:val="001D77"/>
                              </w:rPr>
                              <w:t>o</w:t>
                            </w:r>
                            <w:r w:rsidR="00BC4DBC">
                              <w:rPr>
                                <w:b w:val="0"/>
                                <w:color w:val="001D77"/>
                              </w:rPr>
                              <w:t xml:space="preserve"> 1,</w:t>
                            </w:r>
                            <w:r w:rsidR="00F14B02">
                              <w:rPr>
                                <w:b w:val="0"/>
                                <w:color w:val="001D77"/>
                              </w:rPr>
                              <w:t>1</w:t>
                            </w:r>
                            <w:r>
                              <w:rPr>
                                <w:b w:val="0"/>
                                <w:color w:val="001D77"/>
                              </w:rPr>
                              <w:t xml:space="preserve">% </w:t>
                            </w:r>
                            <w:r w:rsidRPr="00E31581">
                              <w:rPr>
                                <w:b w:val="0"/>
                                <w:color w:val="001D77"/>
                              </w:rPr>
                              <w:t>w po</w:t>
                            </w:r>
                            <w:r>
                              <w:rPr>
                                <w:b w:val="0"/>
                                <w:color w:val="001D77"/>
                              </w:rPr>
                              <w:t>równaniu z</w:t>
                            </w:r>
                            <w:r w:rsidR="00B102BA">
                              <w:rPr>
                                <w:b w:val="0"/>
                                <w:color w:val="001D77"/>
                              </w:rPr>
                              <w:t xml:space="preserve"> </w:t>
                            </w:r>
                            <w:r w:rsidR="00F14B02">
                              <w:rPr>
                                <w:b w:val="0"/>
                                <w:color w:val="001D77"/>
                              </w:rPr>
                              <w:t xml:space="preserve">kwietniem </w:t>
                            </w:r>
                            <w:r w:rsidR="00CA0156">
                              <w:rPr>
                                <w:b w:val="0"/>
                                <w:color w:val="001D77"/>
                              </w:rPr>
                              <w:t>br.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margin-left:415.6pt;margin-top:15.1pt;width:139.4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" filled="f" stroked="f">
                <v:textbox>
                  <w:txbxContent>
                    <w:p w:rsidR="00431F5B" w:rsidRDefault="00431F5B" w:rsidP="00C20E37">
                      <w:pPr>
                        <w:pStyle w:val="tytuwykresu"/>
                      </w:pPr>
                      <w:r w:rsidRPr="00E31581">
                        <w:rPr>
                          <w:b w:val="0"/>
                          <w:color w:val="001D77"/>
                        </w:rPr>
                        <w:t>W</w:t>
                      </w:r>
                      <w:r w:rsidR="00B102BA">
                        <w:rPr>
                          <w:b w:val="0"/>
                          <w:color w:val="001D77"/>
                        </w:rPr>
                        <w:t xml:space="preserve"> </w:t>
                      </w:r>
                      <w:r w:rsidR="00F14B02">
                        <w:rPr>
                          <w:b w:val="0"/>
                          <w:color w:val="001D77"/>
                        </w:rPr>
                        <w:t xml:space="preserve">maju </w:t>
                      </w:r>
                      <w:r>
                        <w:rPr>
                          <w:b w:val="0"/>
                          <w:color w:val="001D77"/>
                        </w:rPr>
                        <w:t xml:space="preserve">2018 r. odnotowano </w:t>
                      </w:r>
                      <w:r w:rsidR="00F14B02">
                        <w:rPr>
                          <w:b w:val="0"/>
                          <w:color w:val="001D77"/>
                        </w:rPr>
                        <w:t xml:space="preserve">wzrost </w:t>
                      </w:r>
                      <w:r w:rsidRPr="00E31581">
                        <w:rPr>
                          <w:b w:val="0"/>
                          <w:color w:val="001D77"/>
                        </w:rPr>
                        <w:t>sprzedaż</w:t>
                      </w:r>
                      <w:r>
                        <w:rPr>
                          <w:b w:val="0"/>
                          <w:color w:val="001D77"/>
                        </w:rPr>
                        <w:t>y</w:t>
                      </w:r>
                      <w:r w:rsidRPr="00E31581">
                        <w:rPr>
                          <w:b w:val="0"/>
                          <w:color w:val="001D77"/>
                        </w:rPr>
                        <w:t xml:space="preserve"> detaliczn</w:t>
                      </w:r>
                      <w:r>
                        <w:rPr>
                          <w:b w:val="0"/>
                          <w:color w:val="001D77"/>
                        </w:rPr>
                        <w:t>ej</w:t>
                      </w:r>
                      <w:r w:rsidRPr="00E31581">
                        <w:rPr>
                          <w:b w:val="0"/>
                          <w:color w:val="001D77"/>
                        </w:rPr>
                        <w:t xml:space="preserve"> wyrównan</w:t>
                      </w:r>
                      <w:r>
                        <w:rPr>
                          <w:b w:val="0"/>
                          <w:color w:val="001D77"/>
                        </w:rPr>
                        <w:t>ej</w:t>
                      </w:r>
                      <w:r w:rsidRPr="00E31581">
                        <w:rPr>
                          <w:b w:val="0"/>
                          <w:color w:val="001D77"/>
                        </w:rPr>
                        <w:t xml:space="preserve"> sezonowo </w:t>
                      </w:r>
                      <w:r>
                        <w:rPr>
                          <w:b w:val="0"/>
                          <w:color w:val="001D77"/>
                        </w:rPr>
                        <w:t>o</w:t>
                      </w:r>
                      <w:r w:rsidR="00BC4DBC">
                        <w:rPr>
                          <w:b w:val="0"/>
                          <w:color w:val="001D77"/>
                        </w:rPr>
                        <w:t xml:space="preserve"> 1,</w:t>
                      </w:r>
                      <w:r w:rsidR="00F14B02">
                        <w:rPr>
                          <w:b w:val="0"/>
                          <w:color w:val="001D77"/>
                        </w:rPr>
                        <w:t>1</w:t>
                      </w:r>
                      <w:r>
                        <w:rPr>
                          <w:b w:val="0"/>
                          <w:color w:val="001D77"/>
                        </w:rPr>
                        <w:t xml:space="preserve">% </w:t>
                      </w:r>
                      <w:r w:rsidRPr="00E31581">
                        <w:rPr>
                          <w:b w:val="0"/>
                          <w:color w:val="001D77"/>
                        </w:rPr>
                        <w:t>w po</w:t>
                      </w:r>
                      <w:r>
                        <w:rPr>
                          <w:b w:val="0"/>
                          <w:color w:val="001D77"/>
                        </w:rPr>
                        <w:t>równaniu z</w:t>
                      </w:r>
                      <w:r w:rsidR="00B102BA">
                        <w:rPr>
                          <w:b w:val="0"/>
                          <w:color w:val="001D77"/>
                        </w:rPr>
                        <w:t xml:space="preserve"> </w:t>
                      </w:r>
                      <w:r w:rsidR="00F14B02">
                        <w:rPr>
                          <w:b w:val="0"/>
                          <w:color w:val="001D77"/>
                        </w:rPr>
                        <w:t xml:space="preserve">kwietniem </w:t>
                      </w:r>
                      <w:bookmarkStart w:id="1" w:name="_GoBack"/>
                      <w:bookmarkEnd w:id="1"/>
                      <w:r w:rsidR="00CA0156">
                        <w:rPr>
                          <w:b w:val="0"/>
                          <w:color w:val="001D77"/>
                        </w:rPr>
                        <w:t>br.</w:t>
                      </w:r>
                    </w:p>
                  </w:txbxContent>
                </v:textbox>
              </v:shape>
            </w:pict>
          </mc:Fallback>
        </mc:AlternateContent>
      </w:r>
      <w:r w:rsidR="00C20E37" w:rsidRPr="00964F10">
        <w:rPr>
          <w:rFonts w:cs="Arial"/>
          <w:b/>
          <w:color w:val="002060"/>
          <w:szCs w:val="19"/>
        </w:rPr>
        <w:t>Sprzedaż detaliczna wyrównana sezonowo</w:t>
      </w:r>
    </w:p>
    <w:p w:rsidR="000144A9" w:rsidRPr="003D7F37" w:rsidRDefault="000144A9" w:rsidP="000144A9">
      <w:pPr>
        <w:pStyle w:val="tytuwykresu"/>
        <w:spacing w:before="0" w:after="0"/>
        <w:rPr>
          <w:b w:val="0"/>
          <w:sz w:val="19"/>
          <w:szCs w:val="19"/>
          <w:shd w:val="clear" w:color="auto" w:fill="FFFFFF"/>
        </w:rPr>
      </w:pPr>
      <w:r w:rsidRPr="003D7F37">
        <w:rPr>
          <w:rFonts w:cs="Arial"/>
          <w:b w:val="0"/>
          <w:sz w:val="19"/>
          <w:szCs w:val="19"/>
        </w:rPr>
        <w:t xml:space="preserve">Po wyeliminowaniu wpływu czynników o charakterze sezonowym sprzedaż detaliczna w cenach stałych w </w:t>
      </w:r>
      <w:r w:rsidR="00F14B02">
        <w:rPr>
          <w:rFonts w:cs="Arial"/>
          <w:b w:val="0"/>
          <w:sz w:val="19"/>
          <w:szCs w:val="19"/>
        </w:rPr>
        <w:t xml:space="preserve">maju </w:t>
      </w:r>
      <w:r w:rsidR="00EC3EA3">
        <w:rPr>
          <w:rFonts w:cs="Arial"/>
          <w:b w:val="0"/>
          <w:sz w:val="19"/>
          <w:szCs w:val="19"/>
        </w:rPr>
        <w:t>b</w:t>
      </w:r>
      <w:r>
        <w:rPr>
          <w:rFonts w:cs="Arial"/>
          <w:b w:val="0"/>
          <w:sz w:val="19"/>
          <w:szCs w:val="19"/>
        </w:rPr>
        <w:t xml:space="preserve">r. </w:t>
      </w:r>
      <w:r w:rsidR="00A1582C">
        <w:rPr>
          <w:rFonts w:cs="Arial"/>
          <w:b w:val="0"/>
          <w:sz w:val="19"/>
          <w:szCs w:val="19"/>
        </w:rPr>
        <w:t xml:space="preserve">była </w:t>
      </w:r>
      <w:r w:rsidRPr="003D7F37">
        <w:rPr>
          <w:rFonts w:cs="Arial"/>
          <w:b w:val="0"/>
          <w:sz w:val="19"/>
          <w:szCs w:val="19"/>
        </w:rPr>
        <w:t xml:space="preserve">o </w:t>
      </w:r>
      <w:r w:rsidR="00BC4DBC">
        <w:rPr>
          <w:rFonts w:cs="Arial"/>
          <w:b w:val="0"/>
          <w:sz w:val="19"/>
          <w:szCs w:val="19"/>
        </w:rPr>
        <w:t>1,</w:t>
      </w:r>
      <w:r w:rsidR="00F14B02">
        <w:rPr>
          <w:rFonts w:cs="Arial"/>
          <w:b w:val="0"/>
          <w:sz w:val="19"/>
          <w:szCs w:val="19"/>
        </w:rPr>
        <w:t>1</w:t>
      </w:r>
      <w:r w:rsidR="00BC4DBC" w:rsidRPr="00BC4DBC">
        <w:rPr>
          <w:rFonts w:cs="Arial"/>
          <w:b w:val="0"/>
          <w:sz w:val="19"/>
          <w:szCs w:val="19"/>
        </w:rPr>
        <w:t>%</w:t>
      </w:r>
      <w:r w:rsidRPr="00B102BA">
        <w:rPr>
          <w:rFonts w:cs="Arial"/>
          <w:b w:val="0"/>
          <w:color w:val="FF0000"/>
          <w:sz w:val="19"/>
          <w:szCs w:val="19"/>
        </w:rPr>
        <w:t xml:space="preserve"> </w:t>
      </w:r>
      <w:r w:rsidR="00F14B02" w:rsidRPr="00F14B02">
        <w:rPr>
          <w:rFonts w:cs="Arial"/>
          <w:b w:val="0"/>
          <w:sz w:val="19"/>
          <w:szCs w:val="19"/>
        </w:rPr>
        <w:t xml:space="preserve">wyższa </w:t>
      </w:r>
      <w:r w:rsidRPr="003D7F37">
        <w:rPr>
          <w:rFonts w:cs="Arial"/>
          <w:b w:val="0"/>
          <w:sz w:val="19"/>
          <w:szCs w:val="19"/>
        </w:rPr>
        <w:t>w porównaniu z poprzednim miesiącem</w:t>
      </w:r>
      <w:r>
        <w:rPr>
          <w:rFonts w:cs="Arial"/>
          <w:b w:val="0"/>
          <w:sz w:val="19"/>
          <w:szCs w:val="19"/>
        </w:rPr>
        <w:t>.</w:t>
      </w:r>
    </w:p>
    <w:p w:rsidR="000144A9" w:rsidRDefault="000144A9" w:rsidP="00B25EE8">
      <w:pPr>
        <w:pStyle w:val="tytuwykresu"/>
        <w:rPr>
          <w:shd w:val="clear" w:color="auto" w:fill="FFFFFF"/>
        </w:rPr>
      </w:pPr>
    </w:p>
    <w:p w:rsidR="00E80C30" w:rsidRPr="003D7F37" w:rsidRDefault="00E80C30" w:rsidP="00B25EE8">
      <w:pPr>
        <w:pStyle w:val="tytuwykresu"/>
        <w:rPr>
          <w:shd w:val="clear" w:color="auto" w:fill="FFFFFF"/>
        </w:rPr>
      </w:pPr>
      <w:r w:rsidRPr="003D7F37">
        <w:rPr>
          <w:shd w:val="clear" w:color="auto" w:fill="FFFFFF"/>
        </w:rPr>
        <w:t>Wykres 3</w:t>
      </w:r>
      <w:r w:rsidR="00976445">
        <w:rPr>
          <w:shd w:val="clear" w:color="auto" w:fill="FFFFFF"/>
        </w:rPr>
        <w:t>.</w:t>
      </w:r>
      <w:r w:rsidRPr="003D7F37">
        <w:rPr>
          <w:shd w:val="clear" w:color="auto" w:fill="FFFFFF"/>
        </w:rPr>
        <w:t xml:space="preserve"> Sprzedaż detaliczna</w:t>
      </w:r>
      <w:r w:rsidR="00375B9E">
        <w:rPr>
          <w:shd w:val="clear" w:color="auto" w:fill="FFFFFF"/>
        </w:rPr>
        <w:t xml:space="preserve"> – dane wyrównane sezonowo i niewyrównane (</w:t>
      </w:r>
      <w:r w:rsidRPr="003D7F37">
        <w:rPr>
          <w:shd w:val="clear" w:color="auto" w:fill="FFFFFF"/>
        </w:rPr>
        <w:t>cen</w:t>
      </w:r>
      <w:r w:rsidR="00375B9E">
        <w:rPr>
          <w:shd w:val="clear" w:color="auto" w:fill="FFFFFF"/>
        </w:rPr>
        <w:t>y</w:t>
      </w:r>
      <w:r w:rsidRPr="003D7F37">
        <w:rPr>
          <w:shd w:val="clear" w:color="auto" w:fill="FFFFFF"/>
        </w:rPr>
        <w:t xml:space="preserve"> stał</w:t>
      </w:r>
      <w:r w:rsidR="00375B9E">
        <w:rPr>
          <w:shd w:val="clear" w:color="auto" w:fill="FFFFFF"/>
        </w:rPr>
        <w:t>e)</w:t>
      </w:r>
      <w:r w:rsidR="00081C7F">
        <w:rPr>
          <w:shd w:val="clear" w:color="auto" w:fill="FFFFFF"/>
        </w:rPr>
        <w:t xml:space="preserve"> – </w:t>
      </w:r>
      <w:r w:rsidRPr="003D7F37">
        <w:rPr>
          <w:shd w:val="clear" w:color="auto" w:fill="FFFFFF"/>
        </w:rPr>
        <w:t>przeciętna miesięczna 2015=100</w:t>
      </w:r>
    </w:p>
    <w:p w:rsidR="00E80C30" w:rsidRDefault="003F3D37" w:rsidP="00B25EE8">
      <w:pPr>
        <w:pStyle w:val="tytuwykresu"/>
        <w:rPr>
          <w:rFonts w:asciiTheme="majorHAnsi" w:hAnsiTheme="majorHAnsi"/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5508625</wp:posOffset>
            </wp:positionV>
            <wp:extent cx="5122545" cy="2466975"/>
            <wp:effectExtent l="0" t="0" r="1905" b="0"/>
            <wp:wrapSquare wrapText="bothSides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6A5E06">
        <w:rPr>
          <w:rFonts w:asciiTheme="majorHAnsi" w:hAnsiTheme="majorHAnsi"/>
          <w:noProof/>
          <w:lang w:eastAsia="pl-PL"/>
        </w:rPr>
        <w:t xml:space="preserve"> </w:t>
      </w:r>
    </w:p>
    <w:p w:rsidR="001267F4" w:rsidRDefault="001267F4" w:rsidP="00B25EE8">
      <w:pPr>
        <w:pStyle w:val="tytuwykresu"/>
        <w:rPr>
          <w:rFonts w:asciiTheme="majorHAnsi" w:hAnsiTheme="majorHAnsi"/>
          <w:noProof/>
          <w:lang w:eastAsia="pl-PL"/>
        </w:rPr>
      </w:pPr>
    </w:p>
    <w:p w:rsidR="005B23AA" w:rsidRDefault="005B23AA" w:rsidP="00B25EE8">
      <w:pPr>
        <w:pStyle w:val="tytuwykresu"/>
        <w:rPr>
          <w:rFonts w:asciiTheme="majorHAnsi" w:hAnsiTheme="majorHAnsi"/>
          <w:noProof/>
          <w:lang w:eastAsia="pl-PL"/>
        </w:rPr>
      </w:pPr>
    </w:p>
    <w:p w:rsidR="00B25EE8" w:rsidRPr="00EA46AB" w:rsidRDefault="00B25EE8" w:rsidP="00B25EE8">
      <w:pPr>
        <w:jc w:val="both"/>
        <w:rPr>
          <w:sz w:val="16"/>
          <w:szCs w:val="16"/>
        </w:rPr>
        <w:sectPr w:rsidR="00B25EE8" w:rsidRPr="00EA46AB" w:rsidSect="001448A7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p w:rsidR="00B25EE8" w:rsidRPr="0095396F" w:rsidRDefault="00B25EE8" w:rsidP="00C742AC">
      <w:pPr>
        <w:pStyle w:val="tytuwykresu"/>
        <w:rPr>
          <w:rFonts w:asciiTheme="majorHAnsi" w:hAnsiTheme="majorHAnsi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8"/>
        <w:gridCol w:w="3925"/>
      </w:tblGrid>
      <w:tr w:rsidR="000470AA" w:rsidRPr="005170C9" w:rsidTr="00E23337">
        <w:trPr>
          <w:trHeight w:val="1912"/>
        </w:trPr>
        <w:tc>
          <w:tcPr>
            <w:tcW w:w="4379" w:type="dxa"/>
          </w:tcPr>
          <w:p w:rsidR="000470AA" w:rsidRPr="0095396F" w:rsidRDefault="000470AA" w:rsidP="00E23337">
            <w:pPr>
              <w:spacing w:before="0" w:after="0" w:line="276" w:lineRule="auto"/>
              <w:rPr>
                <w:rFonts w:asciiTheme="majorHAnsi" w:hAnsiTheme="majorHAnsi" w:cs="Arial"/>
                <w:color w:val="000000" w:themeColor="text1"/>
                <w:sz w:val="20"/>
              </w:rPr>
            </w:pPr>
            <w:r w:rsidRPr="0095396F">
              <w:rPr>
                <w:rFonts w:asciiTheme="majorHAnsi" w:hAnsiTheme="majorHAnsi" w:cs="Arial"/>
                <w:color w:val="000000" w:themeColor="text1"/>
                <w:sz w:val="20"/>
              </w:rPr>
              <w:t>Opracowanie merytoryczne:</w:t>
            </w:r>
          </w:p>
          <w:p w:rsidR="000470AA" w:rsidRPr="0095396F" w:rsidRDefault="000470AA" w:rsidP="00D00796">
            <w:pPr>
              <w:spacing w:before="0" w:after="0" w:line="240" w:lineRule="auto"/>
              <w:rPr>
                <w:rFonts w:asciiTheme="majorHAnsi" w:hAnsiTheme="majorHAnsi" w:cs="Arial"/>
                <w:b/>
                <w:color w:val="000000" w:themeColor="text1"/>
                <w:sz w:val="20"/>
              </w:rPr>
            </w:pPr>
            <w:r w:rsidRPr="0095396F">
              <w:rPr>
                <w:rFonts w:asciiTheme="majorHAnsi" w:hAnsiTheme="majorHAnsi" w:cs="Arial"/>
                <w:b/>
                <w:color w:val="000000" w:themeColor="text1"/>
                <w:sz w:val="20"/>
              </w:rPr>
              <w:t xml:space="preserve">Departament </w:t>
            </w:r>
            <w:r w:rsidR="00017FFE" w:rsidRPr="0095396F">
              <w:rPr>
                <w:rFonts w:asciiTheme="majorHAnsi" w:hAnsiTheme="majorHAnsi" w:cs="Arial"/>
                <w:b/>
                <w:color w:val="000000" w:themeColor="text1"/>
                <w:sz w:val="20"/>
              </w:rPr>
              <w:t>Handlu i Usług</w:t>
            </w:r>
          </w:p>
          <w:p w:rsidR="000470AA" w:rsidRPr="00901D58" w:rsidRDefault="00017FFE" w:rsidP="00D00796">
            <w:pPr>
              <w:pStyle w:val="Nagwek3"/>
              <w:spacing w:before="0" w:line="240" w:lineRule="auto"/>
              <w:rPr>
                <w:rFonts w:cs="Arial"/>
                <w:b/>
                <w:color w:val="000000" w:themeColor="text1"/>
                <w:sz w:val="20"/>
                <w:szCs w:val="28"/>
                <w:lang w:val="de-AT"/>
              </w:rPr>
            </w:pPr>
            <w:r w:rsidRPr="00901D58">
              <w:rPr>
                <w:rFonts w:cs="Arial"/>
                <w:b/>
                <w:color w:val="000000" w:themeColor="text1"/>
                <w:sz w:val="20"/>
                <w:szCs w:val="28"/>
                <w:lang w:val="de-AT"/>
              </w:rPr>
              <w:t>Jolanta Biernat</w:t>
            </w:r>
          </w:p>
          <w:p w:rsidR="000470AA" w:rsidRPr="0095396F" w:rsidRDefault="000470AA" w:rsidP="00D00796">
            <w:pPr>
              <w:pStyle w:val="Nagwek3"/>
              <w:spacing w:before="0" w:line="240" w:lineRule="auto"/>
              <w:rPr>
                <w:rFonts w:cs="Arial"/>
                <w:color w:val="000000" w:themeColor="text1"/>
                <w:sz w:val="20"/>
                <w:lang w:val="fi-FI"/>
              </w:rPr>
            </w:pPr>
            <w:r w:rsidRPr="0095396F">
              <w:rPr>
                <w:rFonts w:cs="Arial"/>
                <w:color w:val="000000" w:themeColor="text1"/>
                <w:sz w:val="20"/>
                <w:lang w:val="fi-FI"/>
              </w:rPr>
              <w:t>Tel: 22</w:t>
            </w:r>
            <w:r w:rsidR="00017FFE" w:rsidRPr="0095396F">
              <w:rPr>
                <w:rFonts w:cs="Arial"/>
                <w:color w:val="000000" w:themeColor="text1"/>
                <w:sz w:val="20"/>
                <w:lang w:val="fi-FI"/>
              </w:rPr>
              <w:t> 608 3336</w:t>
            </w:r>
          </w:p>
          <w:p w:rsidR="000470AA" w:rsidRPr="0095396F" w:rsidRDefault="000470AA" w:rsidP="00017FFE">
            <w:pPr>
              <w:pStyle w:val="Nagwek3"/>
              <w:spacing w:before="0" w:line="240" w:lineRule="auto"/>
              <w:rPr>
                <w:color w:val="000000" w:themeColor="text1"/>
                <w:lang w:val="fi-FI"/>
              </w:rPr>
            </w:pPr>
            <w:r w:rsidRPr="00901D58">
              <w:rPr>
                <w:rFonts w:cs="Arial"/>
                <w:b/>
                <w:color w:val="000000" w:themeColor="text1"/>
                <w:sz w:val="20"/>
                <w:szCs w:val="20"/>
                <w:lang w:val="de-AT"/>
              </w:rPr>
              <w:t xml:space="preserve">e-mail: </w:t>
            </w:r>
            <w:hyperlink r:id="rId21" w:history="1">
              <w:r w:rsidR="00017FFE" w:rsidRPr="00901D58">
                <w:rPr>
                  <w:rStyle w:val="Hipercze"/>
                  <w:rFonts w:cstheme="majorBidi"/>
                  <w:lang w:val="de-AT"/>
                </w:rPr>
                <w:t>j</w:t>
              </w:r>
              <w:r w:rsidR="00017FFE" w:rsidRPr="00901D58">
                <w:rPr>
                  <w:rStyle w:val="Hipercze"/>
                  <w:rFonts w:cs="Arial"/>
                  <w:b/>
                  <w:sz w:val="20"/>
                  <w:szCs w:val="20"/>
                  <w:lang w:val="de-AT"/>
                </w:rPr>
                <w:t>.biernat@stat.gov.pl</w:t>
              </w:r>
            </w:hyperlink>
          </w:p>
        </w:tc>
        <w:tc>
          <w:tcPr>
            <w:tcW w:w="3942" w:type="dxa"/>
          </w:tcPr>
          <w:p w:rsidR="000470AA" w:rsidRPr="0095396F" w:rsidRDefault="000470AA" w:rsidP="00E23337">
            <w:pPr>
              <w:spacing w:before="0" w:after="0" w:line="276" w:lineRule="auto"/>
              <w:rPr>
                <w:rFonts w:asciiTheme="majorHAnsi" w:hAnsiTheme="majorHAnsi" w:cs="Arial"/>
                <w:b/>
                <w:color w:val="000000" w:themeColor="text1"/>
                <w:sz w:val="20"/>
              </w:rPr>
            </w:pPr>
            <w:r w:rsidRPr="0095396F">
              <w:rPr>
                <w:rFonts w:asciiTheme="majorHAnsi" w:hAnsiTheme="majorHAnsi" w:cs="Arial"/>
                <w:color w:val="000000" w:themeColor="text1"/>
                <w:sz w:val="20"/>
              </w:rPr>
              <w:t>Rozpowszechnianie:</w:t>
            </w:r>
            <w:r w:rsidRPr="0095396F">
              <w:rPr>
                <w:rFonts w:asciiTheme="majorHAnsi" w:hAnsiTheme="majorHAnsi" w:cs="Arial"/>
                <w:color w:val="000000" w:themeColor="text1"/>
                <w:sz w:val="20"/>
              </w:rPr>
              <w:br/>
            </w:r>
            <w:r w:rsidRPr="0095396F">
              <w:rPr>
                <w:rFonts w:asciiTheme="majorHAnsi" w:hAnsiTheme="majorHAnsi"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95396F" w:rsidRDefault="000470AA" w:rsidP="00D00796">
            <w:pPr>
              <w:pStyle w:val="Nagwek3"/>
              <w:spacing w:before="0" w:line="240" w:lineRule="auto"/>
              <w:rPr>
                <w:rFonts w:cs="Arial"/>
                <w:b/>
                <w:color w:val="000000" w:themeColor="text1"/>
                <w:sz w:val="20"/>
                <w:szCs w:val="28"/>
              </w:rPr>
            </w:pPr>
            <w:r w:rsidRPr="0095396F">
              <w:rPr>
                <w:rFonts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0470AA" w:rsidRPr="0095396F" w:rsidRDefault="000470AA" w:rsidP="00D00796">
            <w:pPr>
              <w:pStyle w:val="Nagwek3"/>
              <w:spacing w:before="0" w:line="240" w:lineRule="auto"/>
              <w:rPr>
                <w:rFonts w:cs="Arial"/>
                <w:color w:val="000000" w:themeColor="text1"/>
                <w:sz w:val="20"/>
                <w:lang w:val="fi-FI"/>
              </w:rPr>
            </w:pPr>
            <w:r w:rsidRPr="0095396F">
              <w:rPr>
                <w:rFonts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:rsidR="000470AA" w:rsidRPr="00901D58" w:rsidRDefault="000470AA" w:rsidP="00D00796">
            <w:pPr>
              <w:pStyle w:val="Nagwek3"/>
              <w:spacing w:before="0" w:line="240" w:lineRule="auto"/>
              <w:rPr>
                <w:rFonts w:cs="Arial"/>
                <w:color w:val="000000" w:themeColor="text1"/>
                <w:sz w:val="20"/>
                <w:szCs w:val="20"/>
                <w:lang w:val="de-AT"/>
              </w:rPr>
            </w:pPr>
            <w:r w:rsidRPr="00901D58">
              <w:rPr>
                <w:rFonts w:cs="Arial"/>
                <w:b/>
                <w:color w:val="000000" w:themeColor="text1"/>
                <w:sz w:val="20"/>
                <w:szCs w:val="20"/>
                <w:lang w:val="de-AT"/>
              </w:rPr>
              <w:t xml:space="preserve">e-mail: </w:t>
            </w:r>
            <w:hyperlink r:id="rId22" w:history="1">
              <w:r w:rsidRPr="00901D58">
                <w:rPr>
                  <w:rStyle w:val="Hipercze"/>
                  <w:rFonts w:cs="Arial"/>
                  <w:b/>
                  <w:color w:val="000000" w:themeColor="text1"/>
                  <w:sz w:val="20"/>
                  <w:szCs w:val="20"/>
                  <w:lang w:val="de-AT"/>
                </w:rPr>
                <w:t>rzecznik@stat.gov.pl</w:t>
              </w:r>
            </w:hyperlink>
          </w:p>
        </w:tc>
      </w:tr>
    </w:tbl>
    <w:p w:rsidR="000470AA" w:rsidRPr="00901D58" w:rsidRDefault="000470AA" w:rsidP="000470AA">
      <w:pPr>
        <w:rPr>
          <w:rFonts w:asciiTheme="majorHAnsi" w:hAnsiTheme="majorHAnsi"/>
          <w:sz w:val="20"/>
          <w:lang w:val="de-AT"/>
        </w:rPr>
      </w:pPr>
    </w:p>
    <w:p w:rsidR="000470AA" w:rsidRPr="00901D58" w:rsidRDefault="000470AA" w:rsidP="000470AA">
      <w:pPr>
        <w:rPr>
          <w:rFonts w:asciiTheme="majorHAnsi" w:hAnsiTheme="majorHAnsi"/>
          <w:sz w:val="18"/>
          <w:lang w:val="de-AT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95396F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95396F" w:rsidRDefault="000470AA" w:rsidP="000470AA">
            <w:pPr>
              <w:rPr>
                <w:rFonts w:asciiTheme="majorHAnsi" w:hAnsiTheme="majorHAnsi"/>
                <w:b/>
                <w:sz w:val="20"/>
              </w:rPr>
            </w:pPr>
            <w:r w:rsidRPr="0095396F">
              <w:rPr>
                <w:rFonts w:asciiTheme="majorHAnsi" w:hAnsiTheme="majorHAnsi"/>
                <w:b/>
                <w:sz w:val="20"/>
              </w:rPr>
              <w:t xml:space="preserve">Wydział Współpracy z Mediami </w:t>
            </w:r>
          </w:p>
          <w:p w:rsidR="000470AA" w:rsidRPr="0095396F" w:rsidRDefault="000470AA" w:rsidP="000470AA">
            <w:pPr>
              <w:rPr>
                <w:rFonts w:asciiTheme="majorHAnsi" w:hAnsiTheme="majorHAnsi"/>
                <w:sz w:val="20"/>
              </w:rPr>
            </w:pPr>
            <w:r w:rsidRPr="0095396F">
              <w:rPr>
                <w:rFonts w:asciiTheme="majorHAnsi" w:hAnsiTheme="majorHAnsi"/>
                <w:b/>
                <w:sz w:val="20"/>
              </w:rPr>
              <w:t xml:space="preserve">tel.: </w:t>
            </w:r>
            <w:r w:rsidRPr="0095396F">
              <w:rPr>
                <w:rFonts w:asciiTheme="majorHAnsi" w:hAnsiTheme="majorHAnsi"/>
                <w:sz w:val="20"/>
              </w:rPr>
              <w:t xml:space="preserve">(+48 22) 608 34 91, (+48 22) 608 38 04 </w:t>
            </w:r>
          </w:p>
          <w:p w:rsidR="000470AA" w:rsidRPr="00901D58" w:rsidRDefault="000470AA" w:rsidP="000470AA">
            <w:pPr>
              <w:rPr>
                <w:rFonts w:asciiTheme="majorHAnsi" w:hAnsiTheme="majorHAnsi"/>
                <w:sz w:val="20"/>
                <w:lang w:val="de-AT"/>
              </w:rPr>
            </w:pPr>
            <w:r w:rsidRPr="00901D58">
              <w:rPr>
                <w:rFonts w:asciiTheme="majorHAnsi" w:hAnsiTheme="majorHAnsi"/>
                <w:b/>
                <w:sz w:val="20"/>
                <w:lang w:val="de-AT"/>
              </w:rPr>
              <w:t>faks:</w:t>
            </w:r>
            <w:r w:rsidRPr="00901D58">
              <w:rPr>
                <w:rFonts w:asciiTheme="majorHAnsi" w:hAnsiTheme="majorHAnsi"/>
                <w:sz w:val="20"/>
                <w:lang w:val="de-AT"/>
              </w:rPr>
              <w:t xml:space="preserve"> (+48 22) 608 38 86 </w:t>
            </w:r>
          </w:p>
          <w:p w:rsidR="000470AA" w:rsidRPr="00901D58" w:rsidRDefault="000470AA" w:rsidP="000470AA">
            <w:pPr>
              <w:rPr>
                <w:rFonts w:asciiTheme="majorHAnsi" w:hAnsiTheme="majorHAnsi"/>
                <w:sz w:val="18"/>
                <w:lang w:val="de-AT"/>
              </w:rPr>
            </w:pPr>
            <w:r w:rsidRPr="00901D58">
              <w:rPr>
                <w:rFonts w:asciiTheme="majorHAnsi" w:hAnsiTheme="majorHAnsi"/>
                <w:b/>
                <w:sz w:val="20"/>
                <w:lang w:val="de-AT"/>
              </w:rPr>
              <w:t>e-mail:</w:t>
            </w:r>
            <w:r w:rsidRPr="00901D58">
              <w:rPr>
                <w:rFonts w:asciiTheme="majorHAnsi" w:hAnsiTheme="majorHAnsi"/>
                <w:sz w:val="20"/>
                <w:lang w:val="de-AT"/>
              </w:rPr>
              <w:t xml:space="preserve"> </w:t>
            </w:r>
            <w:hyperlink r:id="rId23" w:history="1">
              <w:r w:rsidRPr="00901D58">
                <w:rPr>
                  <w:rStyle w:val="Hipercze"/>
                  <w:rFonts w:asciiTheme="majorHAnsi" w:hAnsiTheme="majorHAnsi" w:cstheme="minorBidi"/>
                  <w:sz w:val="20"/>
                  <w:lang w:val="de-AT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901D58" w:rsidRDefault="000470AA" w:rsidP="000470AA">
            <w:pPr>
              <w:rPr>
                <w:rFonts w:asciiTheme="majorHAnsi" w:hAnsiTheme="majorHAnsi"/>
                <w:sz w:val="18"/>
                <w:lang w:val="de-AT"/>
              </w:rPr>
            </w:pPr>
            <w:r w:rsidRPr="0095396F">
              <w:rPr>
                <w:rFonts w:asciiTheme="majorHAnsi" w:hAnsiTheme="majorHAnsi"/>
                <w:noProof/>
                <w:sz w:val="20"/>
                <w:lang w:eastAsia="pl-PL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95396F" w:rsidRDefault="000470AA" w:rsidP="000470AA">
            <w:pPr>
              <w:rPr>
                <w:rFonts w:asciiTheme="majorHAnsi" w:hAnsiTheme="majorHAnsi"/>
                <w:sz w:val="18"/>
              </w:rPr>
            </w:pPr>
            <w:r w:rsidRPr="0095396F">
              <w:rPr>
                <w:rFonts w:asciiTheme="majorHAnsi" w:hAnsiTheme="majorHAnsi"/>
                <w:sz w:val="20"/>
              </w:rPr>
              <w:t>www.stat.gov.pl</w:t>
            </w:r>
          </w:p>
        </w:tc>
      </w:tr>
      <w:tr w:rsidR="000470AA" w:rsidRPr="0095396F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95396F" w:rsidRDefault="000470AA" w:rsidP="000470AA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95396F" w:rsidRDefault="000470AA" w:rsidP="000470AA">
            <w:pPr>
              <w:rPr>
                <w:rFonts w:asciiTheme="majorHAnsi" w:hAnsiTheme="majorHAnsi"/>
                <w:sz w:val="18"/>
              </w:rPr>
            </w:pPr>
            <w:r w:rsidRPr="0095396F">
              <w:rPr>
                <w:rFonts w:asciiTheme="majorHAnsi" w:hAnsiTheme="majorHAnsi"/>
                <w:noProof/>
                <w:sz w:val="20"/>
                <w:lang w:eastAsia="pl-PL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95396F" w:rsidRDefault="000470AA" w:rsidP="000470AA">
            <w:pPr>
              <w:rPr>
                <w:rFonts w:asciiTheme="majorHAnsi" w:hAnsiTheme="majorHAnsi"/>
                <w:sz w:val="18"/>
              </w:rPr>
            </w:pPr>
            <w:r w:rsidRPr="0095396F">
              <w:rPr>
                <w:rFonts w:asciiTheme="majorHAnsi" w:hAnsiTheme="majorHAnsi"/>
                <w:sz w:val="20"/>
              </w:rPr>
              <w:t>@GUS_STAT</w:t>
            </w:r>
          </w:p>
        </w:tc>
      </w:tr>
      <w:tr w:rsidR="000470AA" w:rsidRPr="0095396F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95396F" w:rsidRDefault="000470AA" w:rsidP="000470AA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95396F" w:rsidRDefault="000470AA" w:rsidP="000470AA">
            <w:pPr>
              <w:rPr>
                <w:rFonts w:asciiTheme="majorHAnsi" w:hAnsiTheme="majorHAnsi"/>
                <w:sz w:val="18"/>
              </w:rPr>
            </w:pPr>
            <w:r w:rsidRPr="0095396F">
              <w:rPr>
                <w:rFonts w:asciiTheme="majorHAnsi" w:hAnsiTheme="majorHAnsi"/>
                <w:noProof/>
                <w:sz w:val="20"/>
                <w:lang w:eastAsia="pl-PL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95396F" w:rsidRDefault="000470AA" w:rsidP="000470AA">
            <w:pPr>
              <w:rPr>
                <w:rFonts w:asciiTheme="majorHAnsi" w:hAnsiTheme="majorHAnsi"/>
                <w:sz w:val="20"/>
              </w:rPr>
            </w:pPr>
            <w:r w:rsidRPr="0095396F">
              <w:rPr>
                <w:rFonts w:asciiTheme="majorHAnsi" w:hAnsiTheme="majorHAnsi"/>
                <w:sz w:val="20"/>
              </w:rPr>
              <w:t>@GlownyUrzadStatystyczny</w:t>
            </w:r>
          </w:p>
        </w:tc>
      </w:tr>
    </w:tbl>
    <w:p w:rsidR="00D261A2" w:rsidRPr="0095396F" w:rsidRDefault="00A2520C" w:rsidP="00E76D26">
      <w:pPr>
        <w:rPr>
          <w:rFonts w:asciiTheme="majorHAnsi" w:hAnsiTheme="majorHAnsi"/>
          <w:sz w:val="18"/>
        </w:rPr>
      </w:pPr>
      <w:r>
        <w:rPr>
          <w:rFonts w:asciiTheme="majorHAnsi" w:hAnsiTheme="majorHAnsi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425450</wp:posOffset>
                </wp:positionV>
                <wp:extent cx="6559550" cy="4443095"/>
                <wp:effectExtent l="0" t="0" r="12700" b="146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F5B" w:rsidRDefault="00431F5B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431F5B" w:rsidRPr="00D641C9" w:rsidRDefault="00431F5B" w:rsidP="00AB6D25">
                            <w:pPr>
                              <w:rPr>
                                <w:b/>
                              </w:rPr>
                            </w:pPr>
                            <w:r w:rsidRPr="00D641C9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431F5B" w:rsidRPr="001267F4" w:rsidRDefault="001A4D4B" w:rsidP="00AB6D25">
                            <w:pPr>
                              <w:rPr>
                                <w:rStyle w:val="Hipercze"/>
                                <w:rFonts w:cstheme="minorBidi"/>
                              </w:rPr>
                            </w:pPr>
                            <w:r>
                              <w:fldChar w:fldCharType="begin"/>
                            </w:r>
                            <w:r w:rsidR="00431F5B">
                              <w:instrText xml:space="preserve"> HYPERLINK "http://stat.gov.pl/obszary-tematyczne/ceny-handel/handel/rynek-wewnetrzny-w-2016-r-,7,22.html" </w:instrText>
                            </w:r>
                            <w:r>
                              <w:fldChar w:fldCharType="separate"/>
                            </w:r>
                            <w:r w:rsidR="00431F5B" w:rsidRPr="001267F4">
                              <w:rPr>
                                <w:rStyle w:val="Hipercze"/>
                                <w:rFonts w:cstheme="minorBidi"/>
                              </w:rPr>
                              <w:t>Rynek wewnętrzny w 2016 r.</w:t>
                            </w:r>
                          </w:p>
                          <w:p w:rsidR="00431F5B" w:rsidRPr="000B6DA7" w:rsidRDefault="001A4D4B" w:rsidP="00AB6D25">
                            <w:pPr>
                              <w:rPr>
                                <w:b/>
                                <w:color w:val="001D77"/>
                                <w:szCs w:val="24"/>
                              </w:rPr>
                            </w:pPr>
                            <w:r>
                              <w:fldChar w:fldCharType="end"/>
                            </w:r>
                          </w:p>
                          <w:p w:rsidR="00431F5B" w:rsidRPr="00D641C9" w:rsidRDefault="00431F5B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D641C9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431F5B" w:rsidRPr="001267F4" w:rsidRDefault="001A4D4B" w:rsidP="00AB6D25">
                            <w:pPr>
                              <w:rPr>
                                <w:rStyle w:val="Hipercze"/>
                                <w:rFonts w:cstheme="minorBidi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fldChar w:fldCharType="begin"/>
                            </w:r>
                            <w:r w:rsidR="00431F5B">
                              <w:rPr>
                                <w:szCs w:val="24"/>
                              </w:rPr>
                              <w:instrText xml:space="preserve"> HYPERLINK "http://swaid.stat.gov.pl/SitePagesDBW/HandelUslugi.aspx" </w:instrText>
                            </w:r>
                            <w:r>
                              <w:rPr>
                                <w:szCs w:val="24"/>
                              </w:rPr>
                              <w:fldChar w:fldCharType="separate"/>
                            </w:r>
                            <w:r w:rsidR="00431F5B" w:rsidRPr="001267F4">
                              <w:rPr>
                                <w:rStyle w:val="Hipercze"/>
                                <w:rFonts w:cstheme="minorBidi"/>
                                <w:szCs w:val="24"/>
                              </w:rPr>
                              <w:t>Dziedzinowa Baza Wiedzy-Handel I Usługi</w:t>
                            </w:r>
                          </w:p>
                          <w:p w:rsidR="00431F5B" w:rsidRPr="000B6DA7" w:rsidRDefault="001A4D4B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fldChar w:fldCharType="end"/>
                            </w:r>
                          </w:p>
                          <w:p w:rsidR="00431F5B" w:rsidRDefault="00431F5B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431F5B" w:rsidRPr="001267F4" w:rsidRDefault="001A4D4B" w:rsidP="00AB6D25">
                            <w:pPr>
                              <w:rPr>
                                <w:rStyle w:val="Hipercze"/>
                                <w:rFonts w:cstheme="minorBidi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fldChar w:fldCharType="begin"/>
                            </w:r>
                            <w:r w:rsidR="00431F5B">
                              <w:rPr>
                                <w:szCs w:val="24"/>
                              </w:rPr>
                              <w:instrText xml:space="preserve"> HYPERLINK "http://stat.gov.pl/metainformacje/slownik-pojec/pojecia-stosowane-w-statystyce-publicznej/473,pojecie.html" </w:instrText>
                            </w:r>
                            <w:r>
                              <w:rPr>
                                <w:szCs w:val="24"/>
                              </w:rPr>
                              <w:fldChar w:fldCharType="separate"/>
                            </w:r>
                            <w:r w:rsidR="00431F5B" w:rsidRPr="001267F4">
                              <w:rPr>
                                <w:rStyle w:val="Hipercze"/>
                                <w:rFonts w:cstheme="minorBidi"/>
                                <w:szCs w:val="24"/>
                              </w:rPr>
                              <w:t>Sprzedaż detaliczna towarów</w:t>
                            </w:r>
                          </w:p>
                          <w:p w:rsidR="00431F5B" w:rsidRPr="003D7F37" w:rsidRDefault="001A4D4B" w:rsidP="00AB6D25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>
                              <w:rPr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1.5pt;margin-top:33.5pt;width:516.5pt;height:34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ChLsEC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:rsidR="00431F5B" w:rsidRDefault="00431F5B" w:rsidP="00AB6D25">
                      <w:pPr>
                        <w:rPr>
                          <w:b/>
                        </w:rPr>
                      </w:pPr>
                    </w:p>
                    <w:p w:rsidR="00431F5B" w:rsidRPr="00D641C9" w:rsidRDefault="00431F5B" w:rsidP="00AB6D25">
                      <w:pPr>
                        <w:rPr>
                          <w:b/>
                        </w:rPr>
                      </w:pPr>
                      <w:r w:rsidRPr="00D641C9">
                        <w:rPr>
                          <w:b/>
                        </w:rPr>
                        <w:t>Powiązane opracowania</w:t>
                      </w:r>
                    </w:p>
                    <w:p w:rsidR="00431F5B" w:rsidRPr="001267F4" w:rsidRDefault="001A4D4B" w:rsidP="00AB6D25">
                      <w:pPr>
                        <w:rPr>
                          <w:rStyle w:val="Hipercze"/>
                          <w:rFonts w:cstheme="minorBidi"/>
                        </w:rPr>
                      </w:pPr>
                      <w:r>
                        <w:fldChar w:fldCharType="begin"/>
                      </w:r>
                      <w:r w:rsidR="00431F5B">
                        <w:instrText xml:space="preserve"> HYPERLINK "http://stat.gov.pl/obszary-tematyczne/ceny-handel/handel/rynek-wewnetrzny-w-2016-r-,7,22.html" </w:instrText>
                      </w:r>
                      <w:r>
                        <w:fldChar w:fldCharType="separate"/>
                      </w:r>
                      <w:r w:rsidR="00431F5B" w:rsidRPr="001267F4">
                        <w:rPr>
                          <w:rStyle w:val="Hipercze"/>
                          <w:rFonts w:cstheme="minorBidi"/>
                        </w:rPr>
                        <w:t>Rynek wewnętrzny w 2016 r.</w:t>
                      </w:r>
                    </w:p>
                    <w:p w:rsidR="00431F5B" w:rsidRPr="000B6DA7" w:rsidRDefault="001A4D4B" w:rsidP="00AB6D25">
                      <w:pPr>
                        <w:rPr>
                          <w:b/>
                          <w:color w:val="001D77"/>
                          <w:szCs w:val="24"/>
                        </w:rPr>
                      </w:pPr>
                      <w:r>
                        <w:fldChar w:fldCharType="end"/>
                      </w:r>
                    </w:p>
                    <w:p w:rsidR="00431F5B" w:rsidRPr="00D641C9" w:rsidRDefault="00431F5B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D641C9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431F5B" w:rsidRPr="001267F4" w:rsidRDefault="001A4D4B" w:rsidP="00AB6D25">
                      <w:pPr>
                        <w:rPr>
                          <w:rStyle w:val="Hipercze"/>
                          <w:rFonts w:cstheme="minorBidi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fldChar w:fldCharType="begin"/>
                      </w:r>
                      <w:r w:rsidR="00431F5B">
                        <w:rPr>
                          <w:szCs w:val="24"/>
                        </w:rPr>
                        <w:instrText xml:space="preserve"> HYPERLINK "http://swaid.stat.gov.pl/SitePagesDBW/HandelUslugi.aspx" </w:instrText>
                      </w:r>
                      <w:r>
                        <w:rPr>
                          <w:szCs w:val="24"/>
                        </w:rPr>
                        <w:fldChar w:fldCharType="separate"/>
                      </w:r>
                      <w:r w:rsidR="00431F5B" w:rsidRPr="001267F4">
                        <w:rPr>
                          <w:rStyle w:val="Hipercze"/>
                          <w:rFonts w:cstheme="minorBidi"/>
                          <w:szCs w:val="24"/>
                        </w:rPr>
                        <w:t>Dziedzinowa Baza Wiedzy-Handel I Usługi</w:t>
                      </w:r>
                    </w:p>
                    <w:p w:rsidR="00431F5B" w:rsidRPr="000B6DA7" w:rsidRDefault="001A4D4B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fldChar w:fldCharType="end"/>
                      </w:r>
                    </w:p>
                    <w:p w:rsidR="00431F5B" w:rsidRDefault="00431F5B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431F5B" w:rsidRPr="001267F4" w:rsidRDefault="001A4D4B" w:rsidP="00AB6D25">
                      <w:pPr>
                        <w:rPr>
                          <w:rStyle w:val="Hipercze"/>
                          <w:rFonts w:cstheme="minorBidi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fldChar w:fldCharType="begin"/>
                      </w:r>
                      <w:r w:rsidR="00431F5B">
                        <w:rPr>
                          <w:szCs w:val="24"/>
                        </w:rPr>
                        <w:instrText xml:space="preserve"> HYPERLINK "http://stat.gov.pl/metainformacje/slownik-pojec/pojecia-stosowane-w-statystyce-publicznej/473,pojecie.html" </w:instrText>
                      </w:r>
                      <w:r>
                        <w:rPr>
                          <w:szCs w:val="24"/>
                        </w:rPr>
                        <w:fldChar w:fldCharType="separate"/>
                      </w:r>
                      <w:r w:rsidR="00431F5B" w:rsidRPr="001267F4">
                        <w:rPr>
                          <w:rStyle w:val="Hipercze"/>
                          <w:rFonts w:cstheme="minorBidi"/>
                          <w:szCs w:val="24"/>
                        </w:rPr>
                        <w:t>Sprzedaż detaliczna towarów</w:t>
                      </w:r>
                    </w:p>
                    <w:p w:rsidR="00431F5B" w:rsidRPr="003D7F37" w:rsidRDefault="001A4D4B" w:rsidP="00AB6D25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>
                        <w:rPr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95396F" w:rsidSect="006A2E6E">
      <w:headerReference w:type="default" r:id="rId27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C4A" w:rsidRDefault="00E00C4A" w:rsidP="000662E2">
      <w:pPr>
        <w:spacing w:after="0" w:line="240" w:lineRule="auto"/>
      </w:pPr>
      <w:r>
        <w:separator/>
      </w:r>
    </w:p>
  </w:endnote>
  <w:endnote w:type="continuationSeparator" w:id="0">
    <w:p w:rsidR="00E00C4A" w:rsidRDefault="00E00C4A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82660"/>
      <w:docPartObj>
        <w:docPartGallery w:val="Page Numbers (Bottom of Page)"/>
        <w:docPartUnique/>
      </w:docPartObj>
    </w:sdtPr>
    <w:sdtEndPr/>
    <w:sdtContent>
      <w:p w:rsidR="00431F5B" w:rsidRDefault="001A4D4B">
        <w:pPr>
          <w:pStyle w:val="Stopka"/>
          <w:jc w:val="center"/>
        </w:pPr>
        <w:r>
          <w:fldChar w:fldCharType="begin"/>
        </w:r>
        <w:r w:rsidR="00046397">
          <w:instrText xml:space="preserve"> PAGE   \* MERGEFORMAT </w:instrText>
        </w:r>
        <w:r>
          <w:fldChar w:fldCharType="separate"/>
        </w:r>
        <w:r w:rsidR="00645C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1F5B" w:rsidRDefault="00431F5B" w:rsidP="002A6115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82659"/>
      <w:docPartObj>
        <w:docPartGallery w:val="Page Numbers (Bottom of Page)"/>
        <w:docPartUnique/>
      </w:docPartObj>
    </w:sdtPr>
    <w:sdtEndPr/>
    <w:sdtContent>
      <w:p w:rsidR="00431F5B" w:rsidRDefault="001A4D4B" w:rsidP="002A6115">
        <w:pPr>
          <w:pStyle w:val="Stopka"/>
          <w:jc w:val="center"/>
        </w:pPr>
        <w:r>
          <w:fldChar w:fldCharType="begin"/>
        </w:r>
        <w:r w:rsidR="00046397">
          <w:instrText xml:space="preserve"> PAGE   \* MERGEFORMAT </w:instrText>
        </w:r>
        <w:r>
          <w:fldChar w:fldCharType="separate"/>
        </w:r>
        <w:r w:rsidR="00645C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1F5B" w:rsidRDefault="00431F5B" w:rsidP="002A61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C4A" w:rsidRDefault="00E00C4A" w:rsidP="000662E2">
      <w:pPr>
        <w:spacing w:after="0" w:line="240" w:lineRule="auto"/>
      </w:pPr>
      <w:r>
        <w:separator/>
      </w:r>
    </w:p>
  </w:footnote>
  <w:footnote w:type="continuationSeparator" w:id="0">
    <w:p w:rsidR="00E00C4A" w:rsidRDefault="00E00C4A" w:rsidP="000662E2">
      <w:pPr>
        <w:spacing w:after="0" w:line="240" w:lineRule="auto"/>
      </w:pPr>
      <w:r>
        <w:continuationSeparator/>
      </w:r>
    </w:p>
  </w:footnote>
  <w:footnote w:id="1">
    <w:p w:rsidR="00431F5B" w:rsidRDefault="00431F5B" w:rsidP="006343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46AB">
        <w:rPr>
          <w:sz w:val="16"/>
          <w:szCs w:val="16"/>
        </w:rPr>
        <w:t>Dane dotyczą przedsiębiorstw handlowych i niehandlowych o liczbie pracujących powyżej 9 osób. Grupow</w:t>
      </w:r>
      <w:r w:rsidRPr="00EA46AB">
        <w:rPr>
          <w:sz w:val="16"/>
          <w:szCs w:val="16"/>
        </w:rPr>
        <w:t>a</w:t>
      </w:r>
      <w:r w:rsidRPr="00EA46AB">
        <w:rPr>
          <w:sz w:val="16"/>
          <w:szCs w:val="16"/>
        </w:rPr>
        <w:t>nia przedsiębiorstw dokonano na podstawie Polskiej Klasyfikacji Działalności 2007 (PKD 2007), zaliczając przedsiębiorstwo do określonej kategorii według przeważającego rodzaju działalności, zgodnie z aktualnym w</w:t>
      </w:r>
      <w:r>
        <w:rPr>
          <w:sz w:val="16"/>
          <w:szCs w:val="16"/>
        </w:rPr>
        <w:t> </w:t>
      </w:r>
      <w:r w:rsidRPr="00EA46AB">
        <w:rPr>
          <w:sz w:val="16"/>
          <w:szCs w:val="16"/>
        </w:rPr>
        <w:t>omawianym okresie stanem organizacyjnym. Odnotowane zmiany (wzrost/spadek) wolumenu sprzedaży detalicznej w</w:t>
      </w:r>
      <w:r>
        <w:rPr>
          <w:sz w:val="16"/>
          <w:szCs w:val="16"/>
        </w:rPr>
        <w:t> </w:t>
      </w:r>
      <w:r w:rsidRPr="00EA46AB">
        <w:rPr>
          <w:sz w:val="16"/>
          <w:szCs w:val="16"/>
        </w:rPr>
        <w:t>poszczególnych grupach rodzajów działalności przedsiębiorstw mogą zatem również wynikać ze</w:t>
      </w:r>
      <w:r>
        <w:rPr>
          <w:sz w:val="16"/>
          <w:szCs w:val="16"/>
        </w:rPr>
        <w:t> </w:t>
      </w:r>
      <w:r w:rsidRPr="00EA46AB">
        <w:rPr>
          <w:sz w:val="16"/>
          <w:szCs w:val="16"/>
        </w:rPr>
        <w:t>zmiany przeważającego rodzaju działalności przedsiębiorstwa oraz zmian organizacyjnych (np. połączenia przedsiębiorstw). Nie ma to wpływu na dynamikę sprzedaży detalicznej ogółem.</w:t>
      </w:r>
    </w:p>
  </w:footnote>
  <w:footnote w:id="2">
    <w:p w:rsidR="00C90628" w:rsidRDefault="00C90628" w:rsidP="006343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90628">
        <w:rPr>
          <w:sz w:val="16"/>
          <w:szCs w:val="16"/>
        </w:rPr>
        <w:t>W danych narastających uwzględniono korekty dokonane przez jednostki sprawozdawcze</w:t>
      </w:r>
      <w:r w:rsidR="00E343DD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F5B" w:rsidRDefault="00A2520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7F106D9" id="Prostokąt 24" o:spid="_x0000_s1026" style="position:absolute;margin-left:410.6pt;margin-top:-14.05pt;width:147.6pt;height:178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431F5B" w:rsidRDefault="00431F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F5B" w:rsidRDefault="0088559B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3FB001C0" wp14:editId="5E40073B">
          <wp:extent cx="2286000" cy="742950"/>
          <wp:effectExtent l="0" t="0" r="0" b="0"/>
          <wp:docPr id="14" name="Obraz 14" descr="as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s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520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31F5B" w:rsidRPr="003C6C8D" w:rsidRDefault="00431F5B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Schemat blokowy: opóźnienie 6" o:spid="_x0000_s1032" style="position:absolute;margin-left:396.6pt;margin-top:15.65pt;width:162.25pt;height:28.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431F5B" w:rsidRPr="003C6C8D" w:rsidRDefault="00431F5B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A2520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1A71BE4" id="Prostokąt 10" o:spid="_x0000_s1026" style="position:absolute;margin-left:410.95pt;margin-top:40.3pt;width:147.4pt;height:180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</w:p>
  <w:p w:rsidR="00431F5B" w:rsidRDefault="00A2520C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1F5B" w:rsidRPr="00C97596" w:rsidRDefault="00431F5B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A948AE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.0</w:t>
                          </w:r>
                          <w:r w:rsidR="00A948AE">
                            <w:rPr>
                              <w:rFonts w:ascii="Fira Sans SemiBold" w:hAnsi="Fira Sans SemiBold"/>
                              <w:color w:val="001D77"/>
                            </w:rPr>
                            <w:t>6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.2018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1pt;margin-top:20.95pt;width:112.8pt;height:2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431F5B" w:rsidRPr="00C97596" w:rsidRDefault="00431F5B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A948AE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.0</w:t>
                    </w:r>
                    <w:r w:rsidR="00A948AE">
                      <w:rPr>
                        <w:rFonts w:ascii="Fira Sans SemiBold" w:hAnsi="Fira Sans SemiBold"/>
                        <w:color w:val="001D77"/>
                      </w:rPr>
                      <w:t>6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.2018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F5B" w:rsidRDefault="00431F5B">
    <w:pPr>
      <w:pStyle w:val="Nagwek"/>
    </w:pPr>
  </w:p>
  <w:p w:rsidR="00431F5B" w:rsidRDefault="00431F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75pt;height:125.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75pt;height:125.25pt;visibility:visible;mso-wrap-style:squar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D694922"/>
    <w:multiLevelType w:val="hybridMultilevel"/>
    <w:tmpl w:val="B5CE4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0D1616F"/>
    <w:multiLevelType w:val="hybridMultilevel"/>
    <w:tmpl w:val="41DAC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6804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C5B"/>
    <w:rsid w:val="00003437"/>
    <w:rsid w:val="0000709F"/>
    <w:rsid w:val="000108B8"/>
    <w:rsid w:val="000144A9"/>
    <w:rsid w:val="00014BC5"/>
    <w:rsid w:val="000152F5"/>
    <w:rsid w:val="00017FFE"/>
    <w:rsid w:val="00023A16"/>
    <w:rsid w:val="00024A57"/>
    <w:rsid w:val="00027951"/>
    <w:rsid w:val="00030E7A"/>
    <w:rsid w:val="000361A2"/>
    <w:rsid w:val="00036905"/>
    <w:rsid w:val="000419AC"/>
    <w:rsid w:val="00041A97"/>
    <w:rsid w:val="0004582E"/>
    <w:rsid w:val="00045FF7"/>
    <w:rsid w:val="00046397"/>
    <w:rsid w:val="000470AA"/>
    <w:rsid w:val="00053DD8"/>
    <w:rsid w:val="00057CA1"/>
    <w:rsid w:val="000662E2"/>
    <w:rsid w:val="00066883"/>
    <w:rsid w:val="00074DD8"/>
    <w:rsid w:val="00080236"/>
    <w:rsid w:val="000806F7"/>
    <w:rsid w:val="00081C7F"/>
    <w:rsid w:val="0008767F"/>
    <w:rsid w:val="000B0442"/>
    <w:rsid w:val="000B0727"/>
    <w:rsid w:val="000B62AD"/>
    <w:rsid w:val="000B6DA7"/>
    <w:rsid w:val="000C135D"/>
    <w:rsid w:val="000C4971"/>
    <w:rsid w:val="000C62BC"/>
    <w:rsid w:val="000D1D43"/>
    <w:rsid w:val="000D225C"/>
    <w:rsid w:val="000D2A5C"/>
    <w:rsid w:val="000E0918"/>
    <w:rsid w:val="000F6856"/>
    <w:rsid w:val="001011C3"/>
    <w:rsid w:val="00104902"/>
    <w:rsid w:val="00110D87"/>
    <w:rsid w:val="001119E5"/>
    <w:rsid w:val="00114DB9"/>
    <w:rsid w:val="00116087"/>
    <w:rsid w:val="001267F4"/>
    <w:rsid w:val="00130296"/>
    <w:rsid w:val="00135671"/>
    <w:rsid w:val="001374BF"/>
    <w:rsid w:val="001405BA"/>
    <w:rsid w:val="001423B6"/>
    <w:rsid w:val="001448A7"/>
    <w:rsid w:val="00146621"/>
    <w:rsid w:val="00152273"/>
    <w:rsid w:val="00162325"/>
    <w:rsid w:val="001628ED"/>
    <w:rsid w:val="00162EE7"/>
    <w:rsid w:val="00170EBA"/>
    <w:rsid w:val="00176A3D"/>
    <w:rsid w:val="001815B0"/>
    <w:rsid w:val="00182766"/>
    <w:rsid w:val="00186C26"/>
    <w:rsid w:val="00191512"/>
    <w:rsid w:val="00191E3E"/>
    <w:rsid w:val="001951DA"/>
    <w:rsid w:val="0019732B"/>
    <w:rsid w:val="001A2C7F"/>
    <w:rsid w:val="001A480D"/>
    <w:rsid w:val="001A4D4B"/>
    <w:rsid w:val="001A7C31"/>
    <w:rsid w:val="001B4A82"/>
    <w:rsid w:val="001B4D4D"/>
    <w:rsid w:val="001B727B"/>
    <w:rsid w:val="001C00D5"/>
    <w:rsid w:val="001C3269"/>
    <w:rsid w:val="001C40BE"/>
    <w:rsid w:val="001C5DE2"/>
    <w:rsid w:val="001C6976"/>
    <w:rsid w:val="001D1DB4"/>
    <w:rsid w:val="001D3DD3"/>
    <w:rsid w:val="001D76C2"/>
    <w:rsid w:val="001D7E97"/>
    <w:rsid w:val="001E059C"/>
    <w:rsid w:val="001E6704"/>
    <w:rsid w:val="001F1577"/>
    <w:rsid w:val="001F29DE"/>
    <w:rsid w:val="001F43F9"/>
    <w:rsid w:val="001F67FE"/>
    <w:rsid w:val="00205C7E"/>
    <w:rsid w:val="00205CC3"/>
    <w:rsid w:val="00214797"/>
    <w:rsid w:val="0022081C"/>
    <w:rsid w:val="0022580C"/>
    <w:rsid w:val="002308E2"/>
    <w:rsid w:val="002409A5"/>
    <w:rsid w:val="00247BF8"/>
    <w:rsid w:val="00247E0C"/>
    <w:rsid w:val="0025043C"/>
    <w:rsid w:val="00251AE8"/>
    <w:rsid w:val="0025463B"/>
    <w:rsid w:val="002574F9"/>
    <w:rsid w:val="00261B5D"/>
    <w:rsid w:val="00263223"/>
    <w:rsid w:val="0027555D"/>
    <w:rsid w:val="00276811"/>
    <w:rsid w:val="00282699"/>
    <w:rsid w:val="00287CE2"/>
    <w:rsid w:val="002926DF"/>
    <w:rsid w:val="002947BF"/>
    <w:rsid w:val="00296697"/>
    <w:rsid w:val="002A3375"/>
    <w:rsid w:val="002A6115"/>
    <w:rsid w:val="002B0472"/>
    <w:rsid w:val="002B2088"/>
    <w:rsid w:val="002B5380"/>
    <w:rsid w:val="002B6B12"/>
    <w:rsid w:val="002B731E"/>
    <w:rsid w:val="002C0E78"/>
    <w:rsid w:val="002D0EFC"/>
    <w:rsid w:val="002D12AB"/>
    <w:rsid w:val="002D2D15"/>
    <w:rsid w:val="002E34A6"/>
    <w:rsid w:val="002E6140"/>
    <w:rsid w:val="002E6985"/>
    <w:rsid w:val="002E71B6"/>
    <w:rsid w:val="002F77C8"/>
    <w:rsid w:val="00300D95"/>
    <w:rsid w:val="003045F1"/>
    <w:rsid w:val="00304994"/>
    <w:rsid w:val="00304F22"/>
    <w:rsid w:val="00304F73"/>
    <w:rsid w:val="00306C7C"/>
    <w:rsid w:val="0031243A"/>
    <w:rsid w:val="00312BC1"/>
    <w:rsid w:val="003140EB"/>
    <w:rsid w:val="003154FE"/>
    <w:rsid w:val="00320FEE"/>
    <w:rsid w:val="00322EDD"/>
    <w:rsid w:val="00330A52"/>
    <w:rsid w:val="00332320"/>
    <w:rsid w:val="00336650"/>
    <w:rsid w:val="00341A36"/>
    <w:rsid w:val="00342484"/>
    <w:rsid w:val="0034354B"/>
    <w:rsid w:val="00347D72"/>
    <w:rsid w:val="0035675F"/>
    <w:rsid w:val="00357611"/>
    <w:rsid w:val="00367237"/>
    <w:rsid w:val="0037077F"/>
    <w:rsid w:val="003717FF"/>
    <w:rsid w:val="00373882"/>
    <w:rsid w:val="00374327"/>
    <w:rsid w:val="00375B9E"/>
    <w:rsid w:val="00381472"/>
    <w:rsid w:val="003843DB"/>
    <w:rsid w:val="00384426"/>
    <w:rsid w:val="00390102"/>
    <w:rsid w:val="00393761"/>
    <w:rsid w:val="00397D18"/>
    <w:rsid w:val="00397EE4"/>
    <w:rsid w:val="003A1B36"/>
    <w:rsid w:val="003B1454"/>
    <w:rsid w:val="003B348B"/>
    <w:rsid w:val="003B4DDA"/>
    <w:rsid w:val="003C1FA5"/>
    <w:rsid w:val="003C2CAA"/>
    <w:rsid w:val="003C319C"/>
    <w:rsid w:val="003C5768"/>
    <w:rsid w:val="003C59E0"/>
    <w:rsid w:val="003C5E6A"/>
    <w:rsid w:val="003C6C8D"/>
    <w:rsid w:val="003C7234"/>
    <w:rsid w:val="003D4F95"/>
    <w:rsid w:val="003D5F42"/>
    <w:rsid w:val="003D60A9"/>
    <w:rsid w:val="003D7F37"/>
    <w:rsid w:val="003E543E"/>
    <w:rsid w:val="003F025A"/>
    <w:rsid w:val="003F0625"/>
    <w:rsid w:val="003F3D37"/>
    <w:rsid w:val="003F4C97"/>
    <w:rsid w:val="003F7FE6"/>
    <w:rsid w:val="00400193"/>
    <w:rsid w:val="00415861"/>
    <w:rsid w:val="00416D57"/>
    <w:rsid w:val="0041734F"/>
    <w:rsid w:val="004212E7"/>
    <w:rsid w:val="0042446D"/>
    <w:rsid w:val="00427910"/>
    <w:rsid w:val="00427BF8"/>
    <w:rsid w:val="00431C02"/>
    <w:rsid w:val="00431F5B"/>
    <w:rsid w:val="004358A9"/>
    <w:rsid w:val="00437395"/>
    <w:rsid w:val="00445047"/>
    <w:rsid w:val="004571AA"/>
    <w:rsid w:val="00463E39"/>
    <w:rsid w:val="00464756"/>
    <w:rsid w:val="004657FC"/>
    <w:rsid w:val="004733F6"/>
    <w:rsid w:val="004746B6"/>
    <w:rsid w:val="00474E69"/>
    <w:rsid w:val="00475C07"/>
    <w:rsid w:val="00490249"/>
    <w:rsid w:val="00490822"/>
    <w:rsid w:val="00494051"/>
    <w:rsid w:val="0049621B"/>
    <w:rsid w:val="004A12CA"/>
    <w:rsid w:val="004A579E"/>
    <w:rsid w:val="004A59D6"/>
    <w:rsid w:val="004B06B1"/>
    <w:rsid w:val="004B2970"/>
    <w:rsid w:val="004B55C7"/>
    <w:rsid w:val="004C1895"/>
    <w:rsid w:val="004C6D40"/>
    <w:rsid w:val="004C751F"/>
    <w:rsid w:val="004D10CF"/>
    <w:rsid w:val="004D191A"/>
    <w:rsid w:val="004D3499"/>
    <w:rsid w:val="004D4601"/>
    <w:rsid w:val="004E0C12"/>
    <w:rsid w:val="004E2013"/>
    <w:rsid w:val="004E6D72"/>
    <w:rsid w:val="004F0C3C"/>
    <w:rsid w:val="004F63FC"/>
    <w:rsid w:val="004F7082"/>
    <w:rsid w:val="00505A92"/>
    <w:rsid w:val="00511294"/>
    <w:rsid w:val="00511F40"/>
    <w:rsid w:val="005151CB"/>
    <w:rsid w:val="005170C9"/>
    <w:rsid w:val="005203F1"/>
    <w:rsid w:val="00521BC3"/>
    <w:rsid w:val="00523949"/>
    <w:rsid w:val="00531673"/>
    <w:rsid w:val="00533632"/>
    <w:rsid w:val="005367C9"/>
    <w:rsid w:val="0054251F"/>
    <w:rsid w:val="00550618"/>
    <w:rsid w:val="005520D8"/>
    <w:rsid w:val="0055439E"/>
    <w:rsid w:val="0055683B"/>
    <w:rsid w:val="00556CF1"/>
    <w:rsid w:val="005708DB"/>
    <w:rsid w:val="00571878"/>
    <w:rsid w:val="005737E1"/>
    <w:rsid w:val="005762A7"/>
    <w:rsid w:val="0058303B"/>
    <w:rsid w:val="00584889"/>
    <w:rsid w:val="0059097C"/>
    <w:rsid w:val="005916D7"/>
    <w:rsid w:val="00592561"/>
    <w:rsid w:val="00592B0A"/>
    <w:rsid w:val="0059505B"/>
    <w:rsid w:val="00596627"/>
    <w:rsid w:val="005A04D8"/>
    <w:rsid w:val="005A698C"/>
    <w:rsid w:val="005B23AA"/>
    <w:rsid w:val="005B390A"/>
    <w:rsid w:val="005B399D"/>
    <w:rsid w:val="005B6AAA"/>
    <w:rsid w:val="005C08E7"/>
    <w:rsid w:val="005C211C"/>
    <w:rsid w:val="005C5F08"/>
    <w:rsid w:val="005C6163"/>
    <w:rsid w:val="005E0113"/>
    <w:rsid w:val="005E0799"/>
    <w:rsid w:val="005E5B01"/>
    <w:rsid w:val="005F271E"/>
    <w:rsid w:val="005F45A0"/>
    <w:rsid w:val="005F5A80"/>
    <w:rsid w:val="005F6E76"/>
    <w:rsid w:val="00601C27"/>
    <w:rsid w:val="006044FF"/>
    <w:rsid w:val="00607CC5"/>
    <w:rsid w:val="00630E43"/>
    <w:rsid w:val="00633014"/>
    <w:rsid w:val="00634344"/>
    <w:rsid w:val="0063437B"/>
    <w:rsid w:val="0063751F"/>
    <w:rsid w:val="00645CFE"/>
    <w:rsid w:val="006477C5"/>
    <w:rsid w:val="00652748"/>
    <w:rsid w:val="006534EB"/>
    <w:rsid w:val="00655451"/>
    <w:rsid w:val="0065725B"/>
    <w:rsid w:val="006653DF"/>
    <w:rsid w:val="006673CA"/>
    <w:rsid w:val="00673C26"/>
    <w:rsid w:val="00677D27"/>
    <w:rsid w:val="00680FFF"/>
    <w:rsid w:val="006812AE"/>
    <w:rsid w:val="006812AF"/>
    <w:rsid w:val="0068327D"/>
    <w:rsid w:val="00683E97"/>
    <w:rsid w:val="00694AF0"/>
    <w:rsid w:val="006A2E6E"/>
    <w:rsid w:val="006A5E06"/>
    <w:rsid w:val="006B0E9E"/>
    <w:rsid w:val="006B4E41"/>
    <w:rsid w:val="006B5AE4"/>
    <w:rsid w:val="006B7D5F"/>
    <w:rsid w:val="006C5460"/>
    <w:rsid w:val="006C623C"/>
    <w:rsid w:val="006C6B63"/>
    <w:rsid w:val="006D4054"/>
    <w:rsid w:val="006E02EC"/>
    <w:rsid w:val="006E375C"/>
    <w:rsid w:val="006E760C"/>
    <w:rsid w:val="006F27A0"/>
    <w:rsid w:val="006F2ACE"/>
    <w:rsid w:val="0070043C"/>
    <w:rsid w:val="007008C0"/>
    <w:rsid w:val="00710EF8"/>
    <w:rsid w:val="00714FE8"/>
    <w:rsid w:val="007211B1"/>
    <w:rsid w:val="00721B78"/>
    <w:rsid w:val="007222EA"/>
    <w:rsid w:val="007231F7"/>
    <w:rsid w:val="00725B6D"/>
    <w:rsid w:val="007275AD"/>
    <w:rsid w:val="007276BA"/>
    <w:rsid w:val="00736BF5"/>
    <w:rsid w:val="00746187"/>
    <w:rsid w:val="0075382D"/>
    <w:rsid w:val="0076254F"/>
    <w:rsid w:val="00767D0E"/>
    <w:rsid w:val="007744FB"/>
    <w:rsid w:val="00777720"/>
    <w:rsid w:val="007801F5"/>
    <w:rsid w:val="00783CA4"/>
    <w:rsid w:val="007842FB"/>
    <w:rsid w:val="00786124"/>
    <w:rsid w:val="0079514B"/>
    <w:rsid w:val="007A2DC1"/>
    <w:rsid w:val="007A7CE5"/>
    <w:rsid w:val="007B6930"/>
    <w:rsid w:val="007C0ED6"/>
    <w:rsid w:val="007C59C8"/>
    <w:rsid w:val="007C5F7B"/>
    <w:rsid w:val="007C61E6"/>
    <w:rsid w:val="007C70C7"/>
    <w:rsid w:val="007C7266"/>
    <w:rsid w:val="007C7794"/>
    <w:rsid w:val="007D0724"/>
    <w:rsid w:val="007D3319"/>
    <w:rsid w:val="007D335D"/>
    <w:rsid w:val="007D5126"/>
    <w:rsid w:val="007D6054"/>
    <w:rsid w:val="007E3314"/>
    <w:rsid w:val="007E4B03"/>
    <w:rsid w:val="007F324B"/>
    <w:rsid w:val="007F3AFA"/>
    <w:rsid w:val="007F6DE4"/>
    <w:rsid w:val="00803CA5"/>
    <w:rsid w:val="008046D8"/>
    <w:rsid w:val="0080553C"/>
    <w:rsid w:val="0080593C"/>
    <w:rsid w:val="00805B46"/>
    <w:rsid w:val="00813A58"/>
    <w:rsid w:val="00813C08"/>
    <w:rsid w:val="0082299D"/>
    <w:rsid w:val="00825389"/>
    <w:rsid w:val="00825DC2"/>
    <w:rsid w:val="00827172"/>
    <w:rsid w:val="008271F3"/>
    <w:rsid w:val="00831736"/>
    <w:rsid w:val="00834AD3"/>
    <w:rsid w:val="00837579"/>
    <w:rsid w:val="00841284"/>
    <w:rsid w:val="00843795"/>
    <w:rsid w:val="00845B99"/>
    <w:rsid w:val="00846013"/>
    <w:rsid w:val="00847F0F"/>
    <w:rsid w:val="00852448"/>
    <w:rsid w:val="008564CD"/>
    <w:rsid w:val="00864639"/>
    <w:rsid w:val="00864A6F"/>
    <w:rsid w:val="0088258A"/>
    <w:rsid w:val="0088559B"/>
    <w:rsid w:val="00886332"/>
    <w:rsid w:val="008872DA"/>
    <w:rsid w:val="008A26D9"/>
    <w:rsid w:val="008A3CF7"/>
    <w:rsid w:val="008A7E9F"/>
    <w:rsid w:val="008B4E1D"/>
    <w:rsid w:val="008B79E9"/>
    <w:rsid w:val="008C0C29"/>
    <w:rsid w:val="008C5482"/>
    <w:rsid w:val="008D219B"/>
    <w:rsid w:val="008D4BB8"/>
    <w:rsid w:val="008E2346"/>
    <w:rsid w:val="008F3638"/>
    <w:rsid w:val="008F6F31"/>
    <w:rsid w:val="008F74DF"/>
    <w:rsid w:val="008F7AED"/>
    <w:rsid w:val="00901860"/>
    <w:rsid w:val="00901D58"/>
    <w:rsid w:val="00902E2A"/>
    <w:rsid w:val="009127BA"/>
    <w:rsid w:val="00913B37"/>
    <w:rsid w:val="00914B36"/>
    <w:rsid w:val="00921356"/>
    <w:rsid w:val="009227A6"/>
    <w:rsid w:val="00933EC1"/>
    <w:rsid w:val="00942C04"/>
    <w:rsid w:val="00950B93"/>
    <w:rsid w:val="009530DB"/>
    <w:rsid w:val="00953676"/>
    <w:rsid w:val="0095396F"/>
    <w:rsid w:val="00954E87"/>
    <w:rsid w:val="00957ADF"/>
    <w:rsid w:val="00961A2C"/>
    <w:rsid w:val="0096306A"/>
    <w:rsid w:val="009705EE"/>
    <w:rsid w:val="00976445"/>
    <w:rsid w:val="00977927"/>
    <w:rsid w:val="0098135C"/>
    <w:rsid w:val="0098156A"/>
    <w:rsid w:val="00984123"/>
    <w:rsid w:val="00986283"/>
    <w:rsid w:val="00991BAC"/>
    <w:rsid w:val="0099491E"/>
    <w:rsid w:val="009A195F"/>
    <w:rsid w:val="009A6EA0"/>
    <w:rsid w:val="009B18E4"/>
    <w:rsid w:val="009B247E"/>
    <w:rsid w:val="009B7550"/>
    <w:rsid w:val="009B7B99"/>
    <w:rsid w:val="009C0F29"/>
    <w:rsid w:val="009C1335"/>
    <w:rsid w:val="009C1AB2"/>
    <w:rsid w:val="009C6ACB"/>
    <w:rsid w:val="009C7251"/>
    <w:rsid w:val="009E2E91"/>
    <w:rsid w:val="00A016A3"/>
    <w:rsid w:val="00A026C5"/>
    <w:rsid w:val="00A036C0"/>
    <w:rsid w:val="00A139F5"/>
    <w:rsid w:val="00A1582C"/>
    <w:rsid w:val="00A2083E"/>
    <w:rsid w:val="00A24F88"/>
    <w:rsid w:val="00A2520C"/>
    <w:rsid w:val="00A258DA"/>
    <w:rsid w:val="00A30891"/>
    <w:rsid w:val="00A3190C"/>
    <w:rsid w:val="00A365F4"/>
    <w:rsid w:val="00A43DCF"/>
    <w:rsid w:val="00A44540"/>
    <w:rsid w:val="00A463CC"/>
    <w:rsid w:val="00A47D80"/>
    <w:rsid w:val="00A53132"/>
    <w:rsid w:val="00A563F2"/>
    <w:rsid w:val="00A566E8"/>
    <w:rsid w:val="00A770D7"/>
    <w:rsid w:val="00A810F9"/>
    <w:rsid w:val="00A84587"/>
    <w:rsid w:val="00A86ECC"/>
    <w:rsid w:val="00A86FCC"/>
    <w:rsid w:val="00A91253"/>
    <w:rsid w:val="00A92760"/>
    <w:rsid w:val="00A930B2"/>
    <w:rsid w:val="00A94360"/>
    <w:rsid w:val="00A948AE"/>
    <w:rsid w:val="00A96186"/>
    <w:rsid w:val="00A97F4D"/>
    <w:rsid w:val="00AA710D"/>
    <w:rsid w:val="00AB11B1"/>
    <w:rsid w:val="00AB1DC9"/>
    <w:rsid w:val="00AB6D25"/>
    <w:rsid w:val="00AC1D06"/>
    <w:rsid w:val="00AC26E1"/>
    <w:rsid w:val="00AC5132"/>
    <w:rsid w:val="00AC64CB"/>
    <w:rsid w:val="00AC750F"/>
    <w:rsid w:val="00AD3888"/>
    <w:rsid w:val="00AE12A5"/>
    <w:rsid w:val="00AE2D4B"/>
    <w:rsid w:val="00AE3402"/>
    <w:rsid w:val="00AE4F99"/>
    <w:rsid w:val="00AF3882"/>
    <w:rsid w:val="00B00908"/>
    <w:rsid w:val="00B0794F"/>
    <w:rsid w:val="00B102BA"/>
    <w:rsid w:val="00B12909"/>
    <w:rsid w:val="00B14952"/>
    <w:rsid w:val="00B25EE8"/>
    <w:rsid w:val="00B2788D"/>
    <w:rsid w:val="00B31984"/>
    <w:rsid w:val="00B31E5A"/>
    <w:rsid w:val="00B33803"/>
    <w:rsid w:val="00B51213"/>
    <w:rsid w:val="00B5309C"/>
    <w:rsid w:val="00B53859"/>
    <w:rsid w:val="00B653AB"/>
    <w:rsid w:val="00B65F9E"/>
    <w:rsid w:val="00B66B19"/>
    <w:rsid w:val="00B701E8"/>
    <w:rsid w:val="00B76271"/>
    <w:rsid w:val="00B818D9"/>
    <w:rsid w:val="00B9064B"/>
    <w:rsid w:val="00B914E9"/>
    <w:rsid w:val="00B956EE"/>
    <w:rsid w:val="00B97152"/>
    <w:rsid w:val="00BA0BBE"/>
    <w:rsid w:val="00BA2BA1"/>
    <w:rsid w:val="00BA3166"/>
    <w:rsid w:val="00BA38B6"/>
    <w:rsid w:val="00BA4B03"/>
    <w:rsid w:val="00BA4DDF"/>
    <w:rsid w:val="00BA6F2C"/>
    <w:rsid w:val="00BA7650"/>
    <w:rsid w:val="00BB4C69"/>
    <w:rsid w:val="00BB4F09"/>
    <w:rsid w:val="00BC4DBC"/>
    <w:rsid w:val="00BD4E33"/>
    <w:rsid w:val="00BD7EC7"/>
    <w:rsid w:val="00BE1D4B"/>
    <w:rsid w:val="00BE698D"/>
    <w:rsid w:val="00BF0126"/>
    <w:rsid w:val="00C030DE"/>
    <w:rsid w:val="00C05E71"/>
    <w:rsid w:val="00C20E37"/>
    <w:rsid w:val="00C2124E"/>
    <w:rsid w:val="00C22105"/>
    <w:rsid w:val="00C244B6"/>
    <w:rsid w:val="00C27062"/>
    <w:rsid w:val="00C3702F"/>
    <w:rsid w:val="00C41B67"/>
    <w:rsid w:val="00C42B1F"/>
    <w:rsid w:val="00C454F9"/>
    <w:rsid w:val="00C4563B"/>
    <w:rsid w:val="00C4683A"/>
    <w:rsid w:val="00C57B89"/>
    <w:rsid w:val="00C62998"/>
    <w:rsid w:val="00C63ADB"/>
    <w:rsid w:val="00C64A37"/>
    <w:rsid w:val="00C7158E"/>
    <w:rsid w:val="00C7250B"/>
    <w:rsid w:val="00C7342B"/>
    <w:rsid w:val="00C7346B"/>
    <w:rsid w:val="00C742AC"/>
    <w:rsid w:val="00C77C0E"/>
    <w:rsid w:val="00C8142C"/>
    <w:rsid w:val="00C81FC1"/>
    <w:rsid w:val="00C90628"/>
    <w:rsid w:val="00C91687"/>
    <w:rsid w:val="00C9245F"/>
    <w:rsid w:val="00C924A8"/>
    <w:rsid w:val="00C93AF0"/>
    <w:rsid w:val="00C943D6"/>
    <w:rsid w:val="00C945FE"/>
    <w:rsid w:val="00C96FAA"/>
    <w:rsid w:val="00C97A04"/>
    <w:rsid w:val="00CA0156"/>
    <w:rsid w:val="00CA091B"/>
    <w:rsid w:val="00CA107B"/>
    <w:rsid w:val="00CA2B43"/>
    <w:rsid w:val="00CA484D"/>
    <w:rsid w:val="00CB1FA3"/>
    <w:rsid w:val="00CB568E"/>
    <w:rsid w:val="00CB67F3"/>
    <w:rsid w:val="00CC55EA"/>
    <w:rsid w:val="00CC739E"/>
    <w:rsid w:val="00CD0521"/>
    <w:rsid w:val="00CD58B7"/>
    <w:rsid w:val="00CE0430"/>
    <w:rsid w:val="00CE40E1"/>
    <w:rsid w:val="00CF3814"/>
    <w:rsid w:val="00CF4099"/>
    <w:rsid w:val="00CF546A"/>
    <w:rsid w:val="00D00796"/>
    <w:rsid w:val="00D06F44"/>
    <w:rsid w:val="00D13520"/>
    <w:rsid w:val="00D2383E"/>
    <w:rsid w:val="00D249F5"/>
    <w:rsid w:val="00D261A2"/>
    <w:rsid w:val="00D3526E"/>
    <w:rsid w:val="00D36BDE"/>
    <w:rsid w:val="00D46791"/>
    <w:rsid w:val="00D517E0"/>
    <w:rsid w:val="00D52F7F"/>
    <w:rsid w:val="00D53C95"/>
    <w:rsid w:val="00D616D2"/>
    <w:rsid w:val="00D63B4A"/>
    <w:rsid w:val="00D63B5F"/>
    <w:rsid w:val="00D641C9"/>
    <w:rsid w:val="00D67CD7"/>
    <w:rsid w:val="00D70EF7"/>
    <w:rsid w:val="00D72A78"/>
    <w:rsid w:val="00D77D45"/>
    <w:rsid w:val="00D8397C"/>
    <w:rsid w:val="00D90D7A"/>
    <w:rsid w:val="00D916CA"/>
    <w:rsid w:val="00D91C65"/>
    <w:rsid w:val="00D94EED"/>
    <w:rsid w:val="00D96026"/>
    <w:rsid w:val="00D96F41"/>
    <w:rsid w:val="00DA3437"/>
    <w:rsid w:val="00DA7C1C"/>
    <w:rsid w:val="00DB147A"/>
    <w:rsid w:val="00DB1B7A"/>
    <w:rsid w:val="00DB4456"/>
    <w:rsid w:val="00DB562E"/>
    <w:rsid w:val="00DC0650"/>
    <w:rsid w:val="00DC5C14"/>
    <w:rsid w:val="00DC6708"/>
    <w:rsid w:val="00DC6B00"/>
    <w:rsid w:val="00DC7C61"/>
    <w:rsid w:val="00DD075D"/>
    <w:rsid w:val="00DE0069"/>
    <w:rsid w:val="00E00C4A"/>
    <w:rsid w:val="00E00E46"/>
    <w:rsid w:val="00E01436"/>
    <w:rsid w:val="00E03481"/>
    <w:rsid w:val="00E045BD"/>
    <w:rsid w:val="00E04B9B"/>
    <w:rsid w:val="00E07365"/>
    <w:rsid w:val="00E11119"/>
    <w:rsid w:val="00E12E48"/>
    <w:rsid w:val="00E12F35"/>
    <w:rsid w:val="00E17B77"/>
    <w:rsid w:val="00E23337"/>
    <w:rsid w:val="00E24BC3"/>
    <w:rsid w:val="00E259EA"/>
    <w:rsid w:val="00E31581"/>
    <w:rsid w:val="00E32061"/>
    <w:rsid w:val="00E343DD"/>
    <w:rsid w:val="00E401D2"/>
    <w:rsid w:val="00E42FF9"/>
    <w:rsid w:val="00E46ABD"/>
    <w:rsid w:val="00E4714C"/>
    <w:rsid w:val="00E51AEB"/>
    <w:rsid w:val="00E522A7"/>
    <w:rsid w:val="00E54452"/>
    <w:rsid w:val="00E55177"/>
    <w:rsid w:val="00E664C5"/>
    <w:rsid w:val="00E664D8"/>
    <w:rsid w:val="00E671A2"/>
    <w:rsid w:val="00E76D26"/>
    <w:rsid w:val="00E80C30"/>
    <w:rsid w:val="00E9065F"/>
    <w:rsid w:val="00EA2B44"/>
    <w:rsid w:val="00EA7DFB"/>
    <w:rsid w:val="00EB0A84"/>
    <w:rsid w:val="00EB1390"/>
    <w:rsid w:val="00EB2C71"/>
    <w:rsid w:val="00EB34FA"/>
    <w:rsid w:val="00EB4340"/>
    <w:rsid w:val="00EB556D"/>
    <w:rsid w:val="00EB5A7D"/>
    <w:rsid w:val="00EB77B3"/>
    <w:rsid w:val="00EC0E14"/>
    <w:rsid w:val="00EC1B6F"/>
    <w:rsid w:val="00EC2683"/>
    <w:rsid w:val="00EC3EA3"/>
    <w:rsid w:val="00ED25A6"/>
    <w:rsid w:val="00ED55C0"/>
    <w:rsid w:val="00ED682B"/>
    <w:rsid w:val="00EE41D5"/>
    <w:rsid w:val="00EE5667"/>
    <w:rsid w:val="00EE795A"/>
    <w:rsid w:val="00F037A4"/>
    <w:rsid w:val="00F14294"/>
    <w:rsid w:val="00F14B02"/>
    <w:rsid w:val="00F156AE"/>
    <w:rsid w:val="00F15EA9"/>
    <w:rsid w:val="00F23CE5"/>
    <w:rsid w:val="00F27C8F"/>
    <w:rsid w:val="00F315CE"/>
    <w:rsid w:val="00F32749"/>
    <w:rsid w:val="00F37172"/>
    <w:rsid w:val="00F42E6E"/>
    <w:rsid w:val="00F4477E"/>
    <w:rsid w:val="00F4527B"/>
    <w:rsid w:val="00F52024"/>
    <w:rsid w:val="00F53896"/>
    <w:rsid w:val="00F563B1"/>
    <w:rsid w:val="00F67BEC"/>
    <w:rsid w:val="00F67D8F"/>
    <w:rsid w:val="00F76F45"/>
    <w:rsid w:val="00F77676"/>
    <w:rsid w:val="00F802BE"/>
    <w:rsid w:val="00F83B03"/>
    <w:rsid w:val="00F85DC4"/>
    <w:rsid w:val="00F86024"/>
    <w:rsid w:val="00F8611A"/>
    <w:rsid w:val="00F962C5"/>
    <w:rsid w:val="00F969AE"/>
    <w:rsid w:val="00FA5128"/>
    <w:rsid w:val="00FB42D4"/>
    <w:rsid w:val="00FB5906"/>
    <w:rsid w:val="00FB762F"/>
    <w:rsid w:val="00FB7B25"/>
    <w:rsid w:val="00FC093D"/>
    <w:rsid w:val="00FC1C4D"/>
    <w:rsid w:val="00FC2AED"/>
    <w:rsid w:val="00FD1BBD"/>
    <w:rsid w:val="00FD2E71"/>
    <w:rsid w:val="00FD3E31"/>
    <w:rsid w:val="00FD5EA7"/>
    <w:rsid w:val="00FE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Default">
    <w:name w:val="Default"/>
    <w:rsid w:val="003C2CAA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6A2E6E"/>
    <w:pPr>
      <w:spacing w:before="0" w:after="200" w:line="240" w:lineRule="auto"/>
    </w:pPr>
    <w:rPr>
      <w:b/>
      <w:bCs/>
      <w:color w:val="5B9BD5" w:themeColor="accent1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770D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Default">
    <w:name w:val="Default"/>
    <w:rsid w:val="003C2CAA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6A2E6E"/>
    <w:pPr>
      <w:spacing w:before="0" w:after="200" w:line="240" w:lineRule="auto"/>
    </w:pPr>
    <w:rPr>
      <w:b/>
      <w:bCs/>
      <w:color w:val="5B9BD5" w:themeColor="accent1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770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0.emf"/><Relationship Id="rId18" Type="http://schemas.openxmlformats.org/officeDocument/2006/relationships/footer" Target="footer1.xml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mailto:j.biernat@stat.gov.pl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3.emf"/><Relationship Id="rId17" Type="http://schemas.openxmlformats.org/officeDocument/2006/relationships/header" Target="header1.xml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0" Type="http://schemas.openxmlformats.org/officeDocument/2006/relationships/footer" Target="foot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chart" Target="charts/chart2.xml"/><Relationship Id="rId23" Type="http://schemas.openxmlformats.org/officeDocument/2006/relationships/hyperlink" Target="mailto:obslugaprasowa@stat.gov.pl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1.xml"/><Relationship Id="rId22" Type="http://schemas.openxmlformats.org/officeDocument/2006/relationships/hyperlink" Target="mailto:rzecznik@stat.gov.pl" TargetMode="External"/><Relationship Id="rId27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3235274029408119E-2"/>
          <c:y val="1.9076923076923082E-2"/>
          <c:w val="0.93325015595757954"/>
          <c:h val="0.7579509075450109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AAA9A9"/>
            </a:solidFill>
            <a:ln w="3175">
              <a:noFill/>
              <a:prstDash val="solid"/>
            </a:ln>
          </c:spPr>
          <c:invertIfNegative val="0"/>
          <c:dPt>
            <c:idx val="36"/>
            <c:invertIfNegative val="0"/>
            <c:bubble3D val="0"/>
          </c:dPt>
          <c:dPt>
            <c:idx val="37"/>
            <c:invertIfNegative val="0"/>
            <c:bubble3D val="0"/>
          </c:dPt>
          <c:dPt>
            <c:idx val="39"/>
            <c:invertIfNegative val="0"/>
            <c:bubble3D val="0"/>
          </c:dPt>
          <c:dPt>
            <c:idx val="40"/>
            <c:invertIfNegative val="0"/>
            <c:bubble3D val="0"/>
            <c:spPr>
              <a:solidFill>
                <a:srgbClr val="001D77"/>
              </a:solidFill>
              <a:ln w="3175">
                <a:noFill/>
                <a:prstDash val="solid"/>
              </a:ln>
            </c:spPr>
          </c:dPt>
          <c:cat>
            <c:multiLvlStrRef>
              <c:f>Arkusz1!$B$53:$C$93</c:f>
              <c:multiLvlStrCache>
                <c:ptCount val="41"/>
                <c:lvl>
                  <c:pt idx="0">
                    <c:v>  I 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</c:v>
                  </c:pt>
                </c:lvl>
              </c:multiLvlStrCache>
            </c:multiLvlStrRef>
          </c:cat>
          <c:val>
            <c:numRef>
              <c:f>Arkusz1!$D$53:$D$93</c:f>
              <c:numCache>
                <c:formatCode>0.0</c:formatCode>
                <c:ptCount val="41"/>
                <c:pt idx="0">
                  <c:v>103.6</c:v>
                </c:pt>
                <c:pt idx="1">
                  <c:v>102.4</c:v>
                </c:pt>
                <c:pt idx="2">
                  <c:v>106.6</c:v>
                </c:pt>
                <c:pt idx="3">
                  <c:v>101.5</c:v>
                </c:pt>
                <c:pt idx="4">
                  <c:v>104.7</c:v>
                </c:pt>
                <c:pt idx="5">
                  <c:v>106.6</c:v>
                </c:pt>
                <c:pt idx="6">
                  <c:v>103.5</c:v>
                </c:pt>
                <c:pt idx="7">
                  <c:v>102</c:v>
                </c:pt>
                <c:pt idx="8">
                  <c:v>102.9</c:v>
                </c:pt>
                <c:pt idx="9">
                  <c:v>103.6</c:v>
                </c:pt>
                <c:pt idx="10">
                  <c:v>105.7</c:v>
                </c:pt>
                <c:pt idx="11">
                  <c:v>107</c:v>
                </c:pt>
                <c:pt idx="12">
                  <c:v>103.2</c:v>
                </c:pt>
                <c:pt idx="13" formatCode="General">
                  <c:v>106.2</c:v>
                </c:pt>
                <c:pt idx="14" formatCode="General">
                  <c:v>103</c:v>
                </c:pt>
                <c:pt idx="15" formatCode="General">
                  <c:v>105.5</c:v>
                </c:pt>
                <c:pt idx="16" formatCode="General">
                  <c:v>104.3</c:v>
                </c:pt>
                <c:pt idx="17" formatCode="General">
                  <c:v>106.5</c:v>
                </c:pt>
                <c:pt idx="18" formatCode="General">
                  <c:v>104.4</c:v>
                </c:pt>
                <c:pt idx="19" formatCode="General">
                  <c:v>107.8</c:v>
                </c:pt>
                <c:pt idx="20" formatCode="General">
                  <c:v>106.3</c:v>
                </c:pt>
                <c:pt idx="21" formatCode="General">
                  <c:v>104.6</c:v>
                </c:pt>
                <c:pt idx="22" formatCode="General">
                  <c:v>107.4</c:v>
                </c:pt>
                <c:pt idx="23" formatCode="General">
                  <c:v>106.1</c:v>
                </c:pt>
                <c:pt idx="24" formatCode="General">
                  <c:v>109.5</c:v>
                </c:pt>
                <c:pt idx="25" formatCode="General">
                  <c:v>105.2</c:v>
                </c:pt>
                <c:pt idx="26" formatCode="General">
                  <c:v>107.9</c:v>
                </c:pt>
                <c:pt idx="27" formatCode="General">
                  <c:v>106.7</c:v>
                </c:pt>
                <c:pt idx="28" formatCode="General">
                  <c:v>107.4</c:v>
                </c:pt>
                <c:pt idx="29" formatCode="General">
                  <c:v>105.8</c:v>
                </c:pt>
                <c:pt idx="30" formatCode="General">
                  <c:v>106.8</c:v>
                </c:pt>
                <c:pt idx="31" formatCode="General">
                  <c:v>106.9</c:v>
                </c:pt>
                <c:pt idx="32" formatCode="General">
                  <c:v>107.5</c:v>
                </c:pt>
                <c:pt idx="33" formatCode="General">
                  <c:v>107.1</c:v>
                </c:pt>
                <c:pt idx="34" formatCode="General">
                  <c:v>108.8</c:v>
                </c:pt>
                <c:pt idx="35" formatCode="General">
                  <c:v>105.2</c:v>
                </c:pt>
                <c:pt idx="36" formatCode="General">
                  <c:v>107.7</c:v>
                </c:pt>
                <c:pt idx="37" formatCode="General">
                  <c:v>107.7</c:v>
                </c:pt>
                <c:pt idx="38" formatCode="General">
                  <c:v>108.8</c:v>
                </c:pt>
                <c:pt idx="39" formatCode="General">
                  <c:v>104</c:v>
                </c:pt>
                <c:pt idx="40" formatCode="General">
                  <c:v>106.1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7"/>
        <c:axId val="362216064"/>
        <c:axId val="324411776"/>
      </c:barChart>
      <c:catAx>
        <c:axId val="362216064"/>
        <c:scaling>
          <c:orientation val="minMax"/>
        </c:scaling>
        <c:delete val="0"/>
        <c:axPos val="b"/>
        <c:numFmt formatCode="General" sourceLinked="0"/>
        <c:majorTickMark val="cross"/>
        <c:minorTickMark val="none"/>
        <c:tickLblPos val="low"/>
        <c:spPr>
          <a:noFill/>
          <a:ln w="317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"/>
              </a:defRPr>
            </a:pPr>
            <a:endParaRPr lang="pl-PL"/>
          </a:p>
        </c:txPr>
        <c:crossAx val="324411776"/>
        <c:crossesAt val="100"/>
        <c:auto val="0"/>
        <c:lblAlgn val="ctr"/>
        <c:lblOffset val="50"/>
        <c:tickLblSkip val="10"/>
        <c:tickMarkSkip val="2"/>
        <c:noMultiLvlLbl val="0"/>
      </c:catAx>
      <c:valAx>
        <c:axId val="324411776"/>
        <c:scaling>
          <c:orientation val="minMax"/>
          <c:max val="110"/>
          <c:min val="100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  <a:prstDash val="sysDot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362216064"/>
        <c:crosses val="autoZero"/>
        <c:crossBetween val="between"/>
        <c:majorUnit val="2"/>
        <c:minorUnit val="2"/>
      </c:valAx>
      <c:spPr>
        <a:noFill/>
        <a:ln w="3175">
          <a:noFill/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722727383535264E-2"/>
          <c:y val="6.1951636507662215E-2"/>
          <c:w val="0.93452311955429368"/>
          <c:h val="0.6772981610737156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1D77"/>
            </a:solidFill>
            <a:ln w="12700">
              <a:noFill/>
              <a:prstDash val="solid"/>
            </a:ln>
            <a:scene3d>
              <a:camera prst="orthographicFront"/>
              <a:lightRig rig="threePt" dir="t"/>
            </a:scene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103,3</a:t>
                    </a:r>
                    <a:endParaRPr lang="en-US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 sz="900"/>
                      <a:t> </a:t>
                    </a:r>
                    <a:r>
                      <a:rPr lang="en-US"/>
                      <a:t>[WARTOŚĆ]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solidFill>
                <a:schemeClr val="bg1"/>
              </a:solidFill>
              <a:ln w="3175">
                <a:noFill/>
                <a:prstDash val="solid"/>
              </a:ln>
            </c:spPr>
            <c:txPr>
              <a:bodyPr vertOverflow="overflow" horzOverflow="overflow">
                <a:spAutoFit/>
              </a:bodyPr>
              <a:lstStyle/>
              <a:p>
                <a:pPr>
                  <a:defRPr sz="800" b="0" i="0" baseline="0">
                    <a:solidFill>
                      <a:schemeClr val="tx1"/>
                    </a:solidFill>
                    <a:latin typeface="Fira Sans" panose="020B05030500000200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rodz_dział_miesiąc!$B$4:$B$12</c:f>
              <c:strCache>
                <c:ptCount val="9"/>
                <c:pt idx="0">
                  <c:v>pojazdy 
samochodowe, 
motocykle, części  
</c:v>
                </c:pt>
                <c:pt idx="1">
                  <c:v>paliwa stałe,
ciekłe
i gazowe</c:v>
                </c:pt>
                <c:pt idx="2">
                  <c:v>żywność,
napoje
i wyroby
tytoniowe
</c:v>
                </c:pt>
                <c:pt idx="3">
                  <c:v>pozostała
sprzedaż
w niewyspecja-
lizowanych
sklepach
</c:v>
                </c:pt>
                <c:pt idx="4">
                  <c:v>farmaceutyki, 
kosmetyki, 
sprzęt 
ortopedyczny   </c:v>
                </c:pt>
                <c:pt idx="5">
                  <c:v>tekstylia, odzież, 
obuwie</c:v>
                </c:pt>
                <c:pt idx="6">
                  <c:v>meble,
rtv,
agd
</c:v>
                </c:pt>
                <c:pt idx="7">
                  <c:v>prasa, książki, 
pozostała sprzedaż
w wyspecjalizowanych
sklepach
</c:v>
                </c:pt>
                <c:pt idx="8">
                  <c:v>pozostałe  </c:v>
                </c:pt>
              </c:strCache>
            </c:strRef>
          </c:cat>
          <c:val>
            <c:numRef>
              <c:f>rodz_dział_miesiąc!$AX$4:$AX$12</c:f>
              <c:numCache>
                <c:formatCode>0.0</c:formatCode>
                <c:ptCount val="9"/>
                <c:pt idx="0">
                  <c:v>103.3</c:v>
                </c:pt>
                <c:pt idx="1">
                  <c:v>109.6</c:v>
                </c:pt>
                <c:pt idx="2">
                  <c:v>102.8</c:v>
                </c:pt>
                <c:pt idx="3">
                  <c:v>107.8</c:v>
                </c:pt>
                <c:pt idx="4">
                  <c:v>108.8</c:v>
                </c:pt>
                <c:pt idx="5">
                  <c:v>108.6</c:v>
                </c:pt>
                <c:pt idx="6">
                  <c:v>106</c:v>
                </c:pt>
                <c:pt idx="7">
                  <c:v>100.3</c:v>
                </c:pt>
                <c:pt idx="8">
                  <c:v>108.4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24457600"/>
        <c:axId val="324459136"/>
      </c:barChart>
      <c:catAx>
        <c:axId val="324457600"/>
        <c:scaling>
          <c:orientation val="minMax"/>
        </c:scaling>
        <c:delete val="0"/>
        <c:axPos val="b"/>
        <c:numFmt formatCode="#,##0.00" sourceLinked="0"/>
        <c:majorTickMark val="cross"/>
        <c:minorTickMark val="none"/>
        <c:tickLblPos val="low"/>
        <c:spPr>
          <a:ln w="6350" cmpd="sng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3000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324459136"/>
        <c:crossesAt val="100"/>
        <c:auto val="1"/>
        <c:lblAlgn val="ctr"/>
        <c:lblOffset val="80"/>
        <c:tickLblSkip val="1"/>
        <c:tickMarkSkip val="1"/>
        <c:noMultiLvlLbl val="0"/>
      </c:catAx>
      <c:valAx>
        <c:axId val="324459136"/>
        <c:scaling>
          <c:orientation val="minMax"/>
          <c:max val="115"/>
          <c:min val="95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324457600"/>
        <c:crosses val="autoZero"/>
        <c:crossBetween val="between"/>
        <c:majorUnit val="5"/>
      </c:valAx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365519482991353E-2"/>
          <c:y val="5.6628056628056631E-2"/>
          <c:w val="0.90120672439187943"/>
          <c:h val="0.73350155554879959"/>
        </c:manualLayout>
      </c:layout>
      <c:lineChart>
        <c:grouping val="standard"/>
        <c:varyColors val="0"/>
        <c:ser>
          <c:idx val="0"/>
          <c:order val="0"/>
          <c:tx>
            <c:strRef>
              <c:f>Wykresy!$B$1</c:f>
              <c:strCache>
                <c:ptCount val="1"/>
                <c:pt idx="0">
                  <c:v>dane niewyrównane</c:v>
                </c:pt>
              </c:strCache>
            </c:strRef>
          </c:tx>
          <c:spPr>
            <a:ln w="25400" cap="rnd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dLbls>
            <c:dLbl>
              <c:idx val="100"/>
              <c:layout>
                <c:manualLayout>
                  <c:x val="-2.2313127556712532E-2"/>
                  <c:y val="1.8018018018017969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E985D2C1-1A92-467E-8262-9786EB758FAF}" type="VALUE">
                      <a:rPr lang="en-US" sz="800" baseline="0">
                        <a:solidFill>
                          <a:srgbClr val="001D77"/>
                        </a:solidFill>
                        <a:latin typeface="Fira Sans" panose="020B0503050000020004" pitchFamily="34" charset="0"/>
                      </a:rPr>
                      <a:pPr>
                        <a:defRPr/>
                      </a:pPr>
                      <a:t>[WARTOŚĆ]</a:t>
                    </a:fld>
                    <a:r>
                      <a:rPr lang="en-US" sz="800" baseline="0">
                        <a:solidFill>
                          <a:srgbClr val="001D77"/>
                        </a:solidFill>
                        <a:latin typeface="Fira Sans" panose="020B0503050000020004" pitchFamily="34" charset="0"/>
                      </a:rPr>
                      <a:t>,0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9245072517664555E-2"/>
                      <c:h val="7.6190476190476197E-2"/>
                    </c:manualLayout>
                  </c15:layout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Wykresy!$A$2:$A$109</c:f>
              <c:numCache>
                <c:formatCode>General</c:formatCode>
                <c:ptCount val="108"/>
                <c:pt idx="6" formatCode="0">
                  <c:v>2010</c:v>
                </c:pt>
                <c:pt idx="18" formatCode="0">
                  <c:v>2011</c:v>
                </c:pt>
                <c:pt idx="30" formatCode="0">
                  <c:v>2012</c:v>
                </c:pt>
                <c:pt idx="42" formatCode="0">
                  <c:v>2013</c:v>
                </c:pt>
                <c:pt idx="54" formatCode="0">
                  <c:v>2014</c:v>
                </c:pt>
                <c:pt idx="66" formatCode="0">
                  <c:v>2015</c:v>
                </c:pt>
                <c:pt idx="78" formatCode="0">
                  <c:v>2016</c:v>
                </c:pt>
                <c:pt idx="90" formatCode="0">
                  <c:v>2017</c:v>
                </c:pt>
                <c:pt idx="102" formatCode="0">
                  <c:v>2018</c:v>
                </c:pt>
              </c:numCache>
            </c:numRef>
          </c:cat>
          <c:val>
            <c:numRef>
              <c:f>Wykresy!$B$2:$B$109</c:f>
              <c:numCache>
                <c:formatCode>General</c:formatCode>
                <c:ptCount val="108"/>
                <c:pt idx="0">
                  <c:v>71</c:v>
                </c:pt>
                <c:pt idx="1">
                  <c:v>68.099999999999994</c:v>
                </c:pt>
                <c:pt idx="2">
                  <c:v>82.5</c:v>
                </c:pt>
                <c:pt idx="3">
                  <c:v>77.599999999999994</c:v>
                </c:pt>
                <c:pt idx="4">
                  <c:v>79.5</c:v>
                </c:pt>
                <c:pt idx="5">
                  <c:v>82.6</c:v>
                </c:pt>
                <c:pt idx="6">
                  <c:v>85.6</c:v>
                </c:pt>
                <c:pt idx="7">
                  <c:v>84.8</c:v>
                </c:pt>
                <c:pt idx="8">
                  <c:v>85</c:v>
                </c:pt>
                <c:pt idx="9">
                  <c:v>87.9</c:v>
                </c:pt>
                <c:pt idx="10">
                  <c:v>81.900000000000006</c:v>
                </c:pt>
                <c:pt idx="11">
                  <c:v>102.1</c:v>
                </c:pt>
                <c:pt idx="12">
                  <c:v>72.2</c:v>
                </c:pt>
                <c:pt idx="13">
                  <c:v>73.5</c:v>
                </c:pt>
                <c:pt idx="14">
                  <c:v>86.2</c:v>
                </c:pt>
                <c:pt idx="15">
                  <c:v>87.6</c:v>
                </c:pt>
                <c:pt idx="16">
                  <c:v>86.1</c:v>
                </c:pt>
                <c:pt idx="17">
                  <c:v>87.7</c:v>
                </c:pt>
                <c:pt idx="18">
                  <c:v>88.9</c:v>
                </c:pt>
                <c:pt idx="19">
                  <c:v>90.2</c:v>
                </c:pt>
                <c:pt idx="20">
                  <c:v>91.4</c:v>
                </c:pt>
                <c:pt idx="21">
                  <c:v>93.7</c:v>
                </c:pt>
                <c:pt idx="22">
                  <c:v>87.8</c:v>
                </c:pt>
                <c:pt idx="23">
                  <c:v>106</c:v>
                </c:pt>
                <c:pt idx="24">
                  <c:v>79.2</c:v>
                </c:pt>
                <c:pt idx="25">
                  <c:v>79.900000000000006</c:v>
                </c:pt>
                <c:pt idx="26">
                  <c:v>92</c:v>
                </c:pt>
                <c:pt idx="27">
                  <c:v>89.1</c:v>
                </c:pt>
                <c:pt idx="28">
                  <c:v>89.8</c:v>
                </c:pt>
                <c:pt idx="29">
                  <c:v>90</c:v>
                </c:pt>
                <c:pt idx="30">
                  <c:v>91.9</c:v>
                </c:pt>
                <c:pt idx="31">
                  <c:v>92.3</c:v>
                </c:pt>
                <c:pt idx="32">
                  <c:v>90.8</c:v>
                </c:pt>
                <c:pt idx="33">
                  <c:v>94.1</c:v>
                </c:pt>
                <c:pt idx="34">
                  <c:v>88.4</c:v>
                </c:pt>
                <c:pt idx="35">
                  <c:v>102.1</c:v>
                </c:pt>
                <c:pt idx="36">
                  <c:v>80.900000000000006</c:v>
                </c:pt>
                <c:pt idx="37">
                  <c:v>78.900000000000006</c:v>
                </c:pt>
                <c:pt idx="38">
                  <c:v>92.1</c:v>
                </c:pt>
                <c:pt idx="39">
                  <c:v>89.1</c:v>
                </c:pt>
                <c:pt idx="40">
                  <c:v>90.8</c:v>
                </c:pt>
                <c:pt idx="41">
                  <c:v>92.3</c:v>
                </c:pt>
                <c:pt idx="42">
                  <c:v>95.7</c:v>
                </c:pt>
                <c:pt idx="43">
                  <c:v>95.5</c:v>
                </c:pt>
                <c:pt idx="44">
                  <c:v>94.4</c:v>
                </c:pt>
                <c:pt idx="45">
                  <c:v>97.5</c:v>
                </c:pt>
                <c:pt idx="46">
                  <c:v>91.9</c:v>
                </c:pt>
                <c:pt idx="47">
                  <c:v>108</c:v>
                </c:pt>
                <c:pt idx="48">
                  <c:v>84.9</c:v>
                </c:pt>
                <c:pt idx="49">
                  <c:v>84.5</c:v>
                </c:pt>
                <c:pt idx="50">
                  <c:v>95</c:v>
                </c:pt>
                <c:pt idx="51">
                  <c:v>97.2</c:v>
                </c:pt>
                <c:pt idx="52">
                  <c:v>94.7</c:v>
                </c:pt>
                <c:pt idx="53">
                  <c:v>94</c:v>
                </c:pt>
                <c:pt idx="54">
                  <c:v>98.9</c:v>
                </c:pt>
                <c:pt idx="55">
                  <c:v>98.5</c:v>
                </c:pt>
                <c:pt idx="56">
                  <c:v>97.5</c:v>
                </c:pt>
                <c:pt idx="57">
                  <c:v>101.4</c:v>
                </c:pt>
                <c:pt idx="58">
                  <c:v>93.5</c:v>
                </c:pt>
                <c:pt idx="59">
                  <c:v>112.7</c:v>
                </c:pt>
                <c:pt idx="60">
                  <c:v>87.8</c:v>
                </c:pt>
                <c:pt idx="61">
                  <c:v>86.4</c:v>
                </c:pt>
                <c:pt idx="62">
                  <c:v>101.1</c:v>
                </c:pt>
                <c:pt idx="63">
                  <c:v>98.5</c:v>
                </c:pt>
                <c:pt idx="64">
                  <c:v>99</c:v>
                </c:pt>
                <c:pt idx="65">
                  <c:v>100</c:v>
                </c:pt>
                <c:pt idx="66">
                  <c:v>102.3</c:v>
                </c:pt>
                <c:pt idx="67">
                  <c:v>100.4</c:v>
                </c:pt>
                <c:pt idx="68">
                  <c:v>100.3</c:v>
                </c:pt>
                <c:pt idx="69">
                  <c:v>105</c:v>
                </c:pt>
                <c:pt idx="70">
                  <c:v>98.8</c:v>
                </c:pt>
                <c:pt idx="71">
                  <c:v>120.6</c:v>
                </c:pt>
                <c:pt idx="72">
                  <c:v>90.6</c:v>
                </c:pt>
                <c:pt idx="73">
                  <c:v>91.7</c:v>
                </c:pt>
                <c:pt idx="74">
                  <c:v>104.1</c:v>
                </c:pt>
                <c:pt idx="75">
                  <c:v>103.9</c:v>
                </c:pt>
                <c:pt idx="76">
                  <c:v>103.2</c:v>
                </c:pt>
                <c:pt idx="77">
                  <c:v>106.4</c:v>
                </c:pt>
                <c:pt idx="78">
                  <c:v>106.7</c:v>
                </c:pt>
                <c:pt idx="79">
                  <c:v>108.1</c:v>
                </c:pt>
                <c:pt idx="80">
                  <c:v>106.6</c:v>
                </c:pt>
                <c:pt idx="81">
                  <c:v>109.8</c:v>
                </c:pt>
                <c:pt idx="82">
                  <c:v>106.1</c:v>
                </c:pt>
                <c:pt idx="83">
                  <c:v>127.7</c:v>
                </c:pt>
                <c:pt idx="84">
                  <c:v>99.3</c:v>
                </c:pt>
                <c:pt idx="85">
                  <c:v>96.5</c:v>
                </c:pt>
                <c:pt idx="86">
                  <c:v>112.5</c:v>
                </c:pt>
                <c:pt idx="87">
                  <c:v>110.9</c:v>
                </c:pt>
                <c:pt idx="88">
                  <c:v>111</c:v>
                </c:pt>
                <c:pt idx="89">
                  <c:v>112.8</c:v>
                </c:pt>
                <c:pt idx="90">
                  <c:v>114.1</c:v>
                </c:pt>
                <c:pt idx="91">
                  <c:v>115.8</c:v>
                </c:pt>
                <c:pt idx="92">
                  <c:v>114.8</c:v>
                </c:pt>
                <c:pt idx="93">
                  <c:v>117.8</c:v>
                </c:pt>
                <c:pt idx="94">
                  <c:v>115.7</c:v>
                </c:pt>
                <c:pt idx="95">
                  <c:v>134.80000000000001</c:v>
                </c:pt>
                <c:pt idx="96">
                  <c:v>107.2</c:v>
                </c:pt>
                <c:pt idx="97">
                  <c:v>104.1</c:v>
                </c:pt>
                <c:pt idx="98">
                  <c:v>122.6</c:v>
                </c:pt>
                <c:pt idx="99">
                  <c:v>115.7</c:v>
                </c:pt>
                <c:pt idx="100">
                  <c:v>118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Wykresy!$C$1</c:f>
              <c:strCache>
                <c:ptCount val="1"/>
                <c:pt idx="0">
                  <c:v>dane wyrównane sezonowo</c:v>
                </c:pt>
              </c:strCache>
            </c:strRef>
          </c:tx>
          <c:spPr>
            <a:ln w="25400" cap="rnd">
              <a:solidFill>
                <a:srgbClr val="69BE28"/>
              </a:solidFill>
              <a:round/>
            </a:ln>
            <a:effectLst/>
          </c:spPr>
          <c:marker>
            <c:symbol val="none"/>
          </c:marker>
          <c:dLbls>
            <c:dLbl>
              <c:idx val="100"/>
              <c:layout>
                <c:manualLayout>
                  <c:x val="-2.2313127556712532E-2"/>
                  <c:y val="-4.6332046332046357E-2"/>
                </c:manualLayout>
              </c:layout>
              <c:tx>
                <c:rich>
                  <a:bodyPr/>
                  <a:lstStyle/>
                  <a:p>
                    <a:fld id="{CB4E5690-F205-4614-8255-C499A7E6920B}" type="VALUE">
                      <a:rPr lang="en-US" sz="800" baseline="0">
                        <a:solidFill>
                          <a:srgbClr val="69BE28"/>
                        </a:solidFill>
                        <a:latin typeface="Fira Sans" panose="020B0503050000020004" pitchFamily="34" charset="0"/>
                        <a:ea typeface="Fira Sans" panose="020B0503050000020004" pitchFamily="34" charset="0"/>
                      </a:rPr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Wykresy!$A$2:$A$109</c:f>
              <c:numCache>
                <c:formatCode>General</c:formatCode>
                <c:ptCount val="108"/>
                <c:pt idx="6" formatCode="0">
                  <c:v>2010</c:v>
                </c:pt>
                <c:pt idx="18" formatCode="0">
                  <c:v>2011</c:v>
                </c:pt>
                <c:pt idx="30" formatCode="0">
                  <c:v>2012</c:v>
                </c:pt>
                <c:pt idx="42" formatCode="0">
                  <c:v>2013</c:v>
                </c:pt>
                <c:pt idx="54" formatCode="0">
                  <c:v>2014</c:v>
                </c:pt>
                <c:pt idx="66" formatCode="0">
                  <c:v>2015</c:v>
                </c:pt>
                <c:pt idx="78" formatCode="0">
                  <c:v>2016</c:v>
                </c:pt>
                <c:pt idx="90" formatCode="0">
                  <c:v>2017</c:v>
                </c:pt>
                <c:pt idx="102" formatCode="0">
                  <c:v>2018</c:v>
                </c:pt>
              </c:numCache>
            </c:numRef>
          </c:cat>
          <c:val>
            <c:numRef>
              <c:f>Wykresy!$C$2:$C$109</c:f>
              <c:numCache>
                <c:formatCode>General</c:formatCode>
                <c:ptCount val="108"/>
                <c:pt idx="0">
                  <c:v>80.3</c:v>
                </c:pt>
                <c:pt idx="1">
                  <c:v>78.900000000000006</c:v>
                </c:pt>
                <c:pt idx="2">
                  <c:v>81.7</c:v>
                </c:pt>
                <c:pt idx="3">
                  <c:v>76.900000000000006</c:v>
                </c:pt>
                <c:pt idx="4">
                  <c:v>81</c:v>
                </c:pt>
                <c:pt idx="5">
                  <c:v>82.1</c:v>
                </c:pt>
                <c:pt idx="6">
                  <c:v>82.9</c:v>
                </c:pt>
                <c:pt idx="7">
                  <c:v>83.1</c:v>
                </c:pt>
                <c:pt idx="8">
                  <c:v>83.7</c:v>
                </c:pt>
                <c:pt idx="9">
                  <c:v>84.7</c:v>
                </c:pt>
                <c:pt idx="10">
                  <c:v>84.2</c:v>
                </c:pt>
                <c:pt idx="11">
                  <c:v>85.8</c:v>
                </c:pt>
                <c:pt idx="12">
                  <c:v>81.7</c:v>
                </c:pt>
                <c:pt idx="13">
                  <c:v>85.1</c:v>
                </c:pt>
                <c:pt idx="14">
                  <c:v>85.6</c:v>
                </c:pt>
                <c:pt idx="15">
                  <c:v>86.6</c:v>
                </c:pt>
                <c:pt idx="16">
                  <c:v>87</c:v>
                </c:pt>
                <c:pt idx="17">
                  <c:v>87.3</c:v>
                </c:pt>
                <c:pt idx="18">
                  <c:v>87</c:v>
                </c:pt>
                <c:pt idx="19">
                  <c:v>88</c:v>
                </c:pt>
                <c:pt idx="20">
                  <c:v>89.8</c:v>
                </c:pt>
                <c:pt idx="21">
                  <c:v>90.8</c:v>
                </c:pt>
                <c:pt idx="22">
                  <c:v>90.3</c:v>
                </c:pt>
                <c:pt idx="23">
                  <c:v>89.7</c:v>
                </c:pt>
                <c:pt idx="24">
                  <c:v>89.3</c:v>
                </c:pt>
                <c:pt idx="25">
                  <c:v>89.1</c:v>
                </c:pt>
                <c:pt idx="26">
                  <c:v>91.2</c:v>
                </c:pt>
                <c:pt idx="27">
                  <c:v>89.6</c:v>
                </c:pt>
                <c:pt idx="28">
                  <c:v>90.2</c:v>
                </c:pt>
                <c:pt idx="29">
                  <c:v>89.7</c:v>
                </c:pt>
                <c:pt idx="30">
                  <c:v>90.5</c:v>
                </c:pt>
                <c:pt idx="31">
                  <c:v>90</c:v>
                </c:pt>
                <c:pt idx="32">
                  <c:v>90.7</c:v>
                </c:pt>
                <c:pt idx="33">
                  <c:v>90</c:v>
                </c:pt>
                <c:pt idx="34">
                  <c:v>89.4</c:v>
                </c:pt>
                <c:pt idx="35">
                  <c:v>89.3</c:v>
                </c:pt>
                <c:pt idx="36">
                  <c:v>89.5</c:v>
                </c:pt>
                <c:pt idx="37">
                  <c:v>90.8</c:v>
                </c:pt>
                <c:pt idx="38">
                  <c:v>90.8</c:v>
                </c:pt>
                <c:pt idx="39">
                  <c:v>90</c:v>
                </c:pt>
                <c:pt idx="40">
                  <c:v>92.3</c:v>
                </c:pt>
                <c:pt idx="41">
                  <c:v>92.5</c:v>
                </c:pt>
                <c:pt idx="42">
                  <c:v>93.1</c:v>
                </c:pt>
                <c:pt idx="43">
                  <c:v>93.2</c:v>
                </c:pt>
                <c:pt idx="44">
                  <c:v>94.5</c:v>
                </c:pt>
                <c:pt idx="45">
                  <c:v>93.3</c:v>
                </c:pt>
                <c:pt idx="46">
                  <c:v>94.2</c:v>
                </c:pt>
                <c:pt idx="47">
                  <c:v>94.2</c:v>
                </c:pt>
                <c:pt idx="48">
                  <c:v>94.3</c:v>
                </c:pt>
                <c:pt idx="49">
                  <c:v>96.9</c:v>
                </c:pt>
                <c:pt idx="50">
                  <c:v>95.4</c:v>
                </c:pt>
                <c:pt idx="51">
                  <c:v>96.3</c:v>
                </c:pt>
                <c:pt idx="52">
                  <c:v>94.9</c:v>
                </c:pt>
                <c:pt idx="53">
                  <c:v>95.1</c:v>
                </c:pt>
                <c:pt idx="54">
                  <c:v>96.2</c:v>
                </c:pt>
                <c:pt idx="55">
                  <c:v>97.6</c:v>
                </c:pt>
                <c:pt idx="56">
                  <c:v>97</c:v>
                </c:pt>
                <c:pt idx="57">
                  <c:v>96.8</c:v>
                </c:pt>
                <c:pt idx="58">
                  <c:v>96.6</c:v>
                </c:pt>
                <c:pt idx="59">
                  <c:v>97.1</c:v>
                </c:pt>
                <c:pt idx="60">
                  <c:v>97.6</c:v>
                </c:pt>
                <c:pt idx="61">
                  <c:v>99</c:v>
                </c:pt>
                <c:pt idx="62">
                  <c:v>100.8</c:v>
                </c:pt>
                <c:pt idx="63">
                  <c:v>98</c:v>
                </c:pt>
                <c:pt idx="64">
                  <c:v>99.8</c:v>
                </c:pt>
                <c:pt idx="65">
                  <c:v>100.2</c:v>
                </c:pt>
                <c:pt idx="66">
                  <c:v>99.2</c:v>
                </c:pt>
                <c:pt idx="67">
                  <c:v>99.7</c:v>
                </c:pt>
                <c:pt idx="68">
                  <c:v>99.5</c:v>
                </c:pt>
                <c:pt idx="69">
                  <c:v>100.9</c:v>
                </c:pt>
                <c:pt idx="70">
                  <c:v>101.5</c:v>
                </c:pt>
                <c:pt idx="71">
                  <c:v>103.5</c:v>
                </c:pt>
                <c:pt idx="72">
                  <c:v>102.3</c:v>
                </c:pt>
                <c:pt idx="73">
                  <c:v>102</c:v>
                </c:pt>
                <c:pt idx="74">
                  <c:v>101.6</c:v>
                </c:pt>
                <c:pt idx="75">
                  <c:v>104.3</c:v>
                </c:pt>
                <c:pt idx="76">
                  <c:v>104.9</c:v>
                </c:pt>
                <c:pt idx="77">
                  <c:v>105.1</c:v>
                </c:pt>
                <c:pt idx="78">
                  <c:v>105.1</c:v>
                </c:pt>
                <c:pt idx="79">
                  <c:v>105.8</c:v>
                </c:pt>
                <c:pt idx="80">
                  <c:v>105.9</c:v>
                </c:pt>
                <c:pt idx="81">
                  <c:v>107.3</c:v>
                </c:pt>
                <c:pt idx="82">
                  <c:v>108.3</c:v>
                </c:pt>
                <c:pt idx="83">
                  <c:v>108.2</c:v>
                </c:pt>
                <c:pt idx="84">
                  <c:v>111</c:v>
                </c:pt>
                <c:pt idx="85">
                  <c:v>110.4</c:v>
                </c:pt>
                <c:pt idx="86">
                  <c:v>110.6</c:v>
                </c:pt>
                <c:pt idx="87">
                  <c:v>111.4</c:v>
                </c:pt>
                <c:pt idx="88">
                  <c:v>111.6</c:v>
                </c:pt>
                <c:pt idx="89">
                  <c:v>112.3</c:v>
                </c:pt>
                <c:pt idx="90">
                  <c:v>113.2</c:v>
                </c:pt>
                <c:pt idx="91">
                  <c:v>113.5</c:v>
                </c:pt>
                <c:pt idx="92">
                  <c:v>114.3</c:v>
                </c:pt>
                <c:pt idx="93">
                  <c:v>114.9</c:v>
                </c:pt>
                <c:pt idx="94">
                  <c:v>117.6</c:v>
                </c:pt>
                <c:pt idx="95">
                  <c:v>116.4</c:v>
                </c:pt>
                <c:pt idx="96">
                  <c:v>118.1</c:v>
                </c:pt>
                <c:pt idx="97">
                  <c:v>119</c:v>
                </c:pt>
                <c:pt idx="98">
                  <c:v>119.6</c:v>
                </c:pt>
                <c:pt idx="99">
                  <c:v>118.1</c:v>
                </c:pt>
                <c:pt idx="100">
                  <c:v>119.4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4417792"/>
        <c:axId val="324431872"/>
      </c:lineChart>
      <c:catAx>
        <c:axId val="3244177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b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324431872"/>
        <c:crosses val="autoZero"/>
        <c:auto val="1"/>
        <c:lblAlgn val="ctr"/>
        <c:lblOffset val="100"/>
        <c:tickMarkSkip val="12"/>
        <c:noMultiLvlLbl val="0"/>
      </c:catAx>
      <c:valAx>
        <c:axId val="324431872"/>
        <c:scaling>
          <c:orientation val="minMax"/>
          <c:min val="6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324417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0.32986</cdr:x>
      <cdr:y>0.14543</cdr:y>
    </cdr:from>
    <cdr:to>
      <cdr:x>0.48077</cdr:x>
      <cdr:y>0.24387</cdr:y>
    </cdr:to>
    <cdr:sp macro="" textlink="">
      <cdr:nvSpPr>
        <cdr:cNvPr id="3" name="Text Box 103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V="1">
          <a:off x="1691398" y="475489"/>
          <a:ext cx="773824" cy="3218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22860" rIns="0" bIns="0" anchor="t" anchorCtr="0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900" b="1" i="1" u="none" strike="noStrike" baseline="0">
            <a:solidFill>
              <a:srgbClr val="FF0000"/>
            </a:solidFill>
            <a:latin typeface="Fira Sans" pitchFamily="34" charset="0"/>
            <a:ea typeface="Fira Sans" pitchFamily="34" charset="0"/>
            <a:cs typeface="Arial CE"/>
          </a:endParaRPr>
        </a:p>
        <a:p xmlns:a="http://schemas.openxmlformats.org/drawingml/2006/main">
          <a:pPr algn="ctr" rtl="0">
            <a:lnSpc>
              <a:spcPts val="800"/>
            </a:lnSpc>
            <a:defRPr sz="1000"/>
          </a:pPr>
          <a:r>
            <a:rPr lang="pl-PL" sz="800" b="1" i="1" u="none" strike="noStrike" baseline="0">
              <a:solidFill>
                <a:srgbClr val="69BE28"/>
              </a:solidFill>
              <a:latin typeface="Fira Sans" pitchFamily="34" charset="0"/>
              <a:ea typeface="Fira Sans" pitchFamily="34" charset="0"/>
              <a:cs typeface="Arial CE"/>
            </a:rPr>
            <a:t>Ogółem 106,1</a:t>
          </a:r>
        </a:p>
      </cdr:txBody>
    </cdr:sp>
  </cdr:relSizeAnchor>
  <cdr:relSizeAnchor xmlns:cdr="http://schemas.openxmlformats.org/drawingml/2006/chartDrawing">
    <cdr:from>
      <cdr:x>0.30509</cdr:x>
      <cdr:y>0.22551</cdr:y>
    </cdr:from>
    <cdr:to>
      <cdr:x>0.40131</cdr:x>
      <cdr:y>0.35604</cdr:y>
    </cdr:to>
    <cdr:sp macro="" textlink="">
      <cdr:nvSpPr>
        <cdr:cNvPr id="4" name="Line 1033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1564375" y="737322"/>
          <a:ext cx="493380" cy="42678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>
          <a:solidFill>
            <a:srgbClr val="69BE28"/>
          </a:solidFill>
          <a:round/>
          <a:headEnd/>
          <a:tailEnd type="triangle" w="med" len="med"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0.06449</cdr:x>
      <cdr:y>0.36383</cdr:y>
    </cdr:from>
    <cdr:to>
      <cdr:x>0.99715</cdr:x>
      <cdr:y>0.36779</cdr:y>
    </cdr:to>
    <cdr:sp macro="" textlink="">
      <cdr:nvSpPr>
        <cdr:cNvPr id="5" name="Line 103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330693" y="1189583"/>
          <a:ext cx="4782331" cy="12947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4925">
          <a:solidFill>
            <a:srgbClr val="69BE28"/>
          </a:solidFill>
          <a:round/>
          <a:headEnd/>
          <a:tailEnd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CD96DA-9026-456A-A1A3-2405F738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Dynamika sprzedaży detalicznej w maju 2018 roku</dc:title>
  <dc:subject>Dynamika sprzedaży detalicznej w maju 2018 roku</dc:subject>
  <dc:creator>Zawistowska Beata</dc:creator>
  <cp:keywords>sprzedaż detaliczna; dynamika sprzedaży detalicznej; pojazdy samochodowe; motocykle części; paliwa stałe; paliwa ciekłe i gazowe; żywność napoje i wyroby tytoniowe; pozostała sprzedaż detaliczna w niewyspecjalizowanych sklepach; farmaceutyki kosmetyki; sprzęt ortopedyczny; tekstylia odzież obuwie; meble rtv agd; prasa książki; pozostała sprzedaż w wyspecjalizowanych sklepach</cp:keywords>
  <dc:description>Dynamika sprzedaży detalicznej w maju 2018 roku</dc:description>
  <cp:lastModifiedBy>Dariusz Mazurek</cp:lastModifiedBy>
  <cp:revision>2</cp:revision>
  <cp:lastPrinted>2018-05-19T13:45:00Z</cp:lastPrinted>
  <dcterms:created xsi:type="dcterms:W3CDTF">2018-06-20T11:53:00Z</dcterms:created>
  <dcterms:modified xsi:type="dcterms:W3CDTF">2018-06-20T11:53:00Z</dcterms:modified>
  <cp:category>Dynamika sprzedaży detalicznej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