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04541D" w:rsidRDefault="00685123" w:rsidP="00685123">
      <w:pPr>
        <w:pStyle w:val="tytuinformacji"/>
      </w:pPr>
      <w:r w:rsidRPr="0004541D">
        <w:t>Wskaźniki cen towarów i usług konsumpcyjnych w </w:t>
      </w:r>
      <w:r w:rsidR="0004541D" w:rsidRPr="0004541D">
        <w:t>grudniu</w:t>
      </w:r>
      <w:r w:rsidR="00EE696D" w:rsidRPr="0004541D">
        <w:t xml:space="preserve"> 2018 r.</w:t>
      </w:r>
    </w:p>
    <w:p w:rsidR="00AD4947" w:rsidRPr="00DF7620" w:rsidRDefault="00AD4947" w:rsidP="00AD4947">
      <w:pPr>
        <w:pStyle w:val="tytuinformacji"/>
        <w:rPr>
          <w:sz w:val="32"/>
        </w:rPr>
      </w:pPr>
    </w:p>
    <w:p w:rsidR="0061655B" w:rsidRPr="00DF7620" w:rsidRDefault="00F65394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4759EE" w:rsidRPr="00D538E4" w:rsidRDefault="004759EE" w:rsidP="0004541D">
                  <w:pPr>
                    <w:spacing w:after="0" w:line="240" w:lineRule="auto"/>
                    <w:ind w:left="510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0%</w:t>
                  </w:r>
                </w:p>
                <w:p w:rsidR="004759EE" w:rsidRPr="00D538E4" w:rsidRDefault="004759EE" w:rsidP="0004541D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 xml:space="preserve">bez zmian </w:t>
                  </w:r>
                  <w:r w:rsidRPr="00D538E4">
                    <w:t xml:space="preserve">w porównaniu </w:t>
                  </w:r>
                  <w:r>
                    <w:br/>
                  </w:r>
                  <w:r w:rsidRPr="00D538E4">
                    <w:t xml:space="preserve">z poprzednim miesiącem </w:t>
                  </w:r>
                </w:p>
                <w:p w:rsidR="004759EE" w:rsidRPr="00D538E4" w:rsidRDefault="004759EE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DF7620">
        <w:t xml:space="preserve">Ceny towarów i usług konsumpcyjnych w </w:t>
      </w:r>
      <w:r w:rsidR="0004541D" w:rsidRPr="00DF7620">
        <w:t>grudniu</w:t>
      </w:r>
      <w:r w:rsidR="00D538E4" w:rsidRPr="00DF7620">
        <w:t xml:space="preserve"> 201</w:t>
      </w:r>
      <w:r w:rsidR="009C5407" w:rsidRPr="00DF7620">
        <w:t>8</w:t>
      </w:r>
      <w:r>
        <w:t xml:space="preserve"> r. </w:t>
      </w:r>
      <w:r w:rsidRPr="00F65394">
        <w:t>utrzymały się przec</w:t>
      </w:r>
      <w:r>
        <w:t>iętnie na poziomie zbliżonym do </w:t>
      </w:r>
      <w:r w:rsidRPr="00F65394">
        <w:t xml:space="preserve">zanotowanego przed miesiącem </w:t>
      </w:r>
      <w:r w:rsidR="00D538E4" w:rsidRPr="00DF7620">
        <w:t xml:space="preserve"> (</w:t>
      </w:r>
      <w:r>
        <w:t>przy wzroście cen </w:t>
      </w:r>
      <w:bookmarkStart w:id="0" w:name="_GoBack"/>
      <w:bookmarkEnd w:id="0"/>
      <w:r w:rsidR="0004541D" w:rsidRPr="00DF7620">
        <w:t>usług – o 0,</w:t>
      </w:r>
      <w:r w:rsidR="00DF7620" w:rsidRPr="00DF7620">
        <w:t>4</w:t>
      </w:r>
      <w:r w:rsidR="0004541D" w:rsidRPr="00DF7620">
        <w:t xml:space="preserve">% i spadku cen </w:t>
      </w:r>
      <w:r w:rsidR="00DF7620" w:rsidRPr="00DF7620">
        <w:t>towarów</w:t>
      </w:r>
      <w:r w:rsidR="0004541D" w:rsidRPr="00DF7620">
        <w:t xml:space="preserve"> – o 0,</w:t>
      </w:r>
      <w:r w:rsidR="00DF7620" w:rsidRPr="00DF7620">
        <w:t>2</w:t>
      </w:r>
      <w:r w:rsidR="0004541D" w:rsidRPr="00DF7620">
        <w:t>%</w:t>
      </w:r>
      <w:r w:rsidR="00D538E4" w:rsidRPr="00DF7620">
        <w:t>)</w:t>
      </w:r>
      <w:r w:rsidR="006D6B72" w:rsidRPr="00DF7620">
        <w:t xml:space="preserve">. </w:t>
      </w:r>
      <w:r w:rsidR="00917CCF" w:rsidRPr="00DF7620">
        <w:br/>
      </w:r>
      <w:r w:rsidR="006D6B72" w:rsidRPr="00DF7620">
        <w:t>W porównaniu z </w:t>
      </w:r>
      <w:r w:rsidR="00D538E4" w:rsidRPr="00DF7620">
        <w:t>a</w:t>
      </w:r>
      <w:r w:rsidR="000F2650" w:rsidRPr="00DF7620">
        <w:t>nalo</w:t>
      </w:r>
      <w:r w:rsidR="000F2650" w:rsidRPr="00DF7620">
        <w:softHyphen/>
        <w:t>gicznym miesiącem ub. roku</w:t>
      </w:r>
      <w:r w:rsidR="00D538E4" w:rsidRPr="00DF7620">
        <w:t xml:space="preserve"> </w:t>
      </w:r>
      <w:r w:rsidR="00917CCF" w:rsidRPr="00DF7620">
        <w:br/>
      </w:r>
      <w:r w:rsidR="006D6B72" w:rsidRPr="00DF7620">
        <w:t xml:space="preserve">ceny towarów i usług konsumpcyjnych </w:t>
      </w:r>
      <w:r w:rsidR="00D538E4" w:rsidRPr="00DF7620">
        <w:t>wzros</w:t>
      </w:r>
      <w:r w:rsidR="006D6B72" w:rsidRPr="00DF7620">
        <w:t>ły</w:t>
      </w:r>
      <w:r w:rsidR="00D538E4" w:rsidRPr="00DF7620">
        <w:t xml:space="preserve"> </w:t>
      </w:r>
      <w:r w:rsidR="00917CCF" w:rsidRPr="00DF7620">
        <w:br/>
      </w:r>
      <w:r w:rsidR="006D6B72" w:rsidRPr="00DF7620">
        <w:t>o</w:t>
      </w:r>
      <w:r w:rsidR="00D538E4" w:rsidRPr="00DF7620">
        <w:t xml:space="preserve"> </w:t>
      </w:r>
      <w:r w:rsidR="00DF7620" w:rsidRPr="00DF7620">
        <w:t>1,1</w:t>
      </w:r>
      <w:r w:rsidR="00D538E4" w:rsidRPr="00DF7620">
        <w:t xml:space="preserve">% (w tym </w:t>
      </w:r>
      <w:r w:rsidR="00EB73D7" w:rsidRPr="00DF7620">
        <w:t>towarów</w:t>
      </w:r>
      <w:r w:rsidR="006D6B72" w:rsidRPr="00DF7620">
        <w:t xml:space="preserve"> </w:t>
      </w:r>
      <w:r w:rsidR="00D538E4" w:rsidRPr="00DF7620">
        <w:t>–</w:t>
      </w:r>
      <w:r w:rsidR="00B94737" w:rsidRPr="00DF7620">
        <w:t xml:space="preserve"> </w:t>
      </w:r>
      <w:r w:rsidR="00D538E4" w:rsidRPr="00DF7620">
        <w:t>o </w:t>
      </w:r>
      <w:r w:rsidR="00DF7620" w:rsidRPr="00DF7620">
        <w:t>1</w:t>
      </w:r>
      <w:r w:rsidR="00C56FB5" w:rsidRPr="00DF7620">
        <w:t>,2</w:t>
      </w:r>
      <w:r w:rsidR="00D538E4" w:rsidRPr="00DF7620">
        <w:t>% i </w:t>
      </w:r>
      <w:r w:rsidR="00EB73D7" w:rsidRPr="00DF7620">
        <w:t xml:space="preserve">usług </w:t>
      </w:r>
      <w:r w:rsidR="00DF7620" w:rsidRPr="00DF7620">
        <w:t>– o 0,9</w:t>
      </w:r>
      <w:r w:rsidR="00D538E4" w:rsidRPr="00DF7620">
        <w:t>%).</w:t>
      </w:r>
    </w:p>
    <w:p w:rsidR="00486EE6" w:rsidRPr="0004541D" w:rsidRDefault="00486EE6" w:rsidP="00CF08EF">
      <w:pPr>
        <w:pStyle w:val="LID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70"/>
        <w:gridCol w:w="1099"/>
        <w:gridCol w:w="992"/>
        <w:gridCol w:w="992"/>
        <w:gridCol w:w="992"/>
        <w:gridCol w:w="993"/>
        <w:gridCol w:w="945"/>
      </w:tblGrid>
      <w:tr w:rsidR="00257A17" w:rsidRPr="0004541D" w:rsidTr="00FF4A73">
        <w:trPr>
          <w:cantSplit/>
          <w:trHeight w:val="367"/>
        </w:trPr>
        <w:tc>
          <w:tcPr>
            <w:tcW w:w="2270" w:type="dxa"/>
            <w:vMerge w:val="restart"/>
            <w:vAlign w:val="center"/>
          </w:tcPr>
          <w:p w:rsidR="00257A17" w:rsidRPr="00FD5460" w:rsidRDefault="00257A17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091" w:type="dxa"/>
            <w:gridSpan w:val="2"/>
            <w:vAlign w:val="center"/>
          </w:tcPr>
          <w:p w:rsidR="00257A17" w:rsidRPr="00FD5460" w:rsidRDefault="00FF4A73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XII</w:t>
            </w:r>
            <w:r w:rsidR="00257A17"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1984" w:type="dxa"/>
            <w:gridSpan w:val="2"/>
          </w:tcPr>
          <w:p w:rsidR="00257A17" w:rsidRPr="00FD5460" w:rsidRDefault="00FF4A73" w:rsidP="00FF4A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</w:t>
            </w:r>
            <w:r w:rsidR="00257A17"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-</w:t>
            </w: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XII</w:t>
            </w:r>
            <w:r w:rsidR="00257A17"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93" w:type="dxa"/>
          </w:tcPr>
          <w:p w:rsidR="00257A17" w:rsidRPr="00FD5460" w:rsidRDefault="00257A17" w:rsidP="00FF4A73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FF4A73"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XII</w:t>
            </w: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45" w:type="dxa"/>
            <w:vMerge w:val="restart"/>
            <w:vAlign w:val="center"/>
          </w:tcPr>
          <w:p w:rsidR="00257A17" w:rsidRPr="00FD5460" w:rsidRDefault="00257A17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257A17" w:rsidRPr="00FD5460" w:rsidRDefault="00FF4A73" w:rsidP="00EB73D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XI</w:t>
            </w:r>
            <w:r w:rsidR="00257A17" w:rsidRPr="00FD546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2018=</w:t>
            </w:r>
            <w:r w:rsidR="00257A17" w:rsidRPr="00FD546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FF4A73" w:rsidRPr="0004541D" w:rsidTr="00FF4A73">
        <w:trPr>
          <w:cantSplit/>
          <w:trHeight w:val="57"/>
        </w:trPr>
        <w:tc>
          <w:tcPr>
            <w:tcW w:w="2270" w:type="dxa"/>
            <w:vMerge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257A1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XII 2017=</w:t>
            </w: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XI 2018=</w:t>
            </w: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FF4A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X-XII 2017=100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FF4A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VII-IX 2018=100</w:t>
            </w:r>
          </w:p>
        </w:tc>
        <w:tc>
          <w:tcPr>
            <w:tcW w:w="993" w:type="dxa"/>
            <w:tcBorders>
              <w:bottom w:val="single" w:sz="12" w:space="0" w:color="212492"/>
            </w:tcBorders>
          </w:tcPr>
          <w:p w:rsidR="00FF4A73" w:rsidRPr="00FD5460" w:rsidRDefault="00FF4A73" w:rsidP="00FF4A73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color w:val="000000" w:themeColor="text1"/>
                <w:sz w:val="16"/>
                <w:szCs w:val="16"/>
              </w:rPr>
              <w:t>I-XII 2017=100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FF4A73" w:rsidRPr="00FD5460" w:rsidRDefault="00FF4A73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FF4A73" w:rsidRPr="0004541D" w:rsidTr="00FF4A73">
        <w:trPr>
          <w:cantSplit/>
          <w:trHeight w:val="57"/>
        </w:trPr>
        <w:tc>
          <w:tcPr>
            <w:tcW w:w="227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F4A73" w:rsidRPr="00FD5460" w:rsidRDefault="00FF4A73" w:rsidP="00EB73D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D5460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99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D54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D54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F4A73" w:rsidP="00FD546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FD5460"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F4A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F4A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FF4A73" w:rsidRPr="00FD5460" w:rsidRDefault="00FF4A73" w:rsidP="00EB73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F4A7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 w:rsidR="00223F89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 w:rsidR="00223F89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0,17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F4A7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FF4A7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-0,07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F4A73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FF4A73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 gospoda</w:t>
            </w: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r</w:t>
            </w: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stwa domowego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-0,13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93,9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94,8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98,7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D5460" w:rsidRPr="0004541D" w:rsidTr="00FD5460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F4A73" w:rsidRDefault="00FD5460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F4A7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99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center"/>
          </w:tcPr>
          <w:p w:rsidR="00FD5460" w:rsidRPr="00FD5460" w:rsidRDefault="00FD5460" w:rsidP="00FD5460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5460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</w:tbl>
    <w:p w:rsidR="00AD4947" w:rsidRPr="00FF4A73" w:rsidRDefault="00AD4947" w:rsidP="00D538E4">
      <w:pPr>
        <w:pStyle w:val="tytuwykresu"/>
      </w:pPr>
      <w:r w:rsidRPr="00FF4A73">
        <w:t>Tablica 1.</w:t>
      </w:r>
      <w:r w:rsidRPr="00FF4A73">
        <w:rPr>
          <w:shd w:val="clear" w:color="auto" w:fill="FFFFFF"/>
        </w:rPr>
        <w:t xml:space="preserve"> </w:t>
      </w:r>
      <w:r w:rsidRPr="00FF4A73">
        <w:rPr>
          <w:bCs/>
          <w:shd w:val="clear" w:color="auto" w:fill="FFFFFF"/>
        </w:rPr>
        <w:t xml:space="preserve">Wskaźniki cen towarów i usług konsumpcyjnych w </w:t>
      </w:r>
      <w:r w:rsidR="00DF7620" w:rsidRPr="00FF4A73">
        <w:rPr>
          <w:bCs/>
          <w:shd w:val="clear" w:color="auto" w:fill="FFFFFF"/>
        </w:rPr>
        <w:t>grudniu</w:t>
      </w:r>
      <w:r w:rsidRPr="00FF4A73">
        <w:t xml:space="preserve"> 2018 </w:t>
      </w:r>
      <w:r w:rsidRPr="00FF4A73">
        <w:rPr>
          <w:bCs/>
          <w:shd w:val="clear" w:color="auto" w:fill="FFFFFF"/>
        </w:rPr>
        <w:t>r.</w:t>
      </w:r>
    </w:p>
    <w:p w:rsidR="00B6798B" w:rsidRDefault="006B20B4" w:rsidP="0058363D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FD546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</w:t>
      </w:r>
    </w:p>
    <w:p w:rsidR="00A07F00" w:rsidRPr="00FD5460" w:rsidRDefault="00A07F00" w:rsidP="0058363D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FD546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Wpływy zmian cen na wskaźnik</w:t>
      </w:r>
      <w:r w:rsidR="00B97152" w:rsidRPr="00FD546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Pr="00FD546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5955BA" w:rsidRDefault="00A07F00" w:rsidP="00C27D75">
      <w:r w:rsidRPr="00FD5460">
        <w:t xml:space="preserve">W </w:t>
      </w:r>
      <w:r w:rsidR="00FD5460" w:rsidRPr="00FD5460">
        <w:t>grudniu</w:t>
      </w:r>
      <w:r w:rsidRPr="00FD5460">
        <w:t xml:space="preserve"> br. w porównaniu z poprzednim miesiącem największy wpływ na wskaźnik cen </w:t>
      </w:r>
      <w:r w:rsidR="00917CCF" w:rsidRPr="00FD5460">
        <w:br/>
      </w:r>
      <w:r w:rsidRPr="00FD5460">
        <w:t xml:space="preserve">towarów i usług konsumpcyjnych ogółem miały </w:t>
      </w:r>
      <w:r w:rsidR="00501254" w:rsidRPr="00FD5460">
        <w:t>wyższe</w:t>
      </w:r>
      <w:r w:rsidRPr="00FD5460">
        <w:t xml:space="preserve"> ceny </w:t>
      </w:r>
      <w:r w:rsidR="00FD5460" w:rsidRPr="00FD5460">
        <w:t>żywności</w:t>
      </w:r>
      <w:r w:rsidR="007F6282">
        <w:t xml:space="preserve"> </w:t>
      </w:r>
      <w:r w:rsidR="00FD5460" w:rsidRPr="00FD5460">
        <w:t xml:space="preserve">(o 0,8%) </w:t>
      </w:r>
      <w:r w:rsidR="00B611C1" w:rsidRPr="00FD5460">
        <w:t>oraz rekre</w:t>
      </w:r>
      <w:r w:rsidR="00FD5460" w:rsidRPr="00FD5460">
        <w:t xml:space="preserve">acji </w:t>
      </w:r>
      <w:r w:rsidR="00657715">
        <w:br/>
      </w:r>
      <w:r w:rsidR="00FD5460" w:rsidRPr="00FD5460">
        <w:t>i kultury (</w:t>
      </w:r>
      <w:r w:rsidR="00B611C1" w:rsidRPr="00FD5460">
        <w:t>o 0,</w:t>
      </w:r>
      <w:r w:rsidR="00FD5460" w:rsidRPr="00FD5460">
        <w:t>5</w:t>
      </w:r>
      <w:r w:rsidR="00223F89">
        <w:t>%),</w:t>
      </w:r>
      <w:r w:rsidR="00501254" w:rsidRPr="00FD5460">
        <w:t xml:space="preserve"> </w:t>
      </w:r>
      <w:r w:rsidRPr="00FD5460">
        <w:t xml:space="preserve">które </w:t>
      </w:r>
      <w:r w:rsidR="00B611C1" w:rsidRPr="00FD5460">
        <w:t>podwyższyły wskaźnik odpowi</w:t>
      </w:r>
      <w:r w:rsidR="00DE64C5" w:rsidRPr="00FD5460">
        <w:t>ednio o 0,</w:t>
      </w:r>
      <w:r w:rsidR="00FD5460" w:rsidRPr="00FD5460">
        <w:t>1</w:t>
      </w:r>
      <w:r w:rsidR="00DE64C5" w:rsidRPr="00FD5460">
        <w:t>8 p. proc. i 0,0</w:t>
      </w:r>
      <w:r w:rsidR="00FD5460" w:rsidRPr="00FD5460">
        <w:t>4</w:t>
      </w:r>
      <w:r w:rsidR="00DE64C5" w:rsidRPr="00FD5460">
        <w:t xml:space="preserve"> p. </w:t>
      </w:r>
      <w:r w:rsidR="00B611C1" w:rsidRPr="00FD5460">
        <w:t xml:space="preserve">proc. </w:t>
      </w:r>
      <w:r w:rsidR="00954A48">
        <w:br/>
      </w:r>
      <w:r w:rsidR="00501254" w:rsidRPr="00FD5460">
        <w:t>Niższe</w:t>
      </w:r>
      <w:r w:rsidRPr="00FD5460">
        <w:t xml:space="preserve"> ceny</w:t>
      </w:r>
      <w:r w:rsidR="00FD5460" w:rsidRPr="00FD5460">
        <w:t xml:space="preserve"> w zakresie transportu</w:t>
      </w:r>
      <w:r w:rsidRPr="00FD5460">
        <w:t xml:space="preserve"> </w:t>
      </w:r>
      <w:r w:rsidR="00486EE6" w:rsidRPr="00FD5460">
        <w:t xml:space="preserve">oraz </w:t>
      </w:r>
      <w:r w:rsidR="00FD5460" w:rsidRPr="00FD5460">
        <w:t xml:space="preserve">odzieży i obuwia (po 1,4%) </w:t>
      </w:r>
      <w:r w:rsidR="00501254" w:rsidRPr="00FD5460">
        <w:t>obniżyły</w:t>
      </w:r>
      <w:r w:rsidRPr="00FD5460">
        <w:t xml:space="preserve"> ten wskaźnik </w:t>
      </w:r>
      <w:r w:rsidR="00B611C1" w:rsidRPr="00FD5460">
        <w:t>o</w:t>
      </w:r>
      <w:r w:rsidR="00B611C1" w:rsidRPr="00FD5460">
        <w:t>d</w:t>
      </w:r>
      <w:r w:rsidR="00B611C1" w:rsidRPr="00FD5460">
        <w:t xml:space="preserve">powiednio </w:t>
      </w:r>
      <w:r w:rsidR="00B611C1" w:rsidRPr="005955BA">
        <w:t>o 0,</w:t>
      </w:r>
      <w:r w:rsidR="00FD5460" w:rsidRPr="005955BA">
        <w:t>13</w:t>
      </w:r>
      <w:r w:rsidR="00B611C1" w:rsidRPr="005955BA">
        <w:t xml:space="preserve"> p. proc. i 0,0</w:t>
      </w:r>
      <w:r w:rsidR="00FD5460" w:rsidRPr="005955BA">
        <w:t>7</w:t>
      </w:r>
      <w:r w:rsidR="00B611C1" w:rsidRPr="005955BA">
        <w:t xml:space="preserve"> p. proc.</w:t>
      </w:r>
      <w:r w:rsidR="00917CCF" w:rsidRPr="005955BA">
        <w:rPr>
          <w:b/>
        </w:rPr>
        <w:br/>
      </w:r>
      <w:r w:rsidRPr="005955BA">
        <w:t xml:space="preserve">W porównaniu z miesiącem analogicznym poprzedniego roku wyższe ceny </w:t>
      </w:r>
      <w:r w:rsidR="008473E0" w:rsidRPr="005955BA">
        <w:t xml:space="preserve">w zakresie </w:t>
      </w:r>
      <w:r w:rsidR="00FD5460" w:rsidRPr="005955BA">
        <w:t>mies</w:t>
      </w:r>
      <w:r w:rsidR="00FD5460" w:rsidRPr="005955BA">
        <w:t>z</w:t>
      </w:r>
      <w:r w:rsidR="00FD5460" w:rsidRPr="005955BA">
        <w:t>kania</w:t>
      </w:r>
      <w:r w:rsidR="005762F6" w:rsidRPr="005955BA">
        <w:t xml:space="preserve"> </w:t>
      </w:r>
      <w:r w:rsidRPr="005955BA">
        <w:t>(o </w:t>
      </w:r>
      <w:r w:rsidR="00FD5460" w:rsidRPr="005955BA">
        <w:t>1,7</w:t>
      </w:r>
      <w:r w:rsidR="00674A8B" w:rsidRPr="005955BA">
        <w:t xml:space="preserve">%) </w:t>
      </w:r>
      <w:r w:rsidRPr="005955BA">
        <w:t xml:space="preserve">oraz </w:t>
      </w:r>
      <w:r w:rsidR="00FD5460" w:rsidRPr="005955BA">
        <w:t>transportu</w:t>
      </w:r>
      <w:r w:rsidRPr="005955BA">
        <w:t xml:space="preserve"> (o </w:t>
      </w:r>
      <w:r w:rsidR="00FD5460" w:rsidRPr="005955BA">
        <w:t>4,0</w:t>
      </w:r>
      <w:r w:rsidR="00674A8B" w:rsidRPr="005955BA">
        <w:t xml:space="preserve">%) </w:t>
      </w:r>
      <w:r w:rsidR="009D1423" w:rsidRPr="005955BA">
        <w:t xml:space="preserve">i </w:t>
      </w:r>
      <w:r w:rsidR="00FD5460" w:rsidRPr="005955BA">
        <w:t>żywności</w:t>
      </w:r>
      <w:r w:rsidR="009D1423" w:rsidRPr="005955BA">
        <w:t xml:space="preserve"> (o </w:t>
      </w:r>
      <w:r w:rsidR="00FD5460" w:rsidRPr="005955BA">
        <w:t>0,8</w:t>
      </w:r>
      <w:r w:rsidR="009D1423" w:rsidRPr="005955BA">
        <w:t xml:space="preserve">%) </w:t>
      </w:r>
      <w:r w:rsidRPr="005955BA">
        <w:t>pod</w:t>
      </w:r>
      <w:r w:rsidRPr="005955BA">
        <w:softHyphen/>
      </w:r>
      <w:r w:rsidR="00D401C9" w:rsidRPr="005955BA">
        <w:t>wyższyły</w:t>
      </w:r>
      <w:r w:rsidRPr="005955BA">
        <w:t xml:space="preserve"> wskaźnik </w:t>
      </w:r>
      <w:r w:rsidR="00E82C7E" w:rsidRPr="005955BA">
        <w:t>cen tow</w:t>
      </w:r>
      <w:r w:rsidR="00E82C7E" w:rsidRPr="005955BA">
        <w:t>a</w:t>
      </w:r>
      <w:r w:rsidR="00E82C7E" w:rsidRPr="005955BA">
        <w:t>rów i </w:t>
      </w:r>
      <w:r w:rsidR="00D401C9" w:rsidRPr="005955BA">
        <w:t xml:space="preserve">usług konsumpcyjnych </w:t>
      </w:r>
      <w:r w:rsidRPr="005955BA">
        <w:t>odpowiednio o 0,</w:t>
      </w:r>
      <w:r w:rsidR="00FD5460" w:rsidRPr="005955BA">
        <w:t>44</w:t>
      </w:r>
      <w:r w:rsidRPr="005955BA">
        <w:t xml:space="preserve"> p. proc.</w:t>
      </w:r>
      <w:r w:rsidR="009D1423" w:rsidRPr="005955BA">
        <w:t>, 0,</w:t>
      </w:r>
      <w:r w:rsidR="00FD5460" w:rsidRPr="005955BA">
        <w:t>35</w:t>
      </w:r>
      <w:r w:rsidR="009D1423" w:rsidRPr="005955BA">
        <w:t xml:space="preserve"> p. proc.</w:t>
      </w:r>
      <w:r w:rsidRPr="005955BA">
        <w:t xml:space="preserve"> i 0,</w:t>
      </w:r>
      <w:r w:rsidR="00FD5460" w:rsidRPr="005955BA">
        <w:t>19</w:t>
      </w:r>
      <w:r w:rsidR="00917CCF" w:rsidRPr="005955BA">
        <w:t> </w:t>
      </w:r>
      <w:r w:rsidR="00F04C11" w:rsidRPr="005955BA">
        <w:t>p. </w:t>
      </w:r>
      <w:r w:rsidRPr="005955BA">
        <w:t xml:space="preserve">proc. </w:t>
      </w:r>
      <w:r w:rsidR="00954A48">
        <w:br/>
      </w:r>
      <w:r w:rsidRPr="005955BA">
        <w:t>Niższe ceny</w:t>
      </w:r>
      <w:r w:rsidR="00FD5460" w:rsidRPr="005955BA">
        <w:t xml:space="preserve"> w zakresie łączności</w:t>
      </w:r>
      <w:r w:rsidRPr="005955BA">
        <w:t xml:space="preserve"> </w:t>
      </w:r>
      <w:r w:rsidR="00FD5460" w:rsidRPr="005955BA">
        <w:t xml:space="preserve">(o 6,1%) oraz </w:t>
      </w:r>
      <w:r w:rsidRPr="005955BA">
        <w:t xml:space="preserve">odzieży i obuwia (o </w:t>
      </w:r>
      <w:r w:rsidR="00FD5460" w:rsidRPr="005955BA">
        <w:t>2,7</w:t>
      </w:r>
      <w:r w:rsidR="00674A8B" w:rsidRPr="005955BA">
        <w:t xml:space="preserve">%) </w:t>
      </w:r>
      <w:r w:rsidRPr="005955BA">
        <w:t xml:space="preserve">obniżyły </w:t>
      </w:r>
      <w:r w:rsidR="00D401C9" w:rsidRPr="005955BA">
        <w:t xml:space="preserve">ten </w:t>
      </w:r>
      <w:r w:rsidRPr="005955BA">
        <w:t xml:space="preserve">wskaźnik </w:t>
      </w:r>
      <w:r w:rsidR="00FD5460" w:rsidRPr="005955BA">
        <w:t>odpowiednio o 0,29 p. proc. i 0,14 p. proc.</w:t>
      </w:r>
    </w:p>
    <w:p w:rsidR="00A07F00" w:rsidRPr="005955BA" w:rsidRDefault="00A07F00" w:rsidP="00C27D75"/>
    <w:p w:rsidR="00A07F00" w:rsidRPr="005955BA" w:rsidRDefault="00F65394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val="en-GB" w:eastAsia="en-GB"/>
        </w:rPr>
        <w:pict>
          <v:shape id="Text Box 29" o:spid="_x0000_s1027" type="#_x0000_t202" style="position:absolute;margin-left:414.75pt;margin-top:229.5pt;width:135.85pt;height:144.75pt;z-index:-25156096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/+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mtzzjoDNzuB3A0ezgHX8dVD3ey+qqRkMuWig27UUqOLaM15Bfam/7Z&#10;1QlHW5D1+EHWEIdujXRA+0b1tnhQDgTo0KfHU29sLpUNOY/iKIUcK7CFyWVyGcUuBs2O1welzTsm&#10;e2QXOVbQfAdPd3fa2HRodnSx0YQsedc5AXTi2QE4TicQHK5am03D9fNHGqSrZJUQj0SzlUeCovBu&#10;yiXxZmU4j4vLYrkswp82bkiyltc1EzbMUVsh+bPeHVQ+qeKkLi07Xls4m5JWm/WyU2hHQdul+w4F&#10;OXPzn6fhigBcXlAKIxLcRqlXzpK5R0oSe+k8SLwgTG/TWUBSUpTPKd1xwf6dEhpznMbQR0fnt9wC&#10;973mRrOeG5geHe9znJycaGY1uBK1a62hvJvWZ6Ww6T+VAtp9bLRTrBXpJFezX++nx2GjWzWvZf0I&#10;ElYSBAY6hckHi1aq7xiNMEVyrL9tqWIYde8FPIM0JMSOHbch8TyCjTq3rM8tVFQAlWOD0bRcmmlU&#10;bQfFNy1Emh6ekDfwdBruRP2U1eHBwaRw3A5TzY6i873zepq9i18AAAD//wMAUEsDBBQABgAIAAAA&#10;IQBlw+vK4AAAAAwBAAAPAAAAZHJzL2Rvd25yZXYueG1sTI/BTsMwDIbvSLxDZCRuLGnZylbqTgjE&#10;FbTBJnHLGq+taJyqydby9mQnuNnyp9/fX6wn24kzDb51jJDMFAjiypmWa4TPj9e7JQgfNBvdOSaE&#10;H/KwLq+vCp0bN/KGzttQixjCPtcITQh9LqWvGrLaz1xPHG9HN1gd4jrU0gx6jOG2k6lSmbS65fih&#10;0T09N1R9b08WYfd2/NrP1Xv9Yhf96CYl2a4k4u3N9PQIItAU/mC46Ed1KKPTwZ3YeNEhLNPVIqII&#10;8/ssDhciUUkK4oDwkGYKZFnI/yXKXwAAAP//AwBQSwECLQAUAAYACAAAACEAtoM4kv4AAADhAQAA&#10;EwAAAAAAAAAAAAAAAAAAAAAAW0NvbnRlbnRfVHlwZXNdLnhtbFBLAQItABQABgAIAAAAIQA4/SH/&#10;1gAAAJQBAAALAAAAAAAAAAAAAAAAAC8BAABfcmVscy8ucmVsc1BLAQItABQABgAIAAAAIQDpqR/+&#10;uQIAAMMFAAAOAAAAAAAAAAAAAAAAAC4CAABkcnMvZTJvRG9jLnhtbFBLAQItABQABgAIAAAAIQBl&#10;w+vK4AAAAAwBAAAPAAAAAAAAAAAAAAAAABMFAABkcnMvZG93bnJldi54bWxQSwUGAAAAAAQABADz&#10;AAAAIAYAAAAA&#10;" filled="f" stroked="f">
            <v:textbox style="mso-next-textbox:#Text Box 29">
              <w:txbxContent>
                <w:p w:rsidR="004759EE" w:rsidRPr="00674A8B" w:rsidRDefault="004759EE" w:rsidP="00A07F0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grudniu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2018 r.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największy wpływ na wskaźnik cen tow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a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rów i usług konsumpcyjnych ogółem miały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niższe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ceny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paliw do prywatnych środków transportu, które obniżyły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ten wskaźnik o 0,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19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p. proc.</w:t>
                  </w:r>
                </w:p>
              </w:txbxContent>
            </v:textbox>
            <w10:wrap type="square" anchory="page"/>
          </v:shape>
        </w:pict>
      </w:r>
      <w:r w:rsidR="00A07F00" w:rsidRPr="005955BA">
        <w:t xml:space="preserve">Wykres </w:t>
      </w:r>
      <w:r w:rsidR="00761070" w:rsidRPr="005955BA">
        <w:t>1</w:t>
      </w:r>
      <w:r w:rsidR="00A07F00" w:rsidRPr="005955BA">
        <w:t>.</w:t>
      </w:r>
      <w:r w:rsidR="00A07F00" w:rsidRPr="005955BA">
        <w:rPr>
          <w:shd w:val="clear" w:color="auto" w:fill="FFFFFF"/>
        </w:rPr>
        <w:t xml:space="preserve"> Wpływ zmian cen wybranych grup towarów i usług konsumpcyjnych w </w:t>
      </w:r>
      <w:r w:rsidR="00CD555D" w:rsidRPr="005955BA">
        <w:rPr>
          <w:shd w:val="clear" w:color="auto" w:fill="FFFFFF"/>
        </w:rPr>
        <w:t>grudniu</w:t>
      </w:r>
      <w:r w:rsidR="00A07F00" w:rsidRPr="005955BA">
        <w:rPr>
          <w:shd w:val="clear" w:color="auto" w:fill="FFFFFF"/>
        </w:rPr>
        <w:t xml:space="preserve"> 201</w:t>
      </w:r>
      <w:r w:rsidR="00C27D75" w:rsidRPr="005955BA">
        <w:rPr>
          <w:shd w:val="clear" w:color="auto" w:fill="FFFFFF"/>
        </w:rPr>
        <w:t>8</w:t>
      </w:r>
      <w:r w:rsidR="00A07F00" w:rsidRPr="005955BA">
        <w:rPr>
          <w:shd w:val="clear" w:color="auto" w:fill="FFFFFF"/>
        </w:rPr>
        <w:t xml:space="preserve"> r.</w:t>
      </w:r>
      <w:r w:rsidR="00A07F00" w:rsidRPr="005955BA">
        <w:rPr>
          <w:noProof/>
          <w:shd w:val="clear" w:color="auto" w:fill="FFFFFF"/>
          <w:lang w:eastAsia="pl-PL"/>
        </w:rPr>
        <w:t xml:space="preserve"> </w:t>
      </w:r>
      <w:r w:rsidR="0051646A" w:rsidRPr="005955BA">
        <w:rPr>
          <w:noProof/>
          <w:shd w:val="clear" w:color="auto" w:fill="FFFFFF"/>
          <w:lang w:eastAsia="pl-PL"/>
        </w:rPr>
        <w:br/>
        <w:t>(z</w:t>
      </w:r>
      <w:r w:rsidR="0051646A" w:rsidRPr="005955BA">
        <w:rPr>
          <w:shd w:val="clear" w:color="auto" w:fill="FFFFFF"/>
        </w:rPr>
        <w:t>miana w p. proc. do okresu poprzedniego)</w:t>
      </w:r>
      <w:r w:rsidR="00B81B60" w:rsidRPr="005955BA">
        <w:rPr>
          <w:shd w:val="clear" w:color="auto" w:fill="FFFFFF"/>
        </w:rPr>
        <w:t xml:space="preserve"> </w:t>
      </w:r>
    </w:p>
    <w:p w:rsidR="00A07F00" w:rsidRPr="0004541D" w:rsidRDefault="005955BA" w:rsidP="00C27D75">
      <w:pPr>
        <w:pStyle w:val="tytuwykresu"/>
        <w:rPr>
          <w:b w:val="0"/>
          <w:highlight w:val="yellow"/>
          <w:shd w:val="clear" w:color="auto" w:fill="FFFFFF"/>
        </w:rPr>
      </w:pPr>
      <w:r w:rsidRPr="005955BA">
        <w:rPr>
          <w:b w:val="0"/>
          <w:noProof/>
          <w:shd w:val="clear" w:color="auto" w:fill="FFFFFF"/>
          <w:lang w:val="en-GB" w:eastAsia="en-GB"/>
        </w:rPr>
        <w:drawing>
          <wp:anchor distT="0" distB="0" distL="114300" distR="114300" simplePos="0" relativeHeight="251807744" behindDoc="0" locked="0" layoutInCell="1" allowOverlap="1">
            <wp:simplePos x="461176" y="230588"/>
            <wp:positionH relativeFrom="column">
              <wp:align>left</wp:align>
            </wp:positionH>
            <wp:positionV relativeFrom="line">
              <wp:posOffset>36195</wp:posOffset>
            </wp:positionV>
            <wp:extent cx="5096786" cy="2957885"/>
            <wp:effectExtent l="0" t="0" r="0" b="0"/>
            <wp:wrapSquare wrapText="bothSides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73B5E" w:rsidRPr="0004541D" w:rsidRDefault="00F65394">
      <w:pPr>
        <w:spacing w:before="0" w:after="160" w:line="259" w:lineRule="auto"/>
        <w:rPr>
          <w:b/>
          <w:spacing w:val="-2"/>
          <w:sz w:val="18"/>
          <w:highlight w:val="yellow"/>
        </w:rPr>
      </w:pPr>
      <w:r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margin-left:414.75pt;margin-top:529.5pt;width:135.85pt;height:141.75pt;z-index:-251532288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4759EE" w:rsidRPr="00BF2F65" w:rsidRDefault="004759EE" w:rsidP="00792E24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2018 r., podobnie jak w latach poprzednich, na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większy udział wydatków w obliczeniach wskaźnika cen towarów i usług konsumpcy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nych mają żywność i napoje bezalkoholowe (24,36%) oraz towary i usługi związane z użytkowaniem mieszkania lub domu i nośniki energii (20,35%)</w:t>
                  </w:r>
                </w:p>
                <w:p w:rsidR="004759EE" w:rsidRPr="00BF2F65" w:rsidRDefault="004759EE" w:rsidP="00792E2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5F4399" w:rsidRPr="00DF7620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DF7620">
        <w:rPr>
          <w:b/>
          <w:spacing w:val="-2"/>
          <w:sz w:val="18"/>
        </w:rPr>
        <w:br/>
      </w:r>
      <w:r w:rsidR="005F4399" w:rsidRPr="00DF7620">
        <w:rPr>
          <w:b/>
          <w:spacing w:val="-2"/>
          <w:sz w:val="18"/>
        </w:rPr>
        <w:t xml:space="preserve">i usług </w:t>
      </w:r>
      <w:r w:rsidR="00792E24" w:rsidRPr="00DF7620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7078783" wp14:editId="06E69352">
            <wp:simplePos x="0" y="0"/>
            <wp:positionH relativeFrom="column">
              <wp:posOffset>0</wp:posOffset>
            </wp:positionH>
            <wp:positionV relativeFrom="line">
              <wp:posOffset>286385</wp:posOffset>
            </wp:positionV>
            <wp:extent cx="5122545" cy="3600000"/>
            <wp:effectExtent l="0" t="0" r="1905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F4399" w:rsidRPr="00DF7620">
        <w:rPr>
          <w:b/>
          <w:spacing w:val="-2"/>
          <w:sz w:val="18"/>
        </w:rPr>
        <w:t>konsumpcyjnych w 2018 r.</w:t>
      </w:r>
      <w:r w:rsidR="00C73B5E" w:rsidRPr="0004541D">
        <w:rPr>
          <w:highlight w:val="yellow"/>
        </w:rPr>
        <w:br w:type="page"/>
      </w:r>
    </w:p>
    <w:p w:rsidR="003A440F" w:rsidRPr="00CD555D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CD555D">
        <w:lastRenderedPageBreak/>
        <w:t xml:space="preserve">Wykres </w:t>
      </w:r>
      <w:r w:rsidR="00CF08EF" w:rsidRPr="00CD555D">
        <w:t>3</w:t>
      </w:r>
      <w:r w:rsidRPr="00CD555D">
        <w:t>.</w:t>
      </w:r>
      <w:r w:rsidRPr="00CD555D">
        <w:rPr>
          <w:shd w:val="clear" w:color="auto" w:fill="FFFFFF"/>
        </w:rPr>
        <w:t xml:space="preserve"> C</w:t>
      </w:r>
      <w:r w:rsidRPr="00CD555D">
        <w:rPr>
          <w:bCs/>
          <w:shd w:val="clear" w:color="auto" w:fill="FFFFFF"/>
        </w:rPr>
        <w:t xml:space="preserve">eny towarów i usług konsumpcyjnych </w:t>
      </w:r>
      <w:r w:rsidRPr="00CD555D">
        <w:rPr>
          <w:shd w:val="clear" w:color="auto" w:fill="FFFFFF"/>
        </w:rPr>
        <w:t>(zmiana w % do okresu poprzedniego)</w:t>
      </w:r>
      <w:r w:rsidRPr="00CD555D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CD555D" w:rsidRDefault="00CD555D" w:rsidP="0026302B">
      <w:pPr>
        <w:pStyle w:val="LID"/>
        <w:rPr>
          <w:b w:val="0"/>
          <w:spacing w:val="-2"/>
          <w:sz w:val="18"/>
        </w:rPr>
      </w:pPr>
      <w:r w:rsidRPr="00CD555D">
        <w:rPr>
          <w:b w:val="0"/>
          <w:spacing w:val="-2"/>
          <w:sz w:val="18"/>
          <w:lang w:val="en-GB" w:eastAsia="en-GB"/>
        </w:rPr>
        <w:drawing>
          <wp:anchor distT="0" distB="0" distL="114300" distR="114300" simplePos="0" relativeHeight="251804672" behindDoc="0" locked="0" layoutInCell="1" allowOverlap="1">
            <wp:simplePos x="457200" y="-1581150"/>
            <wp:positionH relativeFrom="column">
              <wp:align>left</wp:align>
            </wp:positionH>
            <wp:positionV relativeFrom="line">
              <wp:posOffset>36195</wp:posOffset>
            </wp:positionV>
            <wp:extent cx="5124450" cy="2552700"/>
            <wp:effectExtent l="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34160" w:rsidRPr="00CD555D" w:rsidRDefault="00F65394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margin-left:414.75pt;margin-top:315.75pt;width:135.85pt;height:125.25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4759EE" w:rsidRPr="00BF2F65" w:rsidRDefault="004759EE" w:rsidP="00034160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grudniu 2018 r. wskaźnik cen towarów i usług ko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sumpcyjnych znalazł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się poniżej dolnej granicy odchyleń od celu inflacyjn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e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go 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 proc.)</w:t>
                  </w:r>
                </w:p>
                <w:p w:rsidR="004759EE" w:rsidRPr="00BF2F65" w:rsidRDefault="004759EE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034160" w:rsidRPr="00CD555D">
        <w:t xml:space="preserve">Wykres </w:t>
      </w:r>
      <w:r w:rsidR="00CF08EF" w:rsidRPr="00CD555D">
        <w:t>4</w:t>
      </w:r>
      <w:r w:rsidR="00034160" w:rsidRPr="00CD555D">
        <w:t>.</w:t>
      </w:r>
      <w:r w:rsidR="00034160" w:rsidRPr="00CD555D">
        <w:rPr>
          <w:shd w:val="clear" w:color="auto" w:fill="FFFFFF"/>
        </w:rPr>
        <w:t xml:space="preserve"> C</w:t>
      </w:r>
      <w:r w:rsidR="00034160" w:rsidRPr="00CD555D">
        <w:rPr>
          <w:bCs/>
          <w:shd w:val="clear" w:color="auto" w:fill="FFFFFF"/>
        </w:rPr>
        <w:t xml:space="preserve">eny towarów i usług konsumpcyjnych </w:t>
      </w:r>
      <w:r w:rsidR="00132297" w:rsidRPr="00CD555D">
        <w:rPr>
          <w:bCs/>
          <w:shd w:val="clear" w:color="auto" w:fill="FFFFFF"/>
        </w:rPr>
        <w:br/>
      </w:r>
      <w:r w:rsidR="00034160" w:rsidRPr="00CD555D">
        <w:rPr>
          <w:shd w:val="clear" w:color="auto" w:fill="FFFFFF"/>
        </w:rPr>
        <w:t>(zmiana w % do analogicznego okresu roku poprzedniego)</w:t>
      </w:r>
    </w:p>
    <w:p w:rsidR="00034160" w:rsidRPr="00CD555D" w:rsidRDefault="00CD555D" w:rsidP="00740107">
      <w:pPr>
        <w:spacing w:before="0" w:line="259" w:lineRule="auto"/>
        <w:rPr>
          <w:sz w:val="18"/>
        </w:rPr>
      </w:pPr>
      <w:r w:rsidRPr="00CD555D">
        <w:rPr>
          <w:noProof/>
          <w:sz w:val="18"/>
          <w:lang w:val="en-GB" w:eastAsia="en-GB"/>
        </w:rPr>
        <w:drawing>
          <wp:anchor distT="0" distB="0" distL="114300" distR="114300" simplePos="0" relativeHeight="251805696" behindDoc="0" locked="0" layoutInCell="1" allowOverlap="1">
            <wp:simplePos x="457200" y="4048125"/>
            <wp:positionH relativeFrom="column">
              <wp:align>left</wp:align>
            </wp:positionH>
            <wp:positionV relativeFrom="line">
              <wp:posOffset>36195</wp:posOffset>
            </wp:positionV>
            <wp:extent cx="5114925" cy="2581275"/>
            <wp:effectExtent l="0" t="0" r="0" b="9525"/>
            <wp:wrapSquare wrapText="bothSides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E7DBB" w:rsidRPr="00CD555D" w:rsidRDefault="00883763" w:rsidP="001E7DBB">
      <w:pPr>
        <w:pStyle w:val="tytuwykresu"/>
        <w:rPr>
          <w:shd w:val="clear" w:color="auto" w:fill="FFFFFF"/>
        </w:rPr>
      </w:pPr>
      <w:r w:rsidRPr="00CD555D">
        <w:t xml:space="preserve">Wykres </w:t>
      </w:r>
      <w:r w:rsidR="00CF08EF" w:rsidRPr="00CD555D">
        <w:t>5</w:t>
      </w:r>
      <w:r w:rsidRPr="00CD555D">
        <w:t>.</w:t>
      </w:r>
      <w:r w:rsidRPr="00CD555D">
        <w:rPr>
          <w:shd w:val="clear" w:color="auto" w:fill="FFFFFF"/>
        </w:rPr>
        <w:t xml:space="preserve"> </w:t>
      </w:r>
      <w:r w:rsidR="00761070" w:rsidRPr="00CD555D">
        <w:rPr>
          <w:bCs/>
          <w:shd w:val="clear" w:color="auto" w:fill="FFFFFF"/>
        </w:rPr>
        <w:t xml:space="preserve">Wskaźnik cen towarów i usług konsumpcyjnych (CPI) oraz </w:t>
      </w:r>
      <w:r w:rsidR="001E7DBB" w:rsidRPr="00CD555D">
        <w:rPr>
          <w:bCs/>
          <w:shd w:val="clear" w:color="auto" w:fill="FFFFFF"/>
        </w:rPr>
        <w:t>z</w:t>
      </w:r>
      <w:r w:rsidR="00761070" w:rsidRPr="00CD555D">
        <w:rPr>
          <w:bCs/>
          <w:shd w:val="clear" w:color="auto" w:fill="FFFFFF"/>
        </w:rPr>
        <w:t xml:space="preserve">harmonizowany </w:t>
      </w:r>
      <w:r w:rsidR="001E7DBB" w:rsidRPr="00CD555D">
        <w:rPr>
          <w:bCs/>
          <w:shd w:val="clear" w:color="auto" w:fill="FFFFFF"/>
        </w:rPr>
        <w:t xml:space="preserve">wskaźnik </w:t>
      </w:r>
      <w:r w:rsidR="00511F19" w:rsidRPr="00CD555D">
        <w:rPr>
          <w:bCs/>
          <w:shd w:val="clear" w:color="auto" w:fill="FFFFFF"/>
        </w:rPr>
        <w:br/>
      </w:r>
      <w:r w:rsidR="001E7DBB" w:rsidRPr="00CD555D">
        <w:rPr>
          <w:bCs/>
          <w:shd w:val="clear" w:color="auto" w:fill="FFFFFF"/>
        </w:rPr>
        <w:t xml:space="preserve">cen konsumpcyjnych (HICP) </w:t>
      </w:r>
      <w:r w:rsidR="001E7DBB" w:rsidRPr="00CD555D">
        <w:rPr>
          <w:shd w:val="clear" w:color="auto" w:fill="FFFFFF"/>
        </w:rPr>
        <w:t>(zmiana w % do analogicznego okresu roku poprzedniego)</w:t>
      </w:r>
    </w:p>
    <w:p w:rsidR="00820461" w:rsidRPr="0004541D" w:rsidRDefault="00CD555D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CD555D">
        <w:rPr>
          <w:noProof/>
          <w:sz w:val="18"/>
          <w:lang w:val="en-GB" w:eastAsia="en-GB"/>
        </w:rPr>
        <w:drawing>
          <wp:anchor distT="0" distB="0" distL="114300" distR="114300" simplePos="0" relativeHeight="251806720" behindDoc="0" locked="0" layoutInCell="1" allowOverlap="1">
            <wp:simplePos x="457200" y="7267575"/>
            <wp:positionH relativeFrom="column">
              <wp:align>left</wp:align>
            </wp:positionH>
            <wp:positionV relativeFrom="line">
              <wp:posOffset>3810</wp:posOffset>
            </wp:positionV>
            <wp:extent cx="5124450" cy="2533650"/>
            <wp:effectExtent l="0" t="0" r="0" b="0"/>
            <wp:wrapSquare wrapText="bothSides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A0FD3" w:rsidRPr="0004541D">
        <w:rPr>
          <w:sz w:val="18"/>
          <w:highlight w:val="yellow"/>
        </w:rPr>
        <w:t xml:space="preserve"> </w:t>
      </w:r>
      <w:r w:rsidR="00820461" w:rsidRPr="0004541D">
        <w:rPr>
          <w:sz w:val="18"/>
          <w:highlight w:val="yellow"/>
        </w:rPr>
        <w:br w:type="page"/>
      </w:r>
    </w:p>
    <w:p w:rsidR="00516A50" w:rsidRPr="002907F1" w:rsidRDefault="00516A50" w:rsidP="00DC29CF">
      <w:pPr>
        <w:pStyle w:val="LID"/>
        <w:spacing w:after="360"/>
        <w:rPr>
          <w:bCs/>
          <w:sz w:val="18"/>
          <w:shd w:val="clear" w:color="auto" w:fill="FFFFFF"/>
        </w:rPr>
      </w:pPr>
      <w:r w:rsidRPr="002907F1">
        <w:rPr>
          <w:sz w:val="18"/>
        </w:rPr>
        <w:lastRenderedPageBreak/>
        <w:t xml:space="preserve">Tablica </w:t>
      </w:r>
      <w:r w:rsidR="00CF08EF" w:rsidRPr="002907F1">
        <w:rPr>
          <w:sz w:val="18"/>
        </w:rPr>
        <w:t>2</w:t>
      </w:r>
      <w:r w:rsidRPr="002907F1">
        <w:rPr>
          <w:sz w:val="18"/>
        </w:rPr>
        <w:t>.</w:t>
      </w:r>
      <w:r w:rsidRPr="002907F1">
        <w:rPr>
          <w:sz w:val="18"/>
          <w:shd w:val="clear" w:color="auto" w:fill="FFFFFF"/>
        </w:rPr>
        <w:t xml:space="preserve"> </w:t>
      </w:r>
      <w:r w:rsidRPr="002907F1">
        <w:rPr>
          <w:bCs/>
          <w:sz w:val="18"/>
          <w:shd w:val="clear" w:color="auto" w:fill="FFFFFF"/>
        </w:rPr>
        <w:t xml:space="preserve">Wskaźniki cen towarów i usług konsumpcyjnych w </w:t>
      </w:r>
      <w:r w:rsidR="002907F1" w:rsidRPr="002907F1">
        <w:rPr>
          <w:bCs/>
          <w:sz w:val="18"/>
          <w:shd w:val="clear" w:color="auto" w:fill="FFFFFF"/>
        </w:rPr>
        <w:t>grudniu</w:t>
      </w:r>
      <w:r w:rsidRPr="002907F1">
        <w:rPr>
          <w:sz w:val="18"/>
        </w:rPr>
        <w:t xml:space="preserve"> 201</w:t>
      </w:r>
      <w:r w:rsidR="00C27D75" w:rsidRPr="002907F1">
        <w:rPr>
          <w:sz w:val="18"/>
        </w:rPr>
        <w:t>8</w:t>
      </w:r>
      <w:r w:rsidRPr="002907F1">
        <w:rPr>
          <w:sz w:val="18"/>
        </w:rPr>
        <w:t> </w:t>
      </w:r>
      <w:r w:rsidRPr="002907F1">
        <w:rPr>
          <w:bCs/>
          <w:sz w:val="18"/>
          <w:shd w:val="clear" w:color="auto" w:fill="FFFFFF"/>
        </w:rPr>
        <w:t>r.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21"/>
        <w:gridCol w:w="922"/>
        <w:gridCol w:w="921"/>
        <w:gridCol w:w="922"/>
        <w:gridCol w:w="992"/>
      </w:tblGrid>
      <w:tr w:rsidR="00415FBA" w:rsidRPr="00415FBA" w:rsidTr="006203CB">
        <w:trPr>
          <w:trHeight w:val="315"/>
          <w:tblHeader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15FBA" w:rsidRPr="002907F1" w:rsidRDefault="00415FBA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15FBA" w:rsidRPr="00415FBA" w:rsidRDefault="00415FBA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XII 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15FBA" w:rsidRPr="00415FBA" w:rsidRDefault="00415FBA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X-XII 2018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15FBA" w:rsidRPr="00415FBA" w:rsidRDefault="00415FBA" w:rsidP="002907F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I-XII 2018</w:t>
            </w:r>
          </w:p>
        </w:tc>
      </w:tr>
      <w:tr w:rsidR="006203CB" w:rsidRPr="0004541D" w:rsidTr="006203CB">
        <w:trPr>
          <w:trHeight w:val="465"/>
          <w:tblHeader/>
        </w:trPr>
        <w:tc>
          <w:tcPr>
            <w:tcW w:w="3402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415FBA" w:rsidRPr="002907F1" w:rsidRDefault="00415FBA" w:rsidP="005875EB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15FBA" w:rsidRPr="00415FBA" w:rsidRDefault="00415FBA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XII 2017=</w:t>
            </w: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15FBA" w:rsidRPr="00415FBA" w:rsidRDefault="00415FBA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XI 2018=</w:t>
            </w: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415FBA" w:rsidRPr="00415FBA" w:rsidRDefault="00223F89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X-XII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="00415FBA" w:rsidRPr="00415FBA">
              <w:rPr>
                <w:rFonts w:eastAsia="Times New Roman" w:cs="Calibri"/>
                <w:sz w:val="16"/>
                <w:szCs w:val="16"/>
                <w:lang w:eastAsia="pl-PL"/>
              </w:rPr>
              <w:t>2017=100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415FBA" w:rsidRPr="00415FBA" w:rsidRDefault="00415FBA" w:rsidP="005875EB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>VII-IX 2018=100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AA2015" w:rsidRDefault="00415FBA" w:rsidP="002907F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15FBA">
              <w:rPr>
                <w:rFonts w:eastAsia="Times New Roman" w:cs="Calibri"/>
                <w:sz w:val="16"/>
                <w:szCs w:val="16"/>
                <w:lang w:eastAsia="pl-PL"/>
              </w:rPr>
              <w:t xml:space="preserve">I-XII </w:t>
            </w:r>
          </w:p>
          <w:p w:rsidR="00415FBA" w:rsidRPr="00415FBA" w:rsidRDefault="00AA2015" w:rsidP="00AA2015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2017=</w:t>
            </w:r>
            <w:r w:rsidR="00415FBA" w:rsidRPr="00415FBA">
              <w:rPr>
                <w:rFonts w:eastAsia="Times New Roman" w:cs="Calibri"/>
                <w:sz w:val="16"/>
                <w:szCs w:val="16"/>
                <w:lang w:eastAsia="pl-PL"/>
              </w:rPr>
              <w:t>100</w:t>
            </w:r>
          </w:p>
        </w:tc>
      </w:tr>
      <w:tr w:rsidR="006203CB" w:rsidRPr="0004541D" w:rsidTr="006203CB">
        <w:trPr>
          <w:trHeight w:val="330"/>
        </w:trPr>
        <w:tc>
          <w:tcPr>
            <w:tcW w:w="340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15FBA" w:rsidRPr="00433EB7" w:rsidRDefault="00415FBA" w:rsidP="004276B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2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15FBA" w:rsidRPr="00433EB7" w:rsidRDefault="00415FBA" w:rsidP="00433E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1</w:t>
            </w:r>
            <w:r w:rsidR="00433EB7"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01,1</w:t>
            </w:r>
          </w:p>
        </w:tc>
        <w:tc>
          <w:tcPr>
            <w:tcW w:w="92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15FBA" w:rsidRPr="00433EB7" w:rsidRDefault="00415FBA" w:rsidP="00433E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100,</w:t>
            </w:r>
            <w:r w:rsidR="00433EB7"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15FBA" w:rsidRPr="00433EB7" w:rsidRDefault="00415FBA" w:rsidP="00433EB7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101,</w:t>
            </w:r>
            <w:r w:rsidR="00433EB7"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15FBA" w:rsidRPr="00433EB7" w:rsidRDefault="00415FBA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15FBA" w:rsidRPr="00433EB7" w:rsidRDefault="00415FBA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3EB7">
              <w:rPr>
                <w:rFonts w:cs="Calibri"/>
                <w:b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759E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2907F1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E769D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8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203CB" w:rsidRPr="0004541D" w:rsidTr="006203C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87,6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23332D" w:rsidP="004759E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="00433EB7"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WYROBY TYTONIOWE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3D63C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  <w:r w:rsidR="003C6C3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23332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3C6C3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6203CB" w:rsidRPr="0004541D" w:rsidTr="006203CB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Usługi transportowe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2907F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2907F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</w:tr>
      <w:tr w:rsidR="006203CB" w:rsidRPr="0004541D" w:rsidTr="006203CB">
        <w:trPr>
          <w:trHeight w:val="300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2907F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886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</w:t>
            </w:r>
            <w:r w:rsidR="0088698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sportem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203CB" w:rsidRPr="0004541D" w:rsidTr="006203C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886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886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6203CB" w:rsidRPr="0004541D" w:rsidTr="006203C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</w:tr>
      <w:tr w:rsidR="006203CB" w:rsidRPr="0004541D" w:rsidTr="006203CB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2907F1" w:rsidRDefault="00433EB7" w:rsidP="005762F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907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EB7" w:rsidRPr="00433EB7" w:rsidRDefault="00433EB7" w:rsidP="00433EB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33EB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86,9</w:t>
            </w:r>
          </w:p>
        </w:tc>
      </w:tr>
    </w:tbl>
    <w:p w:rsidR="001A78D0" w:rsidRPr="0004541D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04541D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04541D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04541D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04541D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04541D" w:rsidRDefault="001A78D0" w:rsidP="00516A50">
      <w:pPr>
        <w:pStyle w:val="LID"/>
        <w:rPr>
          <w:sz w:val="18"/>
          <w:highlight w:val="yellow"/>
          <w:shd w:val="clear" w:color="auto" w:fill="FFFFFF"/>
        </w:rPr>
      </w:pPr>
    </w:p>
    <w:p w:rsidR="00DF712D" w:rsidRPr="0004541D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04541D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04541D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04541D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F65394" w:rsidTr="00EE696D">
        <w:trPr>
          <w:trHeight w:val="1912"/>
        </w:trPr>
        <w:tc>
          <w:tcPr>
            <w:tcW w:w="4379" w:type="dxa"/>
          </w:tcPr>
          <w:p w:rsidR="00883763" w:rsidRPr="00DF7620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DF7620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DF7620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F7620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DF7620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DF7620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DF7620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1" w:history="1">
              <w:r w:rsidRPr="00DF7620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DF7620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F762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DF7620">
              <w:rPr>
                <w:rFonts w:cs="Arial"/>
                <w:color w:val="000000" w:themeColor="text1"/>
                <w:sz w:val="20"/>
              </w:rPr>
              <w:br/>
            </w:r>
            <w:r w:rsidRPr="00DF762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DF762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DF7620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DF7620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DF7620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DF7620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DF7620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DF7620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DF7620" w:rsidRDefault="000470AA" w:rsidP="000470AA">
            <w:pPr>
              <w:rPr>
                <w:b/>
                <w:sz w:val="20"/>
              </w:rPr>
            </w:pPr>
            <w:r w:rsidRPr="00DF7620">
              <w:rPr>
                <w:b/>
                <w:sz w:val="20"/>
              </w:rPr>
              <w:t xml:space="preserve">Wydział Współpracy z Mediami </w:t>
            </w:r>
          </w:p>
          <w:p w:rsidR="000470AA" w:rsidRPr="00DF7620" w:rsidRDefault="000470AA" w:rsidP="000470AA">
            <w:pPr>
              <w:rPr>
                <w:sz w:val="20"/>
              </w:rPr>
            </w:pPr>
            <w:r w:rsidRPr="00DF7620">
              <w:rPr>
                <w:b/>
                <w:sz w:val="20"/>
              </w:rPr>
              <w:t xml:space="preserve">tel.: </w:t>
            </w:r>
            <w:r w:rsidR="00097840" w:rsidRPr="00DF7620">
              <w:rPr>
                <w:sz w:val="20"/>
              </w:rPr>
              <w:t>22 608 34 91, 22</w:t>
            </w:r>
            <w:r w:rsidRPr="00DF7620">
              <w:rPr>
                <w:sz w:val="20"/>
              </w:rPr>
              <w:t xml:space="preserve"> 608 38 04 </w:t>
            </w:r>
          </w:p>
          <w:p w:rsidR="000470AA" w:rsidRPr="00DF7620" w:rsidRDefault="000470AA" w:rsidP="000470AA">
            <w:pPr>
              <w:rPr>
                <w:sz w:val="20"/>
                <w:lang w:val="en-GB"/>
              </w:rPr>
            </w:pPr>
            <w:proofErr w:type="spellStart"/>
            <w:r w:rsidRPr="00DF7620">
              <w:rPr>
                <w:b/>
                <w:sz w:val="20"/>
                <w:lang w:val="en-GB"/>
              </w:rPr>
              <w:t>faks</w:t>
            </w:r>
            <w:proofErr w:type="spellEnd"/>
            <w:r w:rsidRPr="00DF7620">
              <w:rPr>
                <w:b/>
                <w:sz w:val="20"/>
                <w:lang w:val="en-GB"/>
              </w:rPr>
              <w:t>:</w:t>
            </w:r>
            <w:r w:rsidR="00097840" w:rsidRPr="00DF7620">
              <w:rPr>
                <w:sz w:val="20"/>
                <w:lang w:val="en-GB"/>
              </w:rPr>
              <w:t xml:space="preserve"> 22</w:t>
            </w:r>
            <w:r w:rsidRPr="00DF7620">
              <w:rPr>
                <w:sz w:val="20"/>
                <w:lang w:val="en-GB"/>
              </w:rPr>
              <w:t xml:space="preserve"> 608 38 86 </w:t>
            </w:r>
          </w:p>
          <w:p w:rsidR="000470AA" w:rsidRPr="00DF7620" w:rsidRDefault="000470AA" w:rsidP="000470AA">
            <w:pPr>
              <w:rPr>
                <w:sz w:val="18"/>
                <w:lang w:val="en-GB"/>
              </w:rPr>
            </w:pPr>
            <w:r w:rsidRPr="00DF7620">
              <w:rPr>
                <w:b/>
                <w:sz w:val="20"/>
                <w:lang w:val="en-GB"/>
              </w:rPr>
              <w:t>e-mail:</w:t>
            </w:r>
            <w:r w:rsidRPr="00DF7620">
              <w:rPr>
                <w:sz w:val="20"/>
                <w:lang w:val="en-GB"/>
              </w:rPr>
              <w:t xml:space="preserve"> </w:t>
            </w:r>
            <w:hyperlink r:id="rId23" w:history="1">
              <w:r w:rsidRPr="00DF7620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F7620" w:rsidRDefault="000470AA" w:rsidP="000470AA">
            <w:pPr>
              <w:rPr>
                <w:sz w:val="18"/>
                <w:lang w:val="en-GB"/>
              </w:rPr>
            </w:pPr>
            <w:r w:rsidRPr="00DF7620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DF7620" w:rsidRDefault="000470AA" w:rsidP="000470AA">
            <w:pPr>
              <w:rPr>
                <w:sz w:val="18"/>
              </w:rPr>
            </w:pPr>
            <w:r w:rsidRPr="00DF7620">
              <w:rPr>
                <w:sz w:val="20"/>
              </w:rPr>
              <w:t>www.stat.gov.pl</w:t>
            </w:r>
          </w:p>
        </w:tc>
      </w:tr>
      <w:tr w:rsidR="000470AA" w:rsidRPr="00DF7620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DF7620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DF7620" w:rsidRDefault="000470AA" w:rsidP="000470AA">
            <w:pPr>
              <w:rPr>
                <w:sz w:val="18"/>
              </w:rPr>
            </w:pPr>
            <w:r w:rsidRPr="00DF7620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DF7620" w:rsidRDefault="000470AA" w:rsidP="000470AA">
            <w:pPr>
              <w:rPr>
                <w:sz w:val="18"/>
              </w:rPr>
            </w:pPr>
            <w:r w:rsidRPr="00DF7620">
              <w:rPr>
                <w:sz w:val="20"/>
              </w:rPr>
              <w:t>@GUS_STAT</w:t>
            </w:r>
          </w:p>
        </w:tc>
      </w:tr>
      <w:tr w:rsidR="000470AA" w:rsidRPr="00DF7620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DF7620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DF7620" w:rsidRDefault="000470AA" w:rsidP="000470AA">
            <w:pPr>
              <w:rPr>
                <w:sz w:val="18"/>
              </w:rPr>
            </w:pPr>
            <w:r w:rsidRPr="00DF7620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DF7620" w:rsidRDefault="000470AA" w:rsidP="000470AA">
            <w:pPr>
              <w:rPr>
                <w:sz w:val="20"/>
              </w:rPr>
            </w:pPr>
            <w:r w:rsidRPr="00DF7620">
              <w:rPr>
                <w:sz w:val="20"/>
              </w:rPr>
              <w:t>@</w:t>
            </w:r>
            <w:proofErr w:type="spellStart"/>
            <w:r w:rsidRPr="00DF7620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65E4D" w:rsidRDefault="00F65394" w:rsidP="00E76D26">
      <w:pPr>
        <w:rPr>
          <w:sz w:val="18"/>
        </w:rPr>
      </w:pPr>
      <w:r>
        <w:rPr>
          <w:noProof/>
          <w:sz w:val="18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4759EE" w:rsidRDefault="004759EE" w:rsidP="00883763">
                  <w:pPr>
                    <w:rPr>
                      <w:b/>
                    </w:rPr>
                  </w:pPr>
                </w:p>
                <w:p w:rsidR="004759EE" w:rsidRPr="006761A7" w:rsidRDefault="004759EE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4759EE" w:rsidRPr="00E233EA" w:rsidRDefault="004759E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759EE" w:rsidRPr="00E233EA" w:rsidRDefault="004759E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4759EE" w:rsidRPr="006761A7" w:rsidRDefault="004759E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759EE" w:rsidRDefault="004759E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4759EE" w:rsidRPr="006761A7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4759E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4759EE" w:rsidRPr="00065E4D" w:rsidRDefault="00F65394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4759EE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EE" w:rsidRDefault="004759EE" w:rsidP="000662E2">
      <w:pPr>
        <w:spacing w:after="0" w:line="240" w:lineRule="auto"/>
      </w:pPr>
      <w:r>
        <w:separator/>
      </w:r>
    </w:p>
  </w:endnote>
  <w:endnote w:type="continuationSeparator" w:id="0">
    <w:p w:rsidR="004759EE" w:rsidRDefault="004759E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4759EE" w:rsidRDefault="004759E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4759EE" w:rsidRDefault="004759E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4759EE" w:rsidRDefault="004759E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EE" w:rsidRDefault="004759EE" w:rsidP="000662E2">
      <w:pPr>
        <w:spacing w:after="0" w:line="240" w:lineRule="auto"/>
      </w:pPr>
      <w:r>
        <w:separator/>
      </w:r>
    </w:p>
  </w:footnote>
  <w:footnote w:type="continuationSeparator" w:id="0">
    <w:p w:rsidR="004759EE" w:rsidRDefault="004759E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EE" w:rsidRDefault="00F65394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759EE" w:rsidRDefault="004759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EE" w:rsidRDefault="00F65394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4759EE" w:rsidRPr="003C6C8D" w:rsidRDefault="004759EE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rect id="Prostokąt 10" o:spid="_x0000_s2050" style="position:absolute;margin-left:410.95pt;margin-top:40.3pt;width:147.4pt;height:1803.5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4759EE">
      <w:rPr>
        <w:noProof/>
        <w:lang w:val="en-GB" w:eastAsia="en-GB"/>
      </w:rPr>
      <w:drawing>
        <wp:inline distT="0" distB="0" distL="0" distR="0" wp14:anchorId="65177F95" wp14:editId="51866CB1">
          <wp:extent cx="1219200" cy="6773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9EE" w:rsidRDefault="00F65394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4759EE" w:rsidRPr="00C97596" w:rsidRDefault="004759EE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15.01.2019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EE" w:rsidRDefault="004759EE">
    <w:pPr>
      <w:pStyle w:val="Nagwek"/>
    </w:pPr>
  </w:p>
  <w:p w:rsidR="004759EE" w:rsidRDefault="004759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" o:bullet="t">
        <v:imagedata r:id="rId1" o:title=""/>
      </v:shape>
    </w:pict>
  </w:numPicBullet>
  <w:numPicBullet w:numPicBulletId="1">
    <w:pict>
      <v:shape id="_x0000_i1027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201FC"/>
    <w:rsid w:val="00034160"/>
    <w:rsid w:val="0004015D"/>
    <w:rsid w:val="0004541D"/>
    <w:rsid w:val="0004582E"/>
    <w:rsid w:val="0004646A"/>
    <w:rsid w:val="000470AA"/>
    <w:rsid w:val="00057CA1"/>
    <w:rsid w:val="00065E4D"/>
    <w:rsid w:val="000662E2"/>
    <w:rsid w:val="00066883"/>
    <w:rsid w:val="00074DD8"/>
    <w:rsid w:val="00075E70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C135D"/>
    <w:rsid w:val="000C6DBB"/>
    <w:rsid w:val="000D1D43"/>
    <w:rsid w:val="000D225C"/>
    <w:rsid w:val="000D2A5C"/>
    <w:rsid w:val="000E0008"/>
    <w:rsid w:val="000E0918"/>
    <w:rsid w:val="000F2650"/>
    <w:rsid w:val="001011C3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65856"/>
    <w:rsid w:val="001951DA"/>
    <w:rsid w:val="001A7573"/>
    <w:rsid w:val="001A78D0"/>
    <w:rsid w:val="001C3269"/>
    <w:rsid w:val="001D1DB4"/>
    <w:rsid w:val="001E1D94"/>
    <w:rsid w:val="001E7DBB"/>
    <w:rsid w:val="001F60D1"/>
    <w:rsid w:val="00223F89"/>
    <w:rsid w:val="002268BB"/>
    <w:rsid w:val="0023332D"/>
    <w:rsid w:val="002574F9"/>
    <w:rsid w:val="00257A17"/>
    <w:rsid w:val="002621B1"/>
    <w:rsid w:val="00262B61"/>
    <w:rsid w:val="0026302B"/>
    <w:rsid w:val="00270E61"/>
    <w:rsid w:val="002724FF"/>
    <w:rsid w:val="00275FA6"/>
    <w:rsid w:val="00276811"/>
    <w:rsid w:val="00276C9A"/>
    <w:rsid w:val="00282699"/>
    <w:rsid w:val="0029055C"/>
    <w:rsid w:val="002907F1"/>
    <w:rsid w:val="00290CB6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22EDD"/>
    <w:rsid w:val="00332320"/>
    <w:rsid w:val="00341C29"/>
    <w:rsid w:val="003468C7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3A"/>
    <w:rsid w:val="003C6C8D"/>
    <w:rsid w:val="003D3B24"/>
    <w:rsid w:val="003D4F95"/>
    <w:rsid w:val="003D5F42"/>
    <w:rsid w:val="003D60A9"/>
    <w:rsid w:val="003D63C1"/>
    <w:rsid w:val="003E6F8F"/>
    <w:rsid w:val="003F4C97"/>
    <w:rsid w:val="003F7FE6"/>
    <w:rsid w:val="00400193"/>
    <w:rsid w:val="00415FBA"/>
    <w:rsid w:val="004212E7"/>
    <w:rsid w:val="0042446D"/>
    <w:rsid w:val="004276B0"/>
    <w:rsid w:val="00427BF8"/>
    <w:rsid w:val="00431C02"/>
    <w:rsid w:val="00433EB7"/>
    <w:rsid w:val="00437395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759EE"/>
    <w:rsid w:val="00486EE6"/>
    <w:rsid w:val="0049189D"/>
    <w:rsid w:val="00493217"/>
    <w:rsid w:val="0049621B"/>
    <w:rsid w:val="004C1895"/>
    <w:rsid w:val="004C6D40"/>
    <w:rsid w:val="004E1585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21C3"/>
    <w:rsid w:val="005762A7"/>
    <w:rsid w:val="005762F6"/>
    <w:rsid w:val="0058363D"/>
    <w:rsid w:val="005875EB"/>
    <w:rsid w:val="005877DE"/>
    <w:rsid w:val="005916D7"/>
    <w:rsid w:val="005955BA"/>
    <w:rsid w:val="005A2784"/>
    <w:rsid w:val="005A698C"/>
    <w:rsid w:val="005C1AF8"/>
    <w:rsid w:val="005D0389"/>
    <w:rsid w:val="005D1C04"/>
    <w:rsid w:val="005D470D"/>
    <w:rsid w:val="005E0799"/>
    <w:rsid w:val="005E2757"/>
    <w:rsid w:val="005F4399"/>
    <w:rsid w:val="005F5A80"/>
    <w:rsid w:val="006044FF"/>
    <w:rsid w:val="00604FF5"/>
    <w:rsid w:val="00607CC5"/>
    <w:rsid w:val="006149F0"/>
    <w:rsid w:val="0061655B"/>
    <w:rsid w:val="006203CB"/>
    <w:rsid w:val="00631D20"/>
    <w:rsid w:val="006321A2"/>
    <w:rsid w:val="00633014"/>
    <w:rsid w:val="0063437B"/>
    <w:rsid w:val="006346A9"/>
    <w:rsid w:val="00657715"/>
    <w:rsid w:val="00660778"/>
    <w:rsid w:val="006673CA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A4686"/>
    <w:rsid w:val="006B0E9E"/>
    <w:rsid w:val="006B208D"/>
    <w:rsid w:val="006B20B4"/>
    <w:rsid w:val="006B5AE4"/>
    <w:rsid w:val="006D1507"/>
    <w:rsid w:val="006D4054"/>
    <w:rsid w:val="006D6B72"/>
    <w:rsid w:val="006E02EC"/>
    <w:rsid w:val="007059D5"/>
    <w:rsid w:val="007162EB"/>
    <w:rsid w:val="007211B1"/>
    <w:rsid w:val="0072400B"/>
    <w:rsid w:val="00733D55"/>
    <w:rsid w:val="00740107"/>
    <w:rsid w:val="00746187"/>
    <w:rsid w:val="00752A67"/>
    <w:rsid w:val="00761070"/>
    <w:rsid w:val="0076254F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514B"/>
    <w:rsid w:val="007A2DC1"/>
    <w:rsid w:val="007B09DE"/>
    <w:rsid w:val="007B74D8"/>
    <w:rsid w:val="007D3319"/>
    <w:rsid w:val="007D335D"/>
    <w:rsid w:val="007E3314"/>
    <w:rsid w:val="007E4B03"/>
    <w:rsid w:val="007F045B"/>
    <w:rsid w:val="007F324B"/>
    <w:rsid w:val="007F6195"/>
    <w:rsid w:val="007F6282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7775C"/>
    <w:rsid w:val="0088258A"/>
    <w:rsid w:val="008832C4"/>
    <w:rsid w:val="00883763"/>
    <w:rsid w:val="00886332"/>
    <w:rsid w:val="00886987"/>
    <w:rsid w:val="008A26D9"/>
    <w:rsid w:val="008A73F2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27A6"/>
    <w:rsid w:val="00933B26"/>
    <w:rsid w:val="00933EC1"/>
    <w:rsid w:val="00942DCA"/>
    <w:rsid w:val="009530DB"/>
    <w:rsid w:val="00953676"/>
    <w:rsid w:val="00954A48"/>
    <w:rsid w:val="009705EE"/>
    <w:rsid w:val="00971217"/>
    <w:rsid w:val="0097339D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D1423"/>
    <w:rsid w:val="009E2E91"/>
    <w:rsid w:val="009E3BF4"/>
    <w:rsid w:val="009E3FA7"/>
    <w:rsid w:val="009E410D"/>
    <w:rsid w:val="009F5815"/>
    <w:rsid w:val="009F5AB7"/>
    <w:rsid w:val="00A07F00"/>
    <w:rsid w:val="00A12435"/>
    <w:rsid w:val="00A139F5"/>
    <w:rsid w:val="00A2136A"/>
    <w:rsid w:val="00A34C24"/>
    <w:rsid w:val="00A365D8"/>
    <w:rsid w:val="00A365F4"/>
    <w:rsid w:val="00A37CE0"/>
    <w:rsid w:val="00A43A7D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70953"/>
    <w:rsid w:val="00A810F9"/>
    <w:rsid w:val="00A845DC"/>
    <w:rsid w:val="00A86ECC"/>
    <w:rsid w:val="00A86FCC"/>
    <w:rsid w:val="00A93892"/>
    <w:rsid w:val="00AA2015"/>
    <w:rsid w:val="00AA710D"/>
    <w:rsid w:val="00AB6D25"/>
    <w:rsid w:val="00AD4947"/>
    <w:rsid w:val="00AD5F17"/>
    <w:rsid w:val="00AE20FD"/>
    <w:rsid w:val="00AE2D4B"/>
    <w:rsid w:val="00AE3075"/>
    <w:rsid w:val="00AE4F99"/>
    <w:rsid w:val="00AF0B03"/>
    <w:rsid w:val="00B06265"/>
    <w:rsid w:val="00B11B69"/>
    <w:rsid w:val="00B14952"/>
    <w:rsid w:val="00B31E5A"/>
    <w:rsid w:val="00B322EC"/>
    <w:rsid w:val="00B609CE"/>
    <w:rsid w:val="00B611C1"/>
    <w:rsid w:val="00B653AB"/>
    <w:rsid w:val="00B65F9E"/>
    <w:rsid w:val="00B66B19"/>
    <w:rsid w:val="00B6798B"/>
    <w:rsid w:val="00B67F98"/>
    <w:rsid w:val="00B81B60"/>
    <w:rsid w:val="00B914E9"/>
    <w:rsid w:val="00B94737"/>
    <w:rsid w:val="00B956EE"/>
    <w:rsid w:val="00B97152"/>
    <w:rsid w:val="00BA2BA1"/>
    <w:rsid w:val="00BA3562"/>
    <w:rsid w:val="00BA5A42"/>
    <w:rsid w:val="00BB4F09"/>
    <w:rsid w:val="00BB6E9C"/>
    <w:rsid w:val="00BC17C7"/>
    <w:rsid w:val="00BD4E33"/>
    <w:rsid w:val="00BE4B65"/>
    <w:rsid w:val="00BF790C"/>
    <w:rsid w:val="00C00EDA"/>
    <w:rsid w:val="00C030DE"/>
    <w:rsid w:val="00C10CEB"/>
    <w:rsid w:val="00C22105"/>
    <w:rsid w:val="00C244B6"/>
    <w:rsid w:val="00C27D75"/>
    <w:rsid w:val="00C3702F"/>
    <w:rsid w:val="00C4500A"/>
    <w:rsid w:val="00C55C91"/>
    <w:rsid w:val="00C56FB5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55D"/>
    <w:rsid w:val="00CD58B7"/>
    <w:rsid w:val="00CF08EF"/>
    <w:rsid w:val="00CF4099"/>
    <w:rsid w:val="00D00796"/>
    <w:rsid w:val="00D02D2C"/>
    <w:rsid w:val="00D261A2"/>
    <w:rsid w:val="00D401C9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29CF"/>
    <w:rsid w:val="00DC6708"/>
    <w:rsid w:val="00DC7CFA"/>
    <w:rsid w:val="00DE64C5"/>
    <w:rsid w:val="00DF712D"/>
    <w:rsid w:val="00DF7620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769D4"/>
    <w:rsid w:val="00E76D26"/>
    <w:rsid w:val="00E82C7E"/>
    <w:rsid w:val="00E963C8"/>
    <w:rsid w:val="00EB02C9"/>
    <w:rsid w:val="00EB1390"/>
    <w:rsid w:val="00EB2C71"/>
    <w:rsid w:val="00EB4340"/>
    <w:rsid w:val="00EB4D71"/>
    <w:rsid w:val="00EB556D"/>
    <w:rsid w:val="00EB5A7D"/>
    <w:rsid w:val="00EB73D7"/>
    <w:rsid w:val="00EC3E2A"/>
    <w:rsid w:val="00ED55C0"/>
    <w:rsid w:val="00ED682B"/>
    <w:rsid w:val="00EE41D5"/>
    <w:rsid w:val="00EE4ADB"/>
    <w:rsid w:val="00EE696D"/>
    <w:rsid w:val="00EF7B36"/>
    <w:rsid w:val="00F03623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65394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5128"/>
    <w:rsid w:val="00FB42D4"/>
    <w:rsid w:val="00FB5906"/>
    <w:rsid w:val="00FB762F"/>
    <w:rsid w:val="00FC2AED"/>
    <w:rsid w:val="00FD5460"/>
    <w:rsid w:val="00FD5EA7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43A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image" Target="media/image5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18\WYKRESY\12\12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18\WYKRESY\12\12_2018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a\CenyDet\DyskF\ROBOCZY\Ula\Ci&#261;gutka_pier_str\WST_2018\WYKRESY\12\12_2018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a\CenyDet\DyskF\ROBOCZY\Ula\Ci&#261;gutka_pier_str\WST_2018\WYKRESY\12\12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4.9432266380371129E-3"/>
                  <c:y val="-6.767410856280496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19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3831615264519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43831615264519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91775487019357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94214785553092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95887743509679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9588774350968938E-3"/>
                  <c:y val="-3.993507008366262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479438717548305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47877529460193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7.477208869565422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Paliwa do prywatnych środków transportu</c:v>
                </c:pt>
                <c:pt idx="1">
                  <c:v>Odzież</c:v>
                </c:pt>
                <c:pt idx="2">
                  <c:v>Mięso</c:v>
                </c:pt>
                <c:pt idx="3">
                  <c:v>Napoje alkoholowe</c:v>
                </c:pt>
                <c:pt idx="4">
                  <c:v>Obuwie</c:v>
                </c:pt>
                <c:pt idx="5">
                  <c:v>Oleje i tłuszcze</c:v>
                </c:pt>
                <c:pt idx="6">
                  <c:v>Pieczywo i produkty zbożowe</c:v>
                </c:pt>
                <c:pt idx="7">
                  <c:v>Turystyka zorganizowana</c:v>
                </c:pt>
                <c:pt idx="8">
                  <c:v>Owoce</c:v>
                </c:pt>
                <c:pt idx="9">
                  <c:v>Usługi transportowe</c:v>
                </c:pt>
                <c:pt idx="10">
                  <c:v>Warzywa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-0.19000000000000006</c:v>
                </c:pt>
                <c:pt idx="1">
                  <c:v>-5.0000000000000017E-2</c:v>
                </c:pt>
                <c:pt idx="2">
                  <c:v>-3.0000000000000009E-2</c:v>
                </c:pt>
                <c:pt idx="3">
                  <c:v>-3.0000000000000009E-2</c:v>
                </c:pt>
                <c:pt idx="4">
                  <c:v>-3.0000000000000009E-2</c:v>
                </c:pt>
                <c:pt idx="5">
                  <c:v>-3.0000000000000009E-2</c:v>
                </c:pt>
                <c:pt idx="6">
                  <c:v>2.0000000000000007E-2</c:v>
                </c:pt>
                <c:pt idx="7">
                  <c:v>3.0000000000000009E-2</c:v>
                </c:pt>
                <c:pt idx="8">
                  <c:v>4.0000000000000015E-2</c:v>
                </c:pt>
                <c:pt idx="9">
                  <c:v>7.0000000000000034E-2</c:v>
                </c:pt>
                <c:pt idx="10">
                  <c:v>0.18000000000000005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78752"/>
        <c:axId val="104380288"/>
      </c:barChart>
      <c:catAx>
        <c:axId val="10437875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4380288"/>
        <c:crossesAt val="0"/>
        <c:auto val="1"/>
        <c:lblAlgn val="ctr"/>
        <c:lblOffset val="100"/>
        <c:tickMarkSkip val="1"/>
        <c:noMultiLvlLbl val="0"/>
      </c:catAx>
      <c:valAx>
        <c:axId val="104380288"/>
        <c:scaling>
          <c:orientation val="minMax"/>
          <c:max val="0.2"/>
          <c:min val="-0.25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4378752"/>
        <c:crosses val="autoZero"/>
        <c:crossBetween val="between"/>
        <c:majorUnit val="5.0000000000000017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1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WAG'!$G$2:$G$13</c:f>
              <c:numCache>
                <c:formatCode>0.00</c:formatCode>
                <c:ptCount val="12"/>
                <c:pt idx="0">
                  <c:v>5.55</c:v>
                </c:pt>
                <c:pt idx="1">
                  <c:v>5.71</c:v>
                </c:pt>
                <c:pt idx="2">
                  <c:v>1</c:v>
                </c:pt>
                <c:pt idx="3">
                  <c:v>6.92</c:v>
                </c:pt>
                <c:pt idx="4">
                  <c:v>4.87</c:v>
                </c:pt>
                <c:pt idx="5">
                  <c:v>8.74</c:v>
                </c:pt>
                <c:pt idx="6">
                  <c:v>5.6899999999999995</c:v>
                </c:pt>
                <c:pt idx="7">
                  <c:v>5.25</c:v>
                </c:pt>
                <c:pt idx="8">
                  <c:v>20.350000000000001</c:v>
                </c:pt>
                <c:pt idx="9">
                  <c:v>5.37</c:v>
                </c:pt>
                <c:pt idx="10">
                  <c:v>6.1899999999999995</c:v>
                </c:pt>
                <c:pt idx="11">
                  <c:v>24.36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931712"/>
        <c:axId val="106934656"/>
      </c:barChart>
      <c:catAx>
        <c:axId val="106931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06934656"/>
        <c:crosses val="autoZero"/>
        <c:auto val="0"/>
        <c:lblAlgn val="ctr"/>
        <c:lblOffset val="100"/>
        <c:noMultiLvlLbl val="0"/>
      </c:catAx>
      <c:valAx>
        <c:axId val="10693465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28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06931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793568090244E-2"/>
                  <c:y val="4.5673208759352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588765623627886E-2"/>
                  <c:y val="4.1588122380224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72931729273E-2"/>
                  <c:y val="4.1021271594781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4271949856009591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2175837974928317E-2"/>
                  <c:y val="3.635301739173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0559645750294802E-2"/>
                  <c:y val="-3.3900034883141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5.1531195586912791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55310629951E-2"/>
                  <c:y val="3.5941705533573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4.7907262469916313E-2"/>
                  <c:y val="-2.88366370259392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74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589477408581E-2"/>
                  <c:y val="4.5103457912366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05682622812E-2"/>
                  <c:y val="4.002697610107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188763957210899E-2"/>
                  <c:y val="-3.0422916666666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2987743006094987E-2"/>
                  <c:y val="3.383817552852855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-0,2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'M-1'!$B$14:$B$37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'M-1'!$C$14:$C$37</c:f>
              <c:numCache>
                <c:formatCode>0.0</c:formatCode>
                <c:ptCount val="24"/>
                <c:pt idx="0">
                  <c:v>0.40000000000000568</c:v>
                </c:pt>
                <c:pt idx="1">
                  <c:v>0.29999999999999738</c:v>
                </c:pt>
                <c:pt idx="2">
                  <c:v>-9.9999999999994357E-2</c:v>
                </c:pt>
                <c:pt idx="3">
                  <c:v>0.29999999999999738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-9.9999999999994357E-2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0.29999999999999738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  <c:pt idx="19">
                  <c:v>0</c:v>
                </c:pt>
                <c:pt idx="20">
                  <c:v>0.2</c:v>
                </c:pt>
                <c:pt idx="21">
                  <c:v>0.4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246720"/>
        <c:axId val="107248256"/>
      </c:lineChart>
      <c:dateAx>
        <c:axId val="10724672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248256"/>
        <c:crossesAt val="0"/>
        <c:auto val="0"/>
        <c:lblOffset val="100"/>
        <c:baseTimeUnit val="days"/>
      </c:dateAx>
      <c:valAx>
        <c:axId val="107248256"/>
        <c:scaling>
          <c:orientation val="minMax"/>
          <c:max val="0.60000000000000064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246720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379E-2"/>
                  <c:y val="-3.5315118712024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92E-2"/>
                  <c:y val="-2.5375967836694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490507253446E-2"/>
                  <c:y val="3.4004800881473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082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10203485797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328062778168191E-2"/>
                  <c:y val="4.6106402300590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81853673798E-2"/>
                  <c:y val="3.2987740275465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776944796025E-2"/>
                  <c:y val="-4.496300960176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8638107292376602E-2"/>
                  <c:y val="3.2046277349283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4.5105411103302892E-2"/>
                  <c:y val="-3.7731194187982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3159795424377277E-2"/>
                  <c:y val="-3.6210080217950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6561255563363733E-2"/>
                  <c:y val="-3.716323596185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47965956119E-2"/>
                  <c:y val="3.651430301195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(+FE)'!$B$14:$B$37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'M-12 (+FE)'!$C$14:$C$37</c:f>
              <c:numCache>
                <c:formatCode>0.0</c:formatCode>
                <c:ptCount val="24"/>
                <c:pt idx="0">
                  <c:v>1.7000000000000028</c:v>
                </c:pt>
                <c:pt idx="1">
                  <c:v>2.2000000000000037</c:v>
                </c:pt>
                <c:pt idx="2">
                  <c:v>2</c:v>
                </c:pt>
                <c:pt idx="3">
                  <c:v>2</c:v>
                </c:pt>
                <c:pt idx="4">
                  <c:v>1.9000000000000061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1.7999999999999965</c:v>
                </c:pt>
                <c:pt idx="8">
                  <c:v>2.2000000000000037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1.9000000000000061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324160"/>
        <c:axId val="107325696"/>
      </c:lineChart>
      <c:dateAx>
        <c:axId val="10732416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325696"/>
        <c:crossesAt val="0"/>
        <c:auto val="0"/>
        <c:lblOffset val="100"/>
        <c:baseTimeUnit val="days"/>
      </c:dateAx>
      <c:valAx>
        <c:axId val="10732569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732416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449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m-12'!$B$15:$B$38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'CPI_HICP m-12'!$C$15:$C$38</c:f>
              <c:numCache>
                <c:formatCode>0.0</c:formatCode>
                <c:ptCount val="24"/>
                <c:pt idx="0">
                  <c:v>1.7000000000000028</c:v>
                </c:pt>
                <c:pt idx="1">
                  <c:v>2.2000000000000037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1.7999999999999965</c:v>
                </c:pt>
                <c:pt idx="8">
                  <c:v>2.2000000000000037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1.9000000000000001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m-12'!$B$15:$B$36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'CPI_HICP m-12'!$E$15:$E$37</c:f>
              <c:numCache>
                <c:formatCode>0.0</c:formatCode>
                <c:ptCount val="23"/>
                <c:pt idx="0">
                  <c:v>1.4</c:v>
                </c:pt>
                <c:pt idx="1">
                  <c:v>1.9000000000000001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0.70000000000000018</c:v>
                </c:pt>
                <c:pt idx="14">
                  <c:v>0.70000000000000018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  <c:pt idx="18">
                  <c:v>1.4</c:v>
                </c:pt>
                <c:pt idx="19">
                  <c:v>1.4</c:v>
                </c:pt>
                <c:pt idx="20">
                  <c:v>1.5</c:v>
                </c:pt>
                <c:pt idx="21">
                  <c:v>1.5</c:v>
                </c:pt>
                <c:pt idx="22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09376"/>
        <c:axId val="107119360"/>
      </c:lineChart>
      <c:catAx>
        <c:axId val="10710937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711936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7119360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7109376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2903"/>
          <c:y val="0.11355818322048254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0.50097</cdr:x>
      <cdr:y>0.86938</cdr:y>
    </cdr:from>
    <cdr:to>
      <cdr:x>0.50129</cdr:x>
      <cdr:y>0.94906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572438" y="2180731"/>
          <a:ext cx="1643" cy="19986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0.92418</cdr:y>
    </cdr:from>
    <cdr:to>
      <cdr:x>0.50247</cdr:x>
      <cdr:y>0.99991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97" y="2359154"/>
          <a:ext cx="2216808" cy="193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0.50247</cdr:x>
      <cdr:y>0.92407</cdr:y>
    </cdr:from>
    <cdr:to>
      <cdr:x>0.92722</cdr:x>
      <cdr:y>0.99991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574905" y="2358873"/>
          <a:ext cx="2176609" cy="193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0.9352</cdr:y>
    </cdr:from>
    <cdr:to>
      <cdr:x>0.49913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369" y="2414016"/>
          <a:ext cx="2191635" cy="167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0.49913</cdr:x>
      <cdr:y>0.9352</cdr:y>
    </cdr:from>
    <cdr:to>
      <cdr:x>0.92818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553005" y="2414016"/>
          <a:ext cx="2194560" cy="167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0.49743</cdr:x>
      <cdr:y>0.87374</cdr:y>
    </cdr:from>
    <cdr:to>
      <cdr:x>0.49778</cdr:x>
      <cdr:y>0.95869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542417" y="2254479"/>
          <a:ext cx="1789" cy="2191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0.05721</cdr:x>
      <cdr:y>0.1899</cdr:y>
    </cdr:from>
    <cdr:to>
      <cdr:x>0.27599</cdr:x>
      <cdr:y>0.26639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2608" y="490185"/>
          <a:ext cx="1119041" cy="197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0.1945</cdr:x>
      <cdr:y>0.26356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94867" y="680313"/>
          <a:ext cx="204378" cy="22323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0.3747</cdr:x>
      <cdr:y>0.18227</cdr:y>
    </cdr:from>
    <cdr:to>
      <cdr:x>0.70441</cdr:x>
      <cdr:y>0.26568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16582" y="470489"/>
          <a:ext cx="1686400" cy="2153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0.34548</cdr:x>
      <cdr:y>0.15647</cdr:y>
    </cdr:from>
    <cdr:to>
      <cdr:x>0.37948</cdr:x>
      <cdr:y>0.22602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67092" y="403905"/>
          <a:ext cx="173904" cy="17951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0.20825</cdr:x>
      <cdr:y>0.22672</cdr:y>
    </cdr:from>
    <cdr:to>
      <cdr:x>0.37899</cdr:x>
      <cdr:y>0.55675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065182" y="585217"/>
          <a:ext cx="873345" cy="8519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0.4981</cdr:x>
      <cdr:y>0.91763</cdr:y>
    </cdr:from>
    <cdr:to>
      <cdr:x>0.9321</cdr:x>
      <cdr:y>0.98679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552489" y="2324965"/>
          <a:ext cx="2224011" cy="175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0.06427</cdr:x>
      <cdr:y>0.91665</cdr:y>
    </cdr:from>
    <cdr:to>
      <cdr:x>0.497</cdr:x>
      <cdr:y>0.98551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29355" y="2322464"/>
          <a:ext cx="2217501" cy="1744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0.49708</cdr:x>
      <cdr:y>0.85572</cdr:y>
    </cdr:from>
    <cdr:to>
      <cdr:x>0.49734</cdr:x>
      <cdr:y>0.93257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553394" y="2210938"/>
          <a:ext cx="1335" cy="19855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B3CF4-795B-42B2-A3FB-219226B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Sobocińska Aleksandra</cp:lastModifiedBy>
  <cp:revision>6</cp:revision>
  <cp:lastPrinted>2018-07-12T07:13:00Z</cp:lastPrinted>
  <dcterms:created xsi:type="dcterms:W3CDTF">2018-07-11T11:36:00Z</dcterms:created>
  <dcterms:modified xsi:type="dcterms:W3CDTF">2019-01-14T09:17:00Z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